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568"/>
        <w:rPr>
          <w:color w:val="auto"/>
          <w:sz w:val="52"/>
          <w:szCs w:val="52"/>
        </w:rPr>
      </w:pPr>
      <w:bookmarkStart w:id="0" w:name="_Toc12959291"/>
      <w:bookmarkStart w:id="1" w:name="_Toc12959297"/>
      <w:bookmarkStart w:id="2" w:name="_Toc12959305"/>
    </w:p>
    <w:p>
      <w:pPr>
        <w:ind w:left="568"/>
        <w:rPr>
          <w:color w:val="auto"/>
          <w:sz w:val="52"/>
          <w:szCs w:val="52"/>
        </w:rPr>
      </w:pPr>
    </w:p>
    <w:p>
      <w:pPr>
        <w:ind w:left="568"/>
        <w:rPr>
          <w:color w:val="auto"/>
          <w:sz w:val="52"/>
          <w:szCs w:val="52"/>
        </w:rPr>
      </w:pPr>
    </w:p>
    <w:p>
      <w:pPr>
        <w:pStyle w:val="2"/>
        <w:ind w:firstLine="400"/>
        <w:rPr>
          <w:color w:val="auto"/>
        </w:rPr>
      </w:pPr>
    </w:p>
    <w:p>
      <w:pPr>
        <w:ind w:left="568"/>
        <w:jc w:val="center"/>
        <w:rPr>
          <w:rFonts w:hint="eastAsia"/>
          <w:b/>
          <w:color w:val="auto"/>
          <w:sz w:val="52"/>
          <w:szCs w:val="52"/>
        </w:rPr>
      </w:pPr>
      <w:bookmarkStart w:id="3" w:name="_Toc8667"/>
      <w:bookmarkStart w:id="4" w:name="_Toc21013"/>
      <w:r>
        <w:rPr>
          <w:b/>
          <w:color w:val="auto"/>
          <w:sz w:val="52"/>
          <w:szCs w:val="52"/>
        </w:rPr>
        <w:t>清远市清城区信兴金属回收加工有限公司工业固体废弃物</w:t>
      </w:r>
      <w:r>
        <w:rPr>
          <w:rFonts w:hint="eastAsia"/>
          <w:b/>
          <w:color w:val="auto"/>
          <w:sz w:val="52"/>
          <w:szCs w:val="52"/>
          <w:lang w:eastAsia="zh-CN"/>
        </w:rPr>
        <w:t>迁改</w:t>
      </w:r>
      <w:r>
        <w:rPr>
          <w:rFonts w:hint="eastAsia"/>
          <w:b/>
          <w:color w:val="auto"/>
          <w:sz w:val="52"/>
          <w:szCs w:val="52"/>
        </w:rPr>
        <w:t>扩建</w:t>
      </w:r>
    </w:p>
    <w:p>
      <w:pPr>
        <w:ind w:left="568"/>
        <w:jc w:val="center"/>
        <w:rPr>
          <w:b/>
          <w:color w:val="auto"/>
          <w:sz w:val="52"/>
          <w:szCs w:val="52"/>
        </w:rPr>
      </w:pPr>
      <w:r>
        <w:rPr>
          <w:b/>
          <w:color w:val="auto"/>
          <w:sz w:val="52"/>
          <w:szCs w:val="52"/>
        </w:rPr>
        <w:t>综合利用项目环境影响报告书</w:t>
      </w:r>
      <w:bookmarkEnd w:id="3"/>
      <w:bookmarkEnd w:id="4"/>
    </w:p>
    <w:p>
      <w:pPr>
        <w:pStyle w:val="2"/>
        <w:ind w:left="0" w:leftChars="0" w:firstLine="0" w:firstLineChars="0"/>
        <w:jc w:val="center"/>
        <w:rPr>
          <w:rFonts w:ascii="Times New Roman"/>
          <w:b/>
          <w:color w:val="auto"/>
          <w:sz w:val="44"/>
          <w:szCs w:val="44"/>
        </w:rPr>
      </w:pPr>
      <w:r>
        <w:rPr>
          <w:rFonts w:hint="eastAsia" w:ascii="Times New Roman"/>
          <w:b/>
          <w:color w:val="auto"/>
          <w:sz w:val="44"/>
          <w:szCs w:val="44"/>
        </w:rPr>
        <w:t>（</w:t>
      </w:r>
      <w:r>
        <w:rPr>
          <w:rFonts w:hint="eastAsia" w:ascii="Times New Roman"/>
          <w:b/>
          <w:color w:val="auto"/>
          <w:sz w:val="44"/>
          <w:szCs w:val="44"/>
          <w:lang w:val="en-US" w:eastAsia="zh-CN"/>
        </w:rPr>
        <w:t>征求意见</w:t>
      </w:r>
      <w:bookmarkStart w:id="3376" w:name="_GoBack"/>
      <w:bookmarkEnd w:id="3376"/>
      <w:r>
        <w:rPr>
          <w:rFonts w:hint="eastAsia" w:ascii="Times New Roman"/>
          <w:b/>
          <w:color w:val="auto"/>
          <w:sz w:val="44"/>
          <w:szCs w:val="44"/>
        </w:rPr>
        <w:t>稿）</w:t>
      </w:r>
    </w:p>
    <w:p>
      <w:pPr>
        <w:rPr>
          <w:color w:val="auto"/>
        </w:rPr>
      </w:pPr>
    </w:p>
    <w:p>
      <w:pPr>
        <w:rPr>
          <w:color w:val="auto"/>
          <w:sz w:val="52"/>
          <w:szCs w:val="52"/>
        </w:rPr>
      </w:pPr>
    </w:p>
    <w:p>
      <w:pPr>
        <w:pStyle w:val="2"/>
        <w:ind w:firstLine="1040"/>
        <w:rPr>
          <w:rFonts w:ascii="Times New Roman"/>
          <w:color w:val="auto"/>
          <w:sz w:val="52"/>
          <w:szCs w:val="52"/>
        </w:rPr>
      </w:pPr>
    </w:p>
    <w:p>
      <w:pPr>
        <w:rPr>
          <w:color w:val="auto"/>
          <w:sz w:val="52"/>
          <w:szCs w:val="52"/>
        </w:rPr>
      </w:pPr>
    </w:p>
    <w:p>
      <w:pPr>
        <w:pStyle w:val="2"/>
        <w:ind w:firstLine="1040"/>
        <w:rPr>
          <w:rFonts w:ascii="Times New Roman"/>
          <w:color w:val="auto"/>
          <w:sz w:val="52"/>
          <w:szCs w:val="52"/>
        </w:rPr>
      </w:pPr>
    </w:p>
    <w:p>
      <w:pPr>
        <w:pStyle w:val="2"/>
        <w:ind w:firstLine="400"/>
        <w:rPr>
          <w:color w:val="auto"/>
        </w:rPr>
      </w:pPr>
    </w:p>
    <w:p>
      <w:pPr>
        <w:rPr>
          <w:color w:val="auto"/>
        </w:rPr>
      </w:pPr>
    </w:p>
    <w:p>
      <w:pPr>
        <w:pStyle w:val="2"/>
        <w:ind w:firstLine="400"/>
        <w:rPr>
          <w:color w:val="auto"/>
        </w:rPr>
      </w:pPr>
    </w:p>
    <w:p>
      <w:pPr>
        <w:rPr>
          <w:color w:val="auto"/>
          <w:sz w:val="52"/>
          <w:szCs w:val="52"/>
        </w:rPr>
      </w:pPr>
    </w:p>
    <w:p>
      <w:pPr>
        <w:pStyle w:val="2"/>
        <w:ind w:left="0" w:leftChars="0" w:firstLine="0" w:firstLineChars="0"/>
        <w:jc w:val="center"/>
        <w:rPr>
          <w:rFonts w:ascii="Times New Roman"/>
          <w:color w:val="auto"/>
          <w:sz w:val="32"/>
          <w:szCs w:val="32"/>
        </w:rPr>
      </w:pPr>
      <w:r>
        <w:rPr>
          <w:rFonts w:hint="eastAsia" w:ascii="Times New Roman"/>
          <w:color w:val="auto"/>
          <w:sz w:val="32"/>
          <w:szCs w:val="32"/>
        </w:rPr>
        <w:t>建设单位：</w:t>
      </w:r>
      <w:r>
        <w:rPr>
          <w:rFonts w:ascii="Times New Roman"/>
          <w:color w:val="auto"/>
          <w:sz w:val="32"/>
          <w:szCs w:val="32"/>
        </w:rPr>
        <w:t>清远市清城区信兴金属回收加工有限公司</w:t>
      </w:r>
    </w:p>
    <w:p>
      <w:pPr>
        <w:pStyle w:val="2"/>
        <w:ind w:left="0" w:leftChars="0" w:firstLine="1600" w:firstLineChars="500"/>
        <w:rPr>
          <w:rFonts w:ascii="Times New Roman"/>
          <w:color w:val="auto"/>
          <w:sz w:val="32"/>
          <w:szCs w:val="32"/>
        </w:rPr>
      </w:pPr>
      <w:r>
        <w:rPr>
          <w:rFonts w:hint="eastAsia" w:ascii="Times New Roman"/>
          <w:color w:val="auto"/>
          <w:sz w:val="32"/>
          <w:szCs w:val="32"/>
        </w:rPr>
        <w:t>评价单位：</w:t>
      </w:r>
      <w:r>
        <w:rPr>
          <w:rFonts w:ascii="Times New Roman"/>
          <w:color w:val="auto"/>
          <w:sz w:val="32"/>
          <w:szCs w:val="32"/>
        </w:rPr>
        <w:t>南京易环环保科技有限公司</w:t>
      </w:r>
    </w:p>
    <w:p>
      <w:pPr>
        <w:pStyle w:val="2"/>
        <w:ind w:firstLine="0" w:firstLineChars="0"/>
        <w:jc w:val="center"/>
        <w:rPr>
          <w:rFonts w:ascii="Times New Roman"/>
          <w:color w:val="auto"/>
          <w:sz w:val="32"/>
          <w:szCs w:val="32"/>
        </w:rPr>
        <w:sectPr>
          <w:headerReference r:id="rId3" w:type="default"/>
          <w:pgSz w:w="11906" w:h="16838"/>
          <w:pgMar w:top="1417" w:right="1587" w:bottom="1417" w:left="1587" w:header="850" w:footer="992" w:gutter="0"/>
          <w:pgBorders>
            <w:top w:val="none" w:sz="0" w:space="0"/>
            <w:left w:val="none" w:sz="0" w:space="0"/>
            <w:bottom w:val="none" w:sz="0" w:space="0"/>
            <w:right w:val="none" w:sz="0" w:space="0"/>
          </w:pgBorders>
          <w:pgNumType w:start="1"/>
          <w:cols w:space="0" w:num="1"/>
          <w:docGrid w:type="lines" w:linePitch="318" w:charSpace="0"/>
        </w:sectPr>
      </w:pPr>
      <w:r>
        <w:rPr>
          <w:rFonts w:hint="eastAsia" w:ascii="Times New Roman"/>
          <w:color w:val="auto"/>
          <w:sz w:val="32"/>
          <w:szCs w:val="32"/>
        </w:rPr>
        <w:t>二〇二〇年六月</w:t>
      </w:r>
    </w:p>
    <w:p>
      <w:pPr>
        <w:pStyle w:val="18"/>
        <w:tabs>
          <w:tab w:val="right" w:leader="dot" w:pos="8732"/>
        </w:tabs>
        <w:jc w:val="center"/>
        <w:rPr>
          <w:b/>
          <w:bCs/>
          <w:color w:val="auto"/>
          <w:sz w:val="32"/>
          <w:szCs w:val="32"/>
        </w:rPr>
      </w:pPr>
      <w:r>
        <w:rPr>
          <w:rFonts w:hint="eastAsia"/>
          <w:b/>
          <w:bCs/>
          <w:color w:val="auto"/>
          <w:sz w:val="32"/>
          <w:szCs w:val="32"/>
        </w:rPr>
        <w:t>目  录</w:t>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"1-2"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  概述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_Toc13399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  项目背景</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_Toc1875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  建设项目特点</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_Toc2243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  环境影响评价工作程序</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_Toc19577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1.4  相关情况判定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_Toc17338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  关注的主要环境问题及主要影响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1.6  主要结论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_Toc11680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  总则</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_Toc23848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2.1  编制依据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_Toc17942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2.2  评价目的、原则及评价重点</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_Toc19561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2.3  环境功能区划</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_Toc16137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2.4  环境质量标准及污染物排放标准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_Toc15250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2.5  评价因子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_Toc22826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2.6  环境评价工作等级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_Toc21880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31</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2.7  评价范围</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_Toc23548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2.8  环境保护目标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  现有项目回顾分析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_Toc1067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3.1  现有项目介绍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_Toc23309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4.2  工程组成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_Toc17860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4.3  生产概况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_Toc23597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4.4  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_Toc32416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4.5  污染源强分析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_Toc7525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89</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4.6  总量控制指标分析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110</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  环境现状调查与评价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_Toc6828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5.1  自然环境概况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_Toc17307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5.2  石角工业园概况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_Toc23740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115</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5.3  周边污染源调查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_Toc12859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5.4  地表水环境质量现状调查与评价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_Toc30985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5.5  地下水环境质量现状调查与评价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_Toc4334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125</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5.6  大气环境质量现状调查与评价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_Toc32192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5.7  声环境质量现状调查与评价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_Toc28022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5.8  土壤环境质量现状调查与评价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_Toc16576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5.9  河流底泥环境现状监测与评价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_Toc20691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172</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  环境影响分析与评价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_Toc28472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6.1  施工期环境影响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_Toc8925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6.2  运营期地表水环境影响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_Toc11108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6.3  运营期地下水环境影响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_Toc30619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6.4  运营期大气环境影响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_Toc12544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6.5运营期声环境影响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_Toc31848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6.6  运营期固体废弃物环境影响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_Toc32349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6.7  土壤环境影响分析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_Toc11043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6.8  生态环境影响分析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_Toc12112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6.9  现有项目搬迁环境影响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_Toc23550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215</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7  </w:t>
      </w:r>
      <w:r>
        <w:rPr>
          <w:rFonts w:hint="default" w:ascii="Times New Roman" w:hAnsi="Times New Roman" w:eastAsia="宋体" w:cs="Times New Roman"/>
          <w:color w:val="auto"/>
          <w:sz w:val="24"/>
          <w:szCs w:val="24"/>
          <w:lang w:val="zh-CN"/>
        </w:rPr>
        <w:t>环境风险评价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_Toc24646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7.1  环境风险评价目的</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_Toc21160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7.2  环境风险潜势划分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_Toc25408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7.3  环境风险评价工作分级划分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_Toc7571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7.4  环境敏感目标情况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_Toc22749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7.5  环境风险识别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_Toc10118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7.6  环境风险分析与评价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_Toc8311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7.7  事故风险防范措施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_Toc21563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7.8  风险应急预案</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_Toc6293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7.9  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_Toc14912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7.10  环境风险评价自查表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_Toc8197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229</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  环境保护措施及其可行性论证</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_Toc2457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233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8.1  运营期废气污染防治措施评述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_Toc25280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233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8.2  水污染防治措施评述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_Toc14404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8.3  噪声污染治理措施评述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_Toc25977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245</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8.4  固废污染治理措施评述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_Toc14963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8.5  土壤及地下水污染防治措施评述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_Toc14595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8.6  营运期污染控制措施经济技术可行性分析小结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_Toc18251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255</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  环境影响经济损益分析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_Toc14142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9.1  环境经济损益分析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_Toc11502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9.2  环境效益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_Toc31090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257</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9.3  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_Toc20639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258</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  环境管理与监测计划</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259</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10.1  环境管理要求</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_Toc11514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259</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10.2  监测计划</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_Toc21515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10.3  规范化排污口</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_Toc30431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10.4  污染物排放清单及环境保护验收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_Toc7424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266</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  项目合理合法性分析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_Toc15025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11.1  政策相符性分析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_Toc15759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268</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11.2  环境保护规划相符性分析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_Toc15508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272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11.3  项目选址合理合法性分析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_Toc31630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274</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11.4  与“三线一单”对照相符性分析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_Toc20382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280</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11.5  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_Toc30389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281</w:t>
      </w:r>
      <w:r>
        <w:rPr>
          <w:rFonts w:hint="default" w:ascii="Times New Roman" w:hAnsi="Times New Roman" w:eastAsia="宋体" w:cs="Times New Roman"/>
          <w:color w:val="auto"/>
          <w:sz w:val="24"/>
          <w:szCs w:val="24"/>
        </w:rPr>
        <w:fldChar w:fldCharType="end"/>
      </w:r>
    </w:p>
    <w:p>
      <w:pPr>
        <w:pStyle w:val="18"/>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  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_Toc19535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12.1  项目概况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282</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12.3  营运期环境影响评价结论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_Toc24965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283</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12.4  总量控制分析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_Toc21030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285</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12.5  环境管理与监测计划</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_Toc24525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12.6  项目合法合理性分析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_Toc21799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12.7  公众参与</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_Toc9047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286</w:t>
      </w:r>
      <w:r>
        <w:rPr>
          <w:rFonts w:hint="default" w:ascii="Times New Roman" w:hAnsi="Times New Roman" w:eastAsia="宋体" w:cs="Times New Roman"/>
          <w:color w:val="auto"/>
          <w:sz w:val="24"/>
          <w:szCs w:val="24"/>
        </w:rPr>
        <w:fldChar w:fldCharType="end"/>
      </w:r>
    </w:p>
    <w:p>
      <w:pPr>
        <w:pStyle w:val="19"/>
        <w:tabs>
          <w:tab w:val="right" w:leader="dot" w:pos="8732"/>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12.8  综合结论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_Toc21118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286</w:t>
      </w:r>
      <w:r>
        <w:rPr>
          <w:rFonts w:hint="default" w:ascii="Times New Roman" w:hAnsi="Times New Roman" w:eastAsia="宋体" w:cs="Times New Roman"/>
          <w:color w:val="auto"/>
          <w:sz w:val="24"/>
          <w:szCs w:val="24"/>
        </w:rPr>
        <w:fldChar w:fldCharType="end"/>
      </w:r>
    </w:p>
    <w:p>
      <w:pPr>
        <w:spacing w:line="360" w:lineRule="auto"/>
        <w:rPr>
          <w:rFonts w:hint="default" w:ascii="Times New Roman" w:hAnsi="Times New Roman" w:eastAsia="宋体" w:cs="Times New Roman"/>
          <w:color w:val="auto"/>
          <w:sz w:val="24"/>
          <w:szCs w:val="24"/>
        </w:rPr>
        <w:sectPr>
          <w:pgSz w:w="11906" w:h="16838"/>
          <w:pgMar w:top="1417" w:right="1587" w:bottom="1417" w:left="1587" w:header="850" w:footer="992" w:gutter="0"/>
          <w:pgBorders>
            <w:top w:val="none" w:sz="0" w:space="0"/>
            <w:left w:val="none" w:sz="0" w:space="0"/>
            <w:bottom w:val="none" w:sz="0" w:space="0"/>
            <w:right w:val="none" w:sz="0" w:space="0"/>
          </w:pgBorders>
          <w:pgNumType w:start="1"/>
          <w:cols w:space="0" w:num="1"/>
          <w:docGrid w:type="lines" w:linePitch="318" w:charSpace="0"/>
        </w:sectPr>
      </w:pPr>
      <w:r>
        <w:rPr>
          <w:rFonts w:hint="default" w:ascii="Times New Roman" w:hAnsi="Times New Roman" w:eastAsia="宋体" w:cs="Times New Roman"/>
          <w:color w:val="auto"/>
          <w:sz w:val="24"/>
          <w:szCs w:val="24"/>
        </w:rPr>
        <w:fldChar w:fldCharType="end"/>
      </w:r>
    </w:p>
    <w:p>
      <w:pPr>
        <w:pStyle w:val="4"/>
        <w:numPr>
          <w:ilvl w:val="0"/>
          <w:numId w:val="0"/>
        </w:numPr>
        <w:spacing w:before="159" w:after="159"/>
        <w:ind w:left="568"/>
        <w:rPr>
          <w:color w:val="auto"/>
          <w:sz w:val="44"/>
          <w:szCs w:val="44"/>
        </w:rPr>
      </w:pPr>
      <w:bookmarkStart w:id="5" w:name="_Toc13399"/>
      <w:bookmarkStart w:id="6" w:name="_Toc21651"/>
      <w:r>
        <w:rPr>
          <w:rFonts w:hint="eastAsia"/>
          <w:color w:val="auto"/>
          <w:sz w:val="44"/>
          <w:szCs w:val="44"/>
        </w:rPr>
        <w:t xml:space="preserve">1  </w:t>
      </w:r>
      <w:r>
        <w:rPr>
          <w:color w:val="auto"/>
          <w:sz w:val="44"/>
          <w:szCs w:val="44"/>
        </w:rPr>
        <w:t>概述</w:t>
      </w:r>
      <w:bookmarkEnd w:id="0"/>
      <w:bookmarkEnd w:id="5"/>
      <w:bookmarkEnd w:id="6"/>
    </w:p>
    <w:p>
      <w:pPr>
        <w:pStyle w:val="5"/>
        <w:numPr>
          <w:ilvl w:val="1"/>
          <w:numId w:val="0"/>
        </w:numPr>
        <w:tabs>
          <w:tab w:val="clear" w:pos="720"/>
        </w:tabs>
        <w:spacing w:before="159" w:after="159"/>
        <w:rPr>
          <w:color w:val="auto"/>
          <w:sz w:val="32"/>
          <w:szCs w:val="32"/>
        </w:rPr>
      </w:pPr>
      <w:bookmarkStart w:id="7" w:name="_Toc12959292"/>
      <w:bookmarkStart w:id="8" w:name="_Toc28751"/>
      <w:bookmarkStart w:id="9" w:name="_Toc1875"/>
      <w:bookmarkStart w:id="10" w:name="_Toc341885453"/>
      <w:r>
        <w:rPr>
          <w:rFonts w:hint="eastAsia"/>
          <w:color w:val="auto"/>
          <w:sz w:val="32"/>
          <w:szCs w:val="32"/>
        </w:rPr>
        <w:t xml:space="preserve">1.1  </w:t>
      </w:r>
      <w:r>
        <w:rPr>
          <w:color w:val="auto"/>
          <w:sz w:val="32"/>
          <w:szCs w:val="32"/>
        </w:rPr>
        <w:t>项目背景</w:t>
      </w:r>
      <w:bookmarkEnd w:id="7"/>
      <w:bookmarkEnd w:id="8"/>
      <w:bookmarkEnd w:id="9"/>
      <w:bookmarkEnd w:id="10"/>
    </w:p>
    <w:p>
      <w:pPr>
        <w:pStyle w:val="20"/>
        <w:shd w:val="clear" w:color="auto" w:fill="FFFFFF"/>
        <w:spacing w:before="0" w:beforeAutospacing="0" w:after="0" w:afterAutospacing="0" w:line="360" w:lineRule="auto"/>
        <w:ind w:firstLine="511" w:firstLineChars="213"/>
        <w:jc w:val="both"/>
        <w:rPr>
          <w:rFonts w:ascii="Times New Roman" w:hAnsi="Times New Roman"/>
          <w:color w:val="auto"/>
        </w:rPr>
      </w:pPr>
      <w:r>
        <w:rPr>
          <w:rFonts w:ascii="Times New Roman" w:hAnsi="Times New Roman"/>
          <w:color w:val="auto"/>
        </w:rPr>
        <w:t>清远市清城区信兴金属回收加工有限公司</w:t>
      </w:r>
      <w:r>
        <w:rPr>
          <w:rFonts w:hint="eastAsia" w:ascii="Times New Roman" w:hAnsi="Times New Roman"/>
          <w:color w:val="auto"/>
        </w:rPr>
        <w:t>（下文简称</w:t>
      </w:r>
      <w:r>
        <w:rPr>
          <w:rFonts w:ascii="Times New Roman" w:hAnsi="Times New Roman"/>
          <w:color w:val="auto"/>
        </w:rPr>
        <w:t>信兴</w:t>
      </w:r>
      <w:r>
        <w:rPr>
          <w:rFonts w:hint="eastAsia" w:ascii="Times New Roman" w:hAnsi="Times New Roman"/>
          <w:color w:val="auto"/>
        </w:rPr>
        <w:t>公司）</w:t>
      </w:r>
      <w:r>
        <w:rPr>
          <w:rFonts w:ascii="Times New Roman" w:hAnsi="Times New Roman"/>
          <w:color w:val="auto"/>
        </w:rPr>
        <w:t>位于清远市清城区龙塘镇陂坑管理区万水河边，</w:t>
      </w:r>
      <w:r>
        <w:rPr>
          <w:rFonts w:hint="eastAsia" w:ascii="Times New Roman" w:hAnsi="Times New Roman"/>
          <w:color w:val="auto"/>
        </w:rPr>
        <w:t>中心坐标为</w:t>
      </w:r>
      <w:r>
        <w:rPr>
          <w:rFonts w:ascii="Times New Roman" w:hAnsi="Times New Roman"/>
          <w:color w:val="auto"/>
        </w:rPr>
        <w:t>东经113°6′16″，北纬23°34′20″。</w:t>
      </w:r>
      <w:r>
        <w:rPr>
          <w:rFonts w:hint="eastAsia" w:ascii="Times New Roman" w:hAnsi="Times New Roman"/>
          <w:color w:val="auto"/>
        </w:rPr>
        <w:t>项目</w:t>
      </w:r>
      <w:r>
        <w:rPr>
          <w:rFonts w:ascii="Times New Roman" w:hAnsi="Times New Roman"/>
          <w:color w:val="auto"/>
        </w:rPr>
        <w:t>占地面积13000平方米，建筑面积约</w:t>
      </w:r>
      <w:r>
        <w:rPr>
          <w:rFonts w:hint="eastAsia" w:ascii="Times New Roman" w:hAnsi="Times New Roman"/>
          <w:color w:val="auto"/>
          <w:lang w:eastAsia="zh-CN"/>
        </w:rPr>
        <w:t>7300平方米</w:t>
      </w:r>
      <w:r>
        <w:rPr>
          <w:rFonts w:hint="eastAsia" w:ascii="Times New Roman" w:hAnsi="Times New Roman"/>
          <w:color w:val="auto"/>
        </w:rPr>
        <w:t>，总投资50万元，其中环保投资10万元；年破碎3000吨覆铜板边角料（不含多氯联苯、多氯三联苯、多溴联苯等），回收铜粉600吨。</w:t>
      </w:r>
      <w:r>
        <w:rPr>
          <w:rFonts w:ascii="Times New Roman" w:hAnsi="Times New Roman"/>
          <w:color w:val="auto"/>
        </w:rPr>
        <w:t>信兴</w:t>
      </w:r>
      <w:r>
        <w:rPr>
          <w:rFonts w:hint="eastAsia" w:ascii="Times New Roman" w:hAnsi="Times New Roman"/>
          <w:color w:val="auto"/>
        </w:rPr>
        <w:t>公司</w:t>
      </w:r>
      <w:r>
        <w:rPr>
          <w:rFonts w:ascii="Times New Roman" w:hAnsi="Times New Roman"/>
          <w:color w:val="auto"/>
        </w:rPr>
        <w:t>于2008年取得</w:t>
      </w:r>
      <w:r>
        <w:rPr>
          <w:rFonts w:hint="eastAsia" w:ascii="Times New Roman" w:hAnsi="Times New Roman"/>
          <w:color w:val="auto"/>
        </w:rPr>
        <w:t>原</w:t>
      </w:r>
      <w:r>
        <w:rPr>
          <w:rFonts w:ascii="Times New Roman" w:hAnsi="Times New Roman"/>
          <w:color w:val="auto"/>
        </w:rPr>
        <w:t>清远市</w:t>
      </w:r>
      <w:r>
        <w:rPr>
          <w:rFonts w:hint="eastAsia" w:ascii="Times New Roman" w:hAnsi="Times New Roman"/>
          <w:color w:val="auto"/>
        </w:rPr>
        <w:t>环境保护</w:t>
      </w:r>
      <w:r>
        <w:rPr>
          <w:rFonts w:ascii="Times New Roman" w:hAnsi="Times New Roman"/>
          <w:color w:val="auto"/>
        </w:rPr>
        <w:t>局关于《清远市清城区信兴金属回收加工厂年回收铜粉600吨建设项目环境影响报告表》的批复（清环建表[2008]141号）</w:t>
      </w:r>
      <w:r>
        <w:rPr>
          <w:rFonts w:hint="eastAsia" w:ascii="Times New Roman" w:hAnsi="Times New Roman"/>
          <w:color w:val="auto"/>
        </w:rPr>
        <w:t>。</w:t>
      </w:r>
    </w:p>
    <w:p>
      <w:pPr>
        <w:pStyle w:val="20"/>
        <w:shd w:val="clear" w:color="auto" w:fill="FFFFFF"/>
        <w:spacing w:before="0" w:beforeAutospacing="0" w:after="0" w:afterAutospacing="0" w:line="360" w:lineRule="auto"/>
        <w:ind w:firstLine="511" w:firstLineChars="213"/>
        <w:jc w:val="both"/>
        <w:rPr>
          <w:rFonts w:ascii="Times New Roman" w:hAnsi="Times New Roman"/>
          <w:color w:val="auto"/>
          <w:highlight w:val="yellow"/>
        </w:rPr>
      </w:pPr>
      <w:r>
        <w:rPr>
          <w:rFonts w:hint="eastAsia" w:ascii="Times New Roman" w:hAnsi="Times New Roman"/>
          <w:color w:val="auto"/>
        </w:rPr>
        <w:t>现有项目在破碎覆铜板边角料（不含多氯联苯、多氯三联苯、多溴联苯等）的过程中会产生废树脂粉，由于在《国家危险废物名录》（2008版）中废树脂粉不属于危险废物，自现有项目投产开始，一直将该类废物作为一般工业固体废物交青山垃圾填埋场卫生填埋。《国家危险废物名录》于2016年更新后，其中明确指出“废覆铜板、废印刷线路板、电路板破碎分选回收金属后产生的废树脂粉”属于HW13有机树脂类危险废物(900-451-13)，废物性质的改变使处理该类废树脂粉难度加大。</w:t>
      </w:r>
      <w:r>
        <w:rPr>
          <w:rFonts w:ascii="Times New Roman" w:hAnsi="Times New Roman"/>
          <w:color w:val="auto"/>
          <w:shd w:val="clear" w:color="auto" w:fill="FFFFFF"/>
        </w:rPr>
        <w:t>为</w:t>
      </w:r>
      <w:r>
        <w:rPr>
          <w:rFonts w:hint="eastAsia" w:ascii="Times New Roman" w:hAnsi="Times New Roman"/>
          <w:color w:val="auto"/>
          <w:shd w:val="clear" w:color="auto" w:fill="FFFFFF"/>
        </w:rPr>
        <w:t>安全处理现有项目产生的废树脂粉，</w:t>
      </w:r>
      <w:r>
        <w:rPr>
          <w:rFonts w:ascii="Times New Roman" w:hAnsi="Times New Roman"/>
          <w:color w:val="auto"/>
        </w:rPr>
        <w:t>信兴</w:t>
      </w:r>
      <w:r>
        <w:rPr>
          <w:rFonts w:hint="eastAsia" w:ascii="Times New Roman" w:hAnsi="Times New Roman"/>
          <w:color w:val="auto"/>
        </w:rPr>
        <w:t>公司</w:t>
      </w:r>
      <w:r>
        <w:rPr>
          <w:rFonts w:ascii="Times New Roman" w:hAnsi="Times New Roman"/>
          <w:color w:val="auto"/>
          <w:shd w:val="clear" w:color="auto" w:fill="FFFFFF"/>
        </w:rPr>
        <w:t>决定</w:t>
      </w:r>
      <w:r>
        <w:rPr>
          <w:rFonts w:hint="eastAsia" w:ascii="Times New Roman" w:hAnsi="Times New Roman"/>
          <w:color w:val="auto"/>
          <w:shd w:val="clear" w:color="auto" w:fill="FFFFFF"/>
        </w:rPr>
        <w:t>进行</w:t>
      </w:r>
      <w:r>
        <w:rPr>
          <w:rFonts w:hint="eastAsia" w:ascii="Times New Roman" w:hAnsi="Times New Roman"/>
          <w:color w:val="auto"/>
          <w:shd w:val="clear" w:color="auto" w:fill="FFFFFF"/>
          <w:lang w:eastAsia="zh-CN"/>
        </w:rPr>
        <w:t>迁改扩</w:t>
      </w:r>
      <w:r>
        <w:rPr>
          <w:rFonts w:hint="eastAsia" w:ascii="Times New Roman" w:hAnsi="Times New Roman"/>
          <w:color w:val="auto"/>
          <w:shd w:val="clear" w:color="auto" w:fill="FFFFFF"/>
        </w:rPr>
        <w:t>建，对项目产生的废树脂粉在厂区内进一步加工</w:t>
      </w:r>
      <w:r>
        <w:rPr>
          <w:rFonts w:ascii="Times New Roman" w:hAnsi="Times New Roman"/>
          <w:color w:val="auto"/>
        </w:rPr>
        <w:t>制成防水卷材</w:t>
      </w:r>
      <w:r>
        <w:rPr>
          <w:rFonts w:hint="eastAsia" w:ascii="Times New Roman" w:hAnsi="Times New Roman"/>
          <w:color w:val="auto"/>
        </w:rPr>
        <w:t>，可以最大程度综合利用废树脂粉，减少对周围环境的影响。此外由于现有项目所在地用地性质已从工业用地变为</w:t>
      </w:r>
      <w:r>
        <w:rPr>
          <w:rFonts w:hint="eastAsia" w:ascii="Times New Roman" w:hAnsi="Times New Roman"/>
          <w:color w:val="auto"/>
          <w:lang w:val="en-US" w:eastAsia="zh-CN"/>
        </w:rPr>
        <w:t>居住</w:t>
      </w:r>
      <w:r>
        <w:rPr>
          <w:rFonts w:hint="eastAsia" w:ascii="Times New Roman" w:hAnsi="Times New Roman"/>
          <w:color w:val="auto"/>
        </w:rPr>
        <w:t>用地，无法在现有厂房上进行</w:t>
      </w:r>
      <w:r>
        <w:rPr>
          <w:rFonts w:hint="eastAsia" w:ascii="Times New Roman" w:hAnsi="Times New Roman"/>
          <w:color w:val="auto"/>
          <w:lang w:eastAsia="zh-CN"/>
        </w:rPr>
        <w:t>改扩</w:t>
      </w:r>
      <w:r>
        <w:rPr>
          <w:rFonts w:hint="eastAsia" w:ascii="Times New Roman" w:hAnsi="Times New Roman"/>
          <w:color w:val="auto"/>
        </w:rPr>
        <w:t>建，故</w:t>
      </w:r>
      <w:r>
        <w:rPr>
          <w:rFonts w:ascii="Times New Roman" w:hAnsi="Times New Roman"/>
          <w:color w:val="auto"/>
        </w:rPr>
        <w:t>信兴</w:t>
      </w:r>
      <w:r>
        <w:rPr>
          <w:rFonts w:hint="eastAsia" w:ascii="Times New Roman" w:hAnsi="Times New Roman"/>
          <w:color w:val="auto"/>
        </w:rPr>
        <w:t>公司拟在</w:t>
      </w:r>
      <w:r>
        <w:rPr>
          <w:rFonts w:ascii="Times New Roman" w:hAnsi="Times New Roman"/>
          <w:bCs/>
          <w:snapToGrid w:val="0"/>
          <w:color w:val="auto"/>
        </w:rPr>
        <w:t>清远市清城区石角镇界牌北江工业园内</w:t>
      </w:r>
      <w:r>
        <w:rPr>
          <w:rFonts w:hint="eastAsia" w:ascii="Times New Roman" w:hAnsi="Times New Roman"/>
          <w:bCs/>
          <w:snapToGrid w:val="0"/>
          <w:color w:val="auto"/>
        </w:rPr>
        <w:t>进行项目</w:t>
      </w:r>
      <w:r>
        <w:rPr>
          <w:rFonts w:hint="eastAsia" w:ascii="Times New Roman" w:hAnsi="Times New Roman"/>
          <w:bCs/>
          <w:snapToGrid w:val="0"/>
          <w:color w:val="auto"/>
          <w:lang w:eastAsia="zh-CN"/>
        </w:rPr>
        <w:t>迁改</w:t>
      </w:r>
      <w:r>
        <w:rPr>
          <w:rFonts w:hint="eastAsia" w:ascii="Times New Roman" w:hAnsi="Times New Roman"/>
          <w:bCs/>
          <w:snapToGrid w:val="0"/>
          <w:color w:val="auto"/>
        </w:rPr>
        <w:t>扩建（以下简称“本项目”）</w:t>
      </w:r>
      <w:r>
        <w:rPr>
          <w:rFonts w:hint="eastAsia" w:ascii="Times New Roman" w:hAnsi="Times New Roman"/>
          <w:color w:val="auto"/>
          <w:shd w:val="clear" w:color="auto" w:fill="FFFFFF"/>
        </w:rPr>
        <w:t>。</w:t>
      </w:r>
      <w:r>
        <w:rPr>
          <w:rFonts w:ascii="Times New Roman" w:hAnsi="Times New Roman"/>
          <w:color w:val="auto"/>
          <w:shd w:val="clear" w:color="auto" w:fill="FFFFFF"/>
        </w:rPr>
        <w:t>本次</w:t>
      </w:r>
      <w:r>
        <w:rPr>
          <w:rFonts w:hint="eastAsia" w:ascii="Times New Roman" w:hAnsi="Times New Roman"/>
          <w:color w:val="auto"/>
          <w:shd w:val="clear" w:color="auto" w:fill="FFFFFF"/>
          <w:lang w:eastAsia="zh-CN"/>
        </w:rPr>
        <w:t>迁改</w:t>
      </w:r>
      <w:r>
        <w:rPr>
          <w:rFonts w:hint="eastAsia" w:ascii="Times New Roman" w:hAnsi="Times New Roman"/>
          <w:color w:val="auto"/>
          <w:shd w:val="clear" w:color="auto" w:fill="FFFFFF"/>
        </w:rPr>
        <w:t>扩建</w:t>
      </w:r>
      <w:r>
        <w:rPr>
          <w:rFonts w:ascii="Times New Roman" w:hAnsi="Times New Roman"/>
          <w:color w:val="auto"/>
          <w:shd w:val="clear" w:color="auto" w:fill="FFFFFF"/>
        </w:rPr>
        <w:t>后，</w:t>
      </w:r>
      <w:r>
        <w:rPr>
          <w:rFonts w:ascii="Times New Roman" w:hAnsi="Times New Roman"/>
          <w:color w:val="auto"/>
        </w:rPr>
        <w:t>年</w:t>
      </w:r>
      <w:r>
        <w:rPr>
          <w:rFonts w:hint="eastAsia" w:ascii="Times New Roman" w:hAnsi="Times New Roman"/>
          <w:color w:val="auto"/>
        </w:rPr>
        <w:t>回收</w:t>
      </w:r>
      <w:r>
        <w:rPr>
          <w:rFonts w:ascii="Times New Roman" w:hAnsi="Times New Roman"/>
          <w:color w:val="auto"/>
        </w:rPr>
        <w:t>处理废覆铜板</w:t>
      </w:r>
      <w:r>
        <w:rPr>
          <w:rFonts w:hint="eastAsia" w:ascii="Times New Roman" w:hAnsi="Times New Roman"/>
          <w:color w:val="auto"/>
        </w:rPr>
        <w:t>3万</w:t>
      </w:r>
      <w:r>
        <w:rPr>
          <w:rFonts w:ascii="Times New Roman" w:hAnsi="Times New Roman"/>
          <w:color w:val="auto"/>
        </w:rPr>
        <w:t>吨，</w:t>
      </w:r>
      <w:r>
        <w:rPr>
          <w:rFonts w:hint="eastAsia" w:ascii="Times New Roman" w:hAnsi="Times New Roman"/>
          <w:color w:val="auto"/>
          <w:lang w:val="en-US" w:eastAsia="zh-CN"/>
        </w:rPr>
        <w:t>产出铜粉23574t/a、</w:t>
      </w:r>
      <w:r>
        <w:rPr>
          <w:rFonts w:ascii="Times New Roman" w:hAnsi="Times New Roman"/>
          <w:color w:val="auto"/>
        </w:rPr>
        <w:t>防水卷材</w:t>
      </w:r>
      <w:r>
        <w:rPr>
          <w:rFonts w:hint="eastAsia" w:ascii="Times New Roman" w:hAnsi="Times New Roman"/>
          <w:color w:val="auto"/>
        </w:rPr>
        <w:t>2.3万t/a（折合</w:t>
      </w:r>
      <w:r>
        <w:rPr>
          <w:rFonts w:ascii="Times New Roman" w:hAnsi="Times New Roman"/>
          <w:color w:val="auto"/>
        </w:rPr>
        <w:t>1000万平方米</w:t>
      </w:r>
      <w:r>
        <w:rPr>
          <w:rFonts w:hint="eastAsia" w:ascii="Times New Roman" w:hAnsi="Times New Roman"/>
          <w:color w:val="auto"/>
        </w:rPr>
        <w:t>）</w:t>
      </w:r>
      <w:r>
        <w:rPr>
          <w:rFonts w:ascii="Times New Roman" w:hAnsi="Times New Roman"/>
          <w:color w:val="auto"/>
        </w:rPr>
        <w:t>。</w:t>
      </w:r>
    </w:p>
    <w:p>
      <w:pPr>
        <w:pStyle w:val="20"/>
        <w:shd w:val="clear" w:color="auto" w:fill="FFFFFF"/>
        <w:spacing w:before="0" w:beforeAutospacing="0" w:after="0" w:afterAutospacing="0" w:line="360" w:lineRule="auto"/>
        <w:ind w:firstLine="511" w:firstLineChars="213"/>
        <w:jc w:val="both"/>
        <w:rPr>
          <w:rFonts w:ascii="Times New Roman" w:hAnsi="Times New Roman"/>
          <w:color w:val="auto"/>
        </w:rPr>
        <w:sectPr>
          <w:footerReference r:id="rId4" w:type="default"/>
          <w:pgSz w:w="11906" w:h="16838"/>
          <w:pgMar w:top="1417" w:right="1587" w:bottom="1417" w:left="1587" w:header="850" w:footer="992" w:gutter="0"/>
          <w:pgBorders>
            <w:top w:val="none" w:sz="0" w:space="0"/>
            <w:left w:val="none" w:sz="0" w:space="0"/>
            <w:bottom w:val="none" w:sz="0" w:space="0"/>
            <w:right w:val="none" w:sz="0" w:space="0"/>
          </w:pgBorders>
          <w:pgNumType w:start="1"/>
          <w:cols w:space="0" w:num="1"/>
          <w:docGrid w:type="lines" w:linePitch="318" w:charSpace="0"/>
        </w:sectPr>
      </w:pPr>
      <w:r>
        <w:rPr>
          <w:rFonts w:ascii="Times New Roman" w:hAnsi="Times New Roman"/>
          <w:color w:val="auto"/>
          <w:szCs w:val="21"/>
        </w:rPr>
        <w:t>根据《中华人民共和国环境保护法》、《中华人民共和国环境影响评价法》、《建设项目环境保护管理条例》、《建设项目环境影响评价分类管理名录》及《广东省建设项目环境保护管理条例》等法律法规的有关规定，</w:t>
      </w:r>
      <w:r>
        <w:rPr>
          <w:rFonts w:ascii="Times New Roman" w:hAnsi="Times New Roman"/>
          <w:color w:val="auto"/>
          <w:lang w:bidi="ar"/>
        </w:rPr>
        <w:t>本项目属于“三十、废弃资源综合利用业—86废旧资源（含生物质）加工、再生利用—废电子电器产品、废电池、废弃车、废电机、废五金、废塑料（除分拣清洗工艺的）、废油、废船、废轮胎等加工、再生利用”</w:t>
      </w:r>
      <w:r>
        <w:rPr>
          <w:rFonts w:hint="eastAsia" w:ascii="Times New Roman" w:hAnsi="Times New Roman"/>
          <w:color w:val="auto"/>
          <w:lang w:bidi="ar"/>
        </w:rPr>
        <w:t>类别，应编制环境影响报告书</w:t>
      </w:r>
      <w:r>
        <w:rPr>
          <w:rFonts w:ascii="Times New Roman" w:hAnsi="Times New Roman"/>
          <w:color w:val="auto"/>
          <w:lang w:bidi="ar"/>
        </w:rPr>
        <w:t>。</w:t>
      </w:r>
      <w:r>
        <w:rPr>
          <w:rFonts w:ascii="Times New Roman" w:hAnsi="Times New Roman"/>
          <w:color w:val="auto"/>
          <w:szCs w:val="21"/>
        </w:rPr>
        <w:t>为此，建设单位特委托南京易环环保科技有限公司承担本项目环境影响评价工作。环评单位接受委托后，立即组织评价专题组对评价区域进行了现场踏勘。在认真调查研究及收集有关数据、资料基础上，结合项目所在区域的环境特点和区域规划，对建设项目进行了分析，并按照《环境影响评价技术导则》(大气环境、地</w:t>
      </w:r>
      <w:r>
        <w:rPr>
          <w:rFonts w:hint="eastAsia" w:ascii="Times New Roman" w:hAnsi="Times New Roman"/>
          <w:color w:val="auto"/>
          <w:szCs w:val="21"/>
        </w:rPr>
        <w:t>表</w:t>
      </w:r>
      <w:r>
        <w:rPr>
          <w:rFonts w:ascii="Times New Roman" w:hAnsi="Times New Roman"/>
          <w:color w:val="auto"/>
          <w:szCs w:val="21"/>
        </w:rPr>
        <w:t>水环境、地下水环境、</w:t>
      </w:r>
      <w:r>
        <w:rPr>
          <w:rFonts w:hint="eastAsia" w:ascii="Times New Roman" w:hAnsi="Times New Roman"/>
          <w:color w:val="auto"/>
          <w:szCs w:val="21"/>
        </w:rPr>
        <w:t>土壤环境、声环境</w:t>
      </w:r>
      <w:r>
        <w:rPr>
          <w:rFonts w:ascii="Times New Roman" w:hAnsi="Times New Roman"/>
          <w:color w:val="auto"/>
          <w:szCs w:val="21"/>
        </w:rPr>
        <w:t>、生态影响)有关要求，编制完成</w:t>
      </w:r>
      <w:r>
        <w:rPr>
          <w:rFonts w:ascii="Times New Roman" w:hAnsi="Times New Roman"/>
          <w:color w:val="auto"/>
        </w:rPr>
        <w:t>《清远市清城区信兴金属回收加工有限公司工业固体废弃物</w:t>
      </w:r>
      <w:r>
        <w:rPr>
          <w:rFonts w:hint="eastAsia" w:ascii="Times New Roman" w:hAnsi="Times New Roman"/>
          <w:color w:val="auto"/>
          <w:lang w:eastAsia="zh-CN"/>
        </w:rPr>
        <w:t>迁改</w:t>
      </w:r>
      <w:r>
        <w:rPr>
          <w:rFonts w:hint="eastAsia" w:ascii="Times New Roman" w:hAnsi="Times New Roman"/>
          <w:color w:val="auto"/>
        </w:rPr>
        <w:t>扩建</w:t>
      </w:r>
      <w:r>
        <w:rPr>
          <w:rFonts w:ascii="Times New Roman" w:hAnsi="Times New Roman"/>
          <w:color w:val="auto"/>
        </w:rPr>
        <w:t>综合利用项目</w:t>
      </w:r>
      <w:r>
        <w:rPr>
          <w:rFonts w:ascii="Times New Roman" w:hAnsi="Times New Roman"/>
          <w:color w:val="auto"/>
          <w:szCs w:val="21"/>
        </w:rPr>
        <w:t>环</w:t>
      </w:r>
      <w:r>
        <w:rPr>
          <w:rFonts w:ascii="Times New Roman" w:hAnsi="Times New Roman"/>
          <w:color w:val="auto"/>
        </w:rPr>
        <w:t>境影响报告书》。</w:t>
      </w:r>
    </w:p>
    <w:p>
      <w:pPr>
        <w:snapToGrid w:val="0"/>
        <w:spacing w:line="360" w:lineRule="auto"/>
        <w:ind w:firstLine="420"/>
        <w:jc w:val="center"/>
        <w:rPr>
          <w:color w:val="auto"/>
        </w:rPr>
      </w:pPr>
      <w:r>
        <w:rPr>
          <w:color w:val="auto"/>
        </w:rPr>
        <w:drawing>
          <wp:inline distT="0" distB="0" distL="114300" distR="114300">
            <wp:extent cx="7397115" cy="5234305"/>
            <wp:effectExtent l="0" t="0" r="13335" b="4445"/>
            <wp:docPr id="6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9"/>
                    <pic:cNvPicPr>
                      <a:picLocks noChangeAspect="1"/>
                    </pic:cNvPicPr>
                  </pic:nvPicPr>
                  <pic:blipFill>
                    <a:blip r:embed="rId17"/>
                    <a:stretch>
                      <a:fillRect/>
                    </a:stretch>
                  </pic:blipFill>
                  <pic:spPr>
                    <a:xfrm>
                      <a:off x="0" y="0"/>
                      <a:ext cx="7397115" cy="5234305"/>
                    </a:xfrm>
                    <a:prstGeom prst="rect">
                      <a:avLst/>
                    </a:prstGeom>
                    <a:noFill/>
                    <a:ln>
                      <a:noFill/>
                    </a:ln>
                  </pic:spPr>
                </pic:pic>
              </a:graphicData>
            </a:graphic>
          </wp:inline>
        </w:drawing>
      </w:r>
    </w:p>
    <w:p>
      <w:pPr>
        <w:snapToGrid w:val="0"/>
        <w:spacing w:line="360" w:lineRule="auto"/>
        <w:ind w:firstLine="420"/>
        <w:jc w:val="center"/>
        <w:rPr>
          <w:color w:val="auto"/>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b/>
          <w:color w:val="auto"/>
          <w:sz w:val="24"/>
        </w:rPr>
        <w:t>图1.1-1  项目地理位置图</w:t>
      </w:r>
    </w:p>
    <w:p>
      <w:pPr>
        <w:pStyle w:val="5"/>
        <w:numPr>
          <w:ilvl w:val="1"/>
          <w:numId w:val="0"/>
        </w:numPr>
        <w:tabs>
          <w:tab w:val="clear" w:pos="720"/>
        </w:tabs>
        <w:spacing w:before="159" w:after="159"/>
        <w:rPr>
          <w:color w:val="auto"/>
          <w:sz w:val="32"/>
          <w:szCs w:val="32"/>
        </w:rPr>
      </w:pPr>
      <w:bookmarkStart w:id="11" w:name="_Toc2243"/>
      <w:bookmarkStart w:id="12" w:name="_Toc12959293"/>
      <w:bookmarkStart w:id="13" w:name="_Toc341885454"/>
      <w:bookmarkStart w:id="14" w:name="_Toc13796"/>
      <w:r>
        <w:rPr>
          <w:rFonts w:hint="eastAsia"/>
          <w:color w:val="auto"/>
          <w:sz w:val="32"/>
          <w:szCs w:val="32"/>
        </w:rPr>
        <w:t xml:space="preserve">1.2  </w:t>
      </w:r>
      <w:r>
        <w:rPr>
          <w:color w:val="auto"/>
          <w:sz w:val="32"/>
          <w:szCs w:val="32"/>
        </w:rPr>
        <w:t>建设项目特点</w:t>
      </w:r>
      <w:bookmarkEnd w:id="11"/>
      <w:bookmarkEnd w:id="12"/>
      <w:bookmarkEnd w:id="13"/>
      <w:bookmarkEnd w:id="14"/>
    </w:p>
    <w:p>
      <w:pPr>
        <w:spacing w:line="360" w:lineRule="auto"/>
        <w:ind w:firstLine="480" w:firstLineChars="200"/>
        <w:rPr>
          <w:color w:val="auto"/>
          <w:sz w:val="24"/>
        </w:rPr>
      </w:pPr>
      <w:bookmarkStart w:id="15" w:name="_Toc12959294"/>
      <w:bookmarkStart w:id="16" w:name="_Toc341885455"/>
      <w:r>
        <w:rPr>
          <w:color w:val="auto"/>
          <w:sz w:val="24"/>
          <w:lang w:bidi="ar"/>
        </w:rPr>
        <w:t>（1）</w:t>
      </w:r>
      <w:r>
        <w:rPr>
          <w:rFonts w:hint="eastAsia"/>
          <w:color w:val="auto"/>
          <w:sz w:val="24"/>
          <w:lang w:bidi="ar"/>
        </w:rPr>
        <w:t>本项目设置</w:t>
      </w:r>
      <w:r>
        <w:rPr>
          <w:color w:val="auto"/>
          <w:sz w:val="24"/>
        </w:rPr>
        <w:t>8条废覆铜板</w:t>
      </w:r>
      <w:r>
        <w:rPr>
          <w:rFonts w:hint="eastAsia"/>
          <w:color w:val="auto"/>
          <w:sz w:val="24"/>
        </w:rPr>
        <w:t>湿法</w:t>
      </w:r>
      <w:r>
        <w:rPr>
          <w:color w:val="auto"/>
          <w:sz w:val="24"/>
        </w:rPr>
        <w:t>破碎生产线</w:t>
      </w:r>
      <w:r>
        <w:rPr>
          <w:rFonts w:hint="eastAsia"/>
          <w:color w:val="auto"/>
          <w:sz w:val="24"/>
        </w:rPr>
        <w:t>与一条</w:t>
      </w:r>
      <w:r>
        <w:rPr>
          <w:color w:val="auto"/>
          <w:sz w:val="24"/>
        </w:rPr>
        <w:t>卷材生产线，</w:t>
      </w:r>
      <w:r>
        <w:rPr>
          <w:rFonts w:hint="eastAsia"/>
          <w:color w:val="auto"/>
          <w:sz w:val="24"/>
        </w:rPr>
        <w:t>在外收回的覆铜板</w:t>
      </w:r>
      <w:r>
        <w:rPr>
          <w:color w:val="auto"/>
          <w:sz w:val="24"/>
        </w:rPr>
        <w:t>经</w:t>
      </w:r>
      <w:r>
        <w:rPr>
          <w:rFonts w:hint="eastAsia"/>
          <w:color w:val="auto"/>
          <w:sz w:val="24"/>
        </w:rPr>
        <w:t>湿法破碎</w:t>
      </w:r>
      <w:r>
        <w:rPr>
          <w:color w:val="auto"/>
          <w:sz w:val="24"/>
        </w:rPr>
        <w:t>处理后得到的铜粉对外销售，树脂粉内部消化，作为原料用于防水卷材的生产。</w:t>
      </w:r>
    </w:p>
    <w:p>
      <w:pPr>
        <w:pStyle w:val="2"/>
        <w:spacing w:line="360" w:lineRule="auto"/>
        <w:ind w:left="0" w:leftChars="0" w:firstLine="480"/>
        <w:rPr>
          <w:rFonts w:ascii="Times New Roman"/>
          <w:color w:val="auto"/>
          <w:kern w:val="2"/>
          <w:sz w:val="24"/>
        </w:rPr>
      </w:pPr>
      <w:r>
        <w:rPr>
          <w:rFonts w:hint="eastAsia" w:hAnsi="宋体" w:cs="宋体"/>
          <w:color w:val="auto"/>
          <w:kern w:val="2"/>
          <w:sz w:val="24"/>
        </w:rPr>
        <w:t>（2）①</w:t>
      </w:r>
      <w:r>
        <w:rPr>
          <w:rFonts w:ascii="Times New Roman"/>
          <w:color w:val="auto"/>
          <w:kern w:val="2"/>
          <w:sz w:val="24"/>
        </w:rPr>
        <w:t>本项目以大气污染为主，主要污染因子为颗粒物、苯并</w:t>
      </w:r>
      <w:r>
        <w:rPr>
          <w:rFonts w:hint="eastAsia" w:ascii="Times New Roman"/>
          <w:color w:val="auto"/>
          <w:kern w:val="2"/>
          <w:sz w:val="24"/>
        </w:rPr>
        <w:t>[a]</w:t>
      </w:r>
      <w:r>
        <w:rPr>
          <w:rFonts w:ascii="Times New Roman"/>
          <w:color w:val="auto"/>
          <w:kern w:val="2"/>
          <w:sz w:val="24"/>
        </w:rPr>
        <w:t>芘、</w:t>
      </w:r>
      <w:r>
        <w:rPr>
          <w:rFonts w:hint="eastAsia" w:ascii="Times New Roman"/>
          <w:color w:val="auto"/>
          <w:kern w:val="2"/>
          <w:sz w:val="24"/>
        </w:rPr>
        <w:t>沥青烟和</w:t>
      </w:r>
      <w:r>
        <w:rPr>
          <w:rFonts w:ascii="Times New Roman"/>
          <w:color w:val="auto"/>
          <w:kern w:val="2"/>
          <w:sz w:val="24"/>
        </w:rPr>
        <w:t>非甲烷总烃，</w:t>
      </w:r>
      <w:r>
        <w:rPr>
          <w:rFonts w:hint="eastAsia" w:ascii="Times New Roman"/>
          <w:color w:val="auto"/>
          <w:kern w:val="2"/>
          <w:sz w:val="24"/>
        </w:rPr>
        <w:t>此外还有</w:t>
      </w:r>
      <w:r>
        <w:rPr>
          <w:rFonts w:hint="eastAsia" w:ascii="Times New Roman"/>
          <w:color w:val="auto"/>
          <w:kern w:val="2"/>
          <w:sz w:val="24"/>
          <w:lang w:eastAsia="zh-CN"/>
        </w:rPr>
        <w:t>导热油炉</w:t>
      </w:r>
      <w:r>
        <w:rPr>
          <w:rFonts w:hint="eastAsia" w:ascii="Times New Roman"/>
          <w:color w:val="auto"/>
          <w:kern w:val="2"/>
          <w:sz w:val="24"/>
        </w:rPr>
        <w:t>尾气（</w:t>
      </w:r>
      <w:r>
        <w:rPr>
          <w:rFonts w:ascii="Times New Roman"/>
          <w:color w:val="auto"/>
          <w:kern w:val="2"/>
          <w:sz w:val="24"/>
        </w:rPr>
        <w:t>二氧化硫</w:t>
      </w:r>
      <w:r>
        <w:rPr>
          <w:rFonts w:hint="eastAsia" w:ascii="Times New Roman"/>
          <w:color w:val="auto"/>
          <w:kern w:val="2"/>
          <w:sz w:val="24"/>
        </w:rPr>
        <w:t>、</w:t>
      </w:r>
      <w:r>
        <w:rPr>
          <w:rFonts w:ascii="Times New Roman"/>
          <w:color w:val="auto"/>
          <w:kern w:val="2"/>
          <w:sz w:val="24"/>
        </w:rPr>
        <w:t>氮氧化物</w:t>
      </w:r>
      <w:r>
        <w:rPr>
          <w:rFonts w:hint="eastAsia" w:ascii="Times New Roman"/>
          <w:color w:val="auto"/>
          <w:kern w:val="2"/>
          <w:sz w:val="24"/>
        </w:rPr>
        <w:t>、</w:t>
      </w:r>
      <w:r>
        <w:rPr>
          <w:rFonts w:hint="eastAsia" w:ascii="Times New Roman"/>
          <w:color w:val="auto"/>
          <w:kern w:val="2"/>
          <w:sz w:val="24"/>
          <w:lang w:eastAsia="zh-CN"/>
        </w:rPr>
        <w:t>颗粒物</w:t>
      </w:r>
      <w:r>
        <w:rPr>
          <w:rFonts w:hint="eastAsia" w:ascii="Times New Roman"/>
          <w:color w:val="auto"/>
          <w:kern w:val="2"/>
          <w:sz w:val="24"/>
        </w:rPr>
        <w:t>）和铲车尾气（</w:t>
      </w:r>
      <w:r>
        <w:rPr>
          <w:rFonts w:ascii="Times New Roman"/>
          <w:color w:val="auto"/>
          <w:kern w:val="2"/>
          <w:sz w:val="24"/>
        </w:rPr>
        <w:t>氮氧化物</w:t>
      </w:r>
      <w:r>
        <w:rPr>
          <w:rFonts w:hint="eastAsia" w:ascii="Times New Roman"/>
          <w:color w:val="auto"/>
          <w:kern w:val="2"/>
          <w:sz w:val="24"/>
        </w:rPr>
        <w:t>、一氧化碳、碳氢化合物）。</w:t>
      </w:r>
      <w:r>
        <w:rPr>
          <w:rFonts w:hint="eastAsia" w:hAnsi="宋体" w:cs="宋体"/>
          <w:color w:val="auto"/>
          <w:sz w:val="24"/>
        </w:rPr>
        <w:t>②</w:t>
      </w:r>
      <w:r>
        <w:rPr>
          <w:color w:val="auto"/>
          <w:sz w:val="24"/>
        </w:rPr>
        <w:t>本项目</w:t>
      </w:r>
      <w:r>
        <w:rPr>
          <w:rFonts w:hint="eastAsia"/>
          <w:color w:val="auto"/>
          <w:sz w:val="24"/>
        </w:rPr>
        <w:t>产生的污水主要有生活污水和生产</w:t>
      </w:r>
      <w:r>
        <w:rPr>
          <w:color w:val="auto"/>
          <w:sz w:val="24"/>
        </w:rPr>
        <w:t>废水</w:t>
      </w:r>
      <w:r>
        <w:rPr>
          <w:rFonts w:hint="eastAsia"/>
          <w:color w:val="auto"/>
          <w:sz w:val="24"/>
        </w:rPr>
        <w:t>。生产废水包含湿式破碎生产线的生产</w:t>
      </w:r>
      <w:r>
        <w:rPr>
          <w:color w:val="auto"/>
          <w:sz w:val="24"/>
        </w:rPr>
        <w:t>废水</w:t>
      </w:r>
      <w:r>
        <w:rPr>
          <w:rFonts w:hint="eastAsia"/>
          <w:color w:val="auto"/>
          <w:sz w:val="24"/>
        </w:rPr>
        <w:t>和卷材生产线的冷却水。</w:t>
      </w:r>
      <w:r>
        <w:rPr>
          <w:rFonts w:hint="eastAsia" w:ascii="Times New Roman"/>
          <w:color w:val="auto"/>
          <w:kern w:val="2"/>
          <w:sz w:val="24"/>
        </w:rPr>
        <w:t>③本项目产生的固体废物主要包括员工生活垃圾、废塑料膜、包装废弃物、更换的布袋、化粪池污泥；产生的危险废物主要包括含油废抹布和手套、废矿物油、空油桶、废UV灯管、废活性炭、截留的粉尘和截留的沥青油。④</w:t>
      </w:r>
      <w:r>
        <w:rPr>
          <w:rFonts w:ascii="Times New Roman"/>
          <w:color w:val="auto"/>
          <w:kern w:val="2"/>
          <w:sz w:val="24"/>
        </w:rPr>
        <w:t>本项目噪声主要来源于</w:t>
      </w:r>
      <w:r>
        <w:rPr>
          <w:rFonts w:hint="eastAsia" w:ascii="Times New Roman"/>
          <w:color w:val="auto"/>
          <w:kern w:val="2"/>
          <w:sz w:val="24"/>
        </w:rPr>
        <w:t>各机械设备</w:t>
      </w:r>
      <w:r>
        <w:rPr>
          <w:rFonts w:ascii="Times New Roman"/>
          <w:color w:val="auto"/>
          <w:kern w:val="2"/>
          <w:sz w:val="24"/>
        </w:rPr>
        <w:t>的运行噪声</w:t>
      </w:r>
      <w:r>
        <w:rPr>
          <w:rFonts w:hint="eastAsia" w:ascii="Times New Roman"/>
          <w:color w:val="auto"/>
          <w:kern w:val="2"/>
          <w:sz w:val="24"/>
        </w:rPr>
        <w:t>。</w:t>
      </w:r>
    </w:p>
    <w:p>
      <w:pPr>
        <w:pStyle w:val="2"/>
        <w:spacing w:line="360" w:lineRule="auto"/>
        <w:ind w:left="0" w:leftChars="0" w:firstLine="480"/>
        <w:rPr>
          <w:rFonts w:ascii="Times New Roman"/>
          <w:color w:val="auto"/>
          <w:kern w:val="2"/>
          <w:sz w:val="24"/>
        </w:rPr>
      </w:pPr>
      <w:r>
        <w:rPr>
          <w:rFonts w:hint="eastAsia" w:ascii="Times New Roman"/>
          <w:color w:val="auto"/>
          <w:kern w:val="2"/>
          <w:sz w:val="24"/>
        </w:rPr>
        <w:t>（3）本项目可以将原作为危险废物的废树脂粉作为原材料生产防水卷材，一方面做到减少污染物，另一方面可“变废为宝”，实现资源化利用。不但有利于提高项目的经济效益，同时可做到保护环境。</w:t>
      </w:r>
    </w:p>
    <w:p>
      <w:pPr>
        <w:spacing w:line="360" w:lineRule="auto"/>
        <w:ind w:firstLine="480" w:firstLineChars="200"/>
        <w:rPr>
          <w:color w:val="auto"/>
          <w:sz w:val="24"/>
          <w:lang w:bidi="ar"/>
        </w:rPr>
      </w:pPr>
      <w:r>
        <w:rPr>
          <w:color w:val="auto"/>
          <w:sz w:val="24"/>
        </w:rPr>
        <w:t>（</w:t>
      </w:r>
      <w:r>
        <w:rPr>
          <w:rFonts w:hint="eastAsia"/>
          <w:color w:val="auto"/>
          <w:sz w:val="24"/>
        </w:rPr>
        <w:t>4</w:t>
      </w:r>
      <w:r>
        <w:rPr>
          <w:color w:val="auto"/>
          <w:sz w:val="24"/>
        </w:rPr>
        <w:t>）</w:t>
      </w:r>
      <w:r>
        <w:rPr>
          <w:rFonts w:hint="eastAsia"/>
          <w:color w:val="auto"/>
          <w:sz w:val="24"/>
        </w:rPr>
        <w:t>经分析，本项目产生的废气均能实现达标排放；生产废水经处理后回用于生产，不外排；生活污水</w:t>
      </w:r>
      <w:r>
        <w:rPr>
          <w:color w:val="auto"/>
          <w:sz w:val="24"/>
        </w:rPr>
        <w:t>经三级化粪池预处理后经</w:t>
      </w:r>
      <w:r>
        <w:rPr>
          <w:rFonts w:hint="eastAsia"/>
          <w:color w:val="auto"/>
          <w:sz w:val="24"/>
        </w:rPr>
        <w:t>市政</w:t>
      </w:r>
      <w:r>
        <w:rPr>
          <w:color w:val="auto"/>
          <w:sz w:val="24"/>
        </w:rPr>
        <w:t>管网进入</w:t>
      </w:r>
      <w:r>
        <w:rPr>
          <w:rFonts w:hint="eastAsia"/>
          <w:color w:val="auto"/>
          <w:sz w:val="24"/>
        </w:rPr>
        <w:t>石角</w:t>
      </w:r>
      <w:r>
        <w:rPr>
          <w:color w:val="auto"/>
          <w:sz w:val="24"/>
        </w:rPr>
        <w:t>污水处理厂</w:t>
      </w:r>
      <w:r>
        <w:rPr>
          <w:rFonts w:hint="eastAsia"/>
          <w:color w:val="auto"/>
          <w:sz w:val="24"/>
        </w:rPr>
        <w:t>集中处理，不直接外排；产生的固体废物均能得到无害化处理，噪声源均经过有效的降噪措施，可以实现达标排放。</w:t>
      </w:r>
    </w:p>
    <w:p>
      <w:pPr>
        <w:pStyle w:val="5"/>
        <w:numPr>
          <w:ilvl w:val="1"/>
          <w:numId w:val="0"/>
        </w:numPr>
        <w:tabs>
          <w:tab w:val="clear" w:pos="720"/>
        </w:tabs>
        <w:spacing w:before="159" w:after="159"/>
        <w:rPr>
          <w:color w:val="auto"/>
          <w:sz w:val="32"/>
          <w:szCs w:val="32"/>
        </w:rPr>
      </w:pPr>
      <w:bookmarkStart w:id="17" w:name="_Toc15738"/>
      <w:bookmarkStart w:id="18" w:name="_Toc19577"/>
      <w:r>
        <w:rPr>
          <w:rFonts w:hint="eastAsia"/>
          <w:color w:val="auto"/>
          <w:sz w:val="32"/>
          <w:szCs w:val="32"/>
        </w:rPr>
        <w:t xml:space="preserve">1.3  </w:t>
      </w:r>
      <w:r>
        <w:rPr>
          <w:color w:val="auto"/>
          <w:sz w:val="32"/>
          <w:szCs w:val="32"/>
        </w:rPr>
        <w:t>环境影响评价工作程序</w:t>
      </w:r>
      <w:bookmarkEnd w:id="15"/>
      <w:bookmarkEnd w:id="16"/>
      <w:bookmarkEnd w:id="17"/>
      <w:bookmarkEnd w:id="18"/>
    </w:p>
    <w:p>
      <w:pPr>
        <w:snapToGrid w:val="0"/>
        <w:spacing w:line="360" w:lineRule="auto"/>
        <w:ind w:firstLine="420"/>
        <w:rPr>
          <w:color w:val="auto"/>
          <w:sz w:val="24"/>
        </w:rPr>
      </w:pPr>
      <w:r>
        <w:rPr>
          <w:rFonts w:hint="eastAsia"/>
          <w:color w:val="auto"/>
          <w:sz w:val="24"/>
        </w:rPr>
        <w:t>根据《中华人民共和国环境保护法》、《中华人民共和国环境影响保护法》及《建设项目环境保护条例》等有关规定，2020年5月，</w:t>
      </w:r>
      <w:r>
        <w:rPr>
          <w:color w:val="auto"/>
          <w:sz w:val="24"/>
        </w:rPr>
        <w:t>清远市清城区信兴金属回收加工有限公司委托南京易环环保科技有限公司承担本项目</w:t>
      </w:r>
      <w:r>
        <w:rPr>
          <w:rFonts w:hint="eastAsia"/>
          <w:color w:val="auto"/>
          <w:sz w:val="24"/>
        </w:rPr>
        <w:t>的</w:t>
      </w:r>
      <w:r>
        <w:rPr>
          <w:color w:val="auto"/>
          <w:sz w:val="24"/>
        </w:rPr>
        <w:t>环境影响评价工作</w:t>
      </w:r>
      <w:r>
        <w:rPr>
          <w:rFonts w:hint="eastAsia"/>
          <w:color w:val="auto"/>
          <w:sz w:val="24"/>
        </w:rPr>
        <w:t>。接受委托后，我司立即成立了本项目环评小组，在仔细研究国家及地方有关环境保护的法律法规、政策、标准、相关规划、相关技术文件等，进行了初步工程分析、现场踏勘、区域环境现状调查和基础资料收集。同时，建设单位先后进行了两次公众参与调查工作。在此基础上，我司按照国家相关环保法律、法规、污染防治技术政策的有关规定及环境影响评价技术导则要求，编制了《</w:t>
      </w:r>
      <w:r>
        <w:rPr>
          <w:color w:val="auto"/>
          <w:sz w:val="24"/>
        </w:rPr>
        <w:t>清远市清城区信兴金属回收加工有限公司工业固体废弃物</w:t>
      </w:r>
      <w:r>
        <w:rPr>
          <w:rFonts w:hint="eastAsia"/>
          <w:color w:val="auto"/>
          <w:sz w:val="24"/>
          <w:lang w:eastAsia="zh-CN"/>
        </w:rPr>
        <w:t>迁改</w:t>
      </w:r>
      <w:r>
        <w:rPr>
          <w:rFonts w:hint="eastAsia"/>
          <w:color w:val="auto"/>
          <w:sz w:val="24"/>
        </w:rPr>
        <w:t>扩建</w:t>
      </w:r>
      <w:r>
        <w:rPr>
          <w:color w:val="auto"/>
          <w:sz w:val="24"/>
        </w:rPr>
        <w:t>综合利用项目环境影响报告书</w:t>
      </w:r>
      <w:r>
        <w:rPr>
          <w:rFonts w:hint="eastAsia"/>
          <w:color w:val="auto"/>
          <w:sz w:val="24"/>
        </w:rPr>
        <w:t>》。具体编制步骤如下图。</w:t>
      </w:r>
    </w:p>
    <w:p>
      <w:pPr>
        <w:snapToGrid w:val="0"/>
        <w:spacing w:line="360" w:lineRule="auto"/>
        <w:rPr>
          <w:color w:val="auto"/>
          <w:sz w:val="24"/>
        </w:rPr>
      </w:pPr>
      <w:r>
        <w:rPr>
          <w:color w:val="auto"/>
        </w:rPr>
        <w:drawing>
          <wp:inline distT="0" distB="0" distL="114300" distR="114300">
            <wp:extent cx="5322570" cy="5734685"/>
            <wp:effectExtent l="0" t="0" r="11430" b="10795"/>
            <wp:docPr id="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pic:cNvPicPr>
                      <a:picLocks noChangeAspect="1"/>
                    </pic:cNvPicPr>
                  </pic:nvPicPr>
                  <pic:blipFill>
                    <a:blip r:embed="rId18"/>
                    <a:stretch>
                      <a:fillRect/>
                    </a:stretch>
                  </pic:blipFill>
                  <pic:spPr>
                    <a:xfrm>
                      <a:off x="0" y="0"/>
                      <a:ext cx="5322570" cy="5734685"/>
                    </a:xfrm>
                    <a:prstGeom prst="rect">
                      <a:avLst/>
                    </a:prstGeom>
                    <a:noFill/>
                    <a:ln>
                      <a:noFill/>
                    </a:ln>
                  </pic:spPr>
                </pic:pic>
              </a:graphicData>
            </a:graphic>
          </wp:inline>
        </w:drawing>
      </w:r>
    </w:p>
    <w:p>
      <w:pPr>
        <w:pStyle w:val="9"/>
        <w:rPr>
          <w:rFonts w:ascii="Times New Roman" w:hAnsi="Times New Roman" w:eastAsia="宋体"/>
          <w:color w:val="auto"/>
          <w:sz w:val="24"/>
          <w:szCs w:val="24"/>
        </w:rPr>
      </w:pPr>
      <w:r>
        <w:rPr>
          <w:rFonts w:ascii="Times New Roman" w:hAnsi="Times New Roman" w:eastAsia="宋体"/>
          <w:color w:val="auto"/>
          <w:sz w:val="24"/>
          <w:szCs w:val="24"/>
        </w:rPr>
        <w:t>图</w:t>
      </w:r>
      <w:r>
        <w:rPr>
          <w:rFonts w:ascii="Times New Roman" w:hAnsi="Times New Roman" w:eastAsia="宋体"/>
          <w:color w:val="auto"/>
          <w:sz w:val="24"/>
          <w:szCs w:val="24"/>
        </w:rPr>
        <w:fldChar w:fldCharType="begin"/>
      </w:r>
      <w:r>
        <w:rPr>
          <w:rFonts w:ascii="Times New Roman" w:hAnsi="Times New Roman" w:eastAsia="宋体"/>
          <w:color w:val="auto"/>
          <w:sz w:val="24"/>
          <w:szCs w:val="24"/>
        </w:rPr>
        <w:instrText xml:space="preserve"> STYLEREF 2 \s </w:instrText>
      </w:r>
      <w:r>
        <w:rPr>
          <w:rFonts w:ascii="Times New Roman" w:hAnsi="Times New Roman" w:eastAsia="宋体"/>
          <w:color w:val="auto"/>
          <w:sz w:val="24"/>
          <w:szCs w:val="24"/>
        </w:rPr>
        <w:fldChar w:fldCharType="separate"/>
      </w:r>
      <w:r>
        <w:rPr>
          <w:rFonts w:ascii="Times New Roman" w:hAnsi="Times New Roman" w:eastAsia="宋体"/>
          <w:color w:val="auto"/>
          <w:sz w:val="24"/>
          <w:szCs w:val="24"/>
        </w:rPr>
        <w:t>1.3</w:t>
      </w:r>
      <w:r>
        <w:rPr>
          <w:rFonts w:ascii="Times New Roman" w:hAnsi="Times New Roman" w:eastAsia="宋体"/>
          <w:color w:val="auto"/>
          <w:sz w:val="24"/>
          <w:szCs w:val="24"/>
        </w:rPr>
        <w:fldChar w:fldCharType="end"/>
      </w:r>
      <w:r>
        <w:rPr>
          <w:rFonts w:ascii="Times New Roman" w:hAnsi="Times New Roman" w:eastAsia="宋体"/>
          <w:color w:val="auto"/>
          <w:sz w:val="24"/>
          <w:szCs w:val="24"/>
        </w:rPr>
        <w:noBreakHyphen/>
      </w:r>
      <w:r>
        <w:rPr>
          <w:rFonts w:ascii="Times New Roman" w:hAnsi="Times New Roman" w:eastAsia="宋体"/>
          <w:color w:val="auto"/>
          <w:sz w:val="24"/>
          <w:szCs w:val="24"/>
        </w:rPr>
        <w:t>1 本项目环境影响评价工作程序</w:t>
      </w:r>
    </w:p>
    <w:p>
      <w:pPr>
        <w:pStyle w:val="5"/>
        <w:numPr>
          <w:ilvl w:val="1"/>
          <w:numId w:val="0"/>
        </w:numPr>
        <w:tabs>
          <w:tab w:val="clear" w:pos="720"/>
        </w:tabs>
        <w:spacing w:before="159" w:after="159"/>
        <w:rPr>
          <w:color w:val="auto"/>
          <w:sz w:val="32"/>
          <w:szCs w:val="32"/>
        </w:rPr>
      </w:pPr>
      <w:bookmarkStart w:id="19" w:name="_Toc17338"/>
      <w:bookmarkStart w:id="20" w:name="_Toc30121"/>
      <w:bookmarkStart w:id="21" w:name="_Toc12959295"/>
      <w:bookmarkStart w:id="22" w:name="_Toc341885456"/>
      <w:r>
        <w:rPr>
          <w:rFonts w:hint="eastAsia"/>
          <w:color w:val="auto"/>
          <w:sz w:val="32"/>
          <w:szCs w:val="32"/>
        </w:rPr>
        <w:t>1.4  相关情况判定</w:t>
      </w:r>
      <w:bookmarkEnd w:id="19"/>
      <w:bookmarkEnd w:id="20"/>
    </w:p>
    <w:p>
      <w:pPr>
        <w:pStyle w:val="6"/>
        <w:spacing w:line="360" w:lineRule="auto"/>
        <w:ind w:firstLine="480" w:firstLineChars="200"/>
        <w:rPr>
          <w:color w:val="auto"/>
          <w:sz w:val="24"/>
          <w:szCs w:val="24"/>
        </w:rPr>
      </w:pPr>
      <w:r>
        <w:rPr>
          <w:rFonts w:hint="eastAsia"/>
          <w:color w:val="auto"/>
          <w:sz w:val="24"/>
          <w:szCs w:val="24"/>
        </w:rPr>
        <w:t>经分析，项目建设内容以及采用工艺、设备为《产业结构调整指导目录（2019年本）》中鼓励类，无限制类和淘汰类的工艺设备，符合国家产业政策要求；同时，项目的选址和建设符合国家及地方发布的各项规划，功能区划、生态环境保护区划、法律法规及行动计划；项目的最终平面布局充分考虑了所在地自然条件，符合环境保护、安全等多方面要求。</w:t>
      </w:r>
    </w:p>
    <w:p>
      <w:pPr>
        <w:pStyle w:val="6"/>
        <w:spacing w:line="360" w:lineRule="auto"/>
        <w:ind w:firstLine="480" w:firstLineChars="200"/>
        <w:rPr>
          <w:color w:val="auto"/>
          <w:sz w:val="24"/>
          <w:szCs w:val="24"/>
        </w:rPr>
      </w:pPr>
      <w:r>
        <w:rPr>
          <w:rFonts w:hint="eastAsia"/>
          <w:color w:val="auto"/>
          <w:sz w:val="24"/>
          <w:szCs w:val="24"/>
        </w:rPr>
        <w:t>相关的判定结果见下表。</w:t>
      </w:r>
    </w:p>
    <w:p>
      <w:pPr>
        <w:pStyle w:val="6"/>
        <w:ind w:firstLine="422" w:firstLineChars="200"/>
        <w:jc w:val="center"/>
        <w:rPr>
          <w:b/>
          <w:bCs/>
          <w:color w:val="auto"/>
          <w:sz w:val="21"/>
          <w:szCs w:val="21"/>
        </w:rPr>
      </w:pPr>
      <w:r>
        <w:rPr>
          <w:rFonts w:hint="eastAsia"/>
          <w:b/>
          <w:bCs/>
          <w:color w:val="auto"/>
          <w:sz w:val="21"/>
          <w:szCs w:val="21"/>
        </w:rPr>
        <w:t>表1.4-1 项目相关情况判定结果一览表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6200"/>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Align w:val="center"/>
          </w:tcPr>
          <w:p>
            <w:pPr>
              <w:snapToGrid w:val="0"/>
              <w:spacing w:line="360" w:lineRule="auto"/>
              <w:jc w:val="center"/>
              <w:rPr>
                <w:b/>
                <w:bCs/>
                <w:color w:val="auto"/>
                <w:szCs w:val="21"/>
              </w:rPr>
            </w:pPr>
            <w:r>
              <w:rPr>
                <w:rFonts w:hint="eastAsia"/>
                <w:b/>
                <w:bCs/>
                <w:color w:val="auto"/>
                <w:szCs w:val="21"/>
              </w:rPr>
              <w:t>类别</w:t>
            </w:r>
          </w:p>
        </w:tc>
        <w:tc>
          <w:tcPr>
            <w:tcW w:w="6200" w:type="dxa"/>
            <w:vAlign w:val="center"/>
          </w:tcPr>
          <w:p>
            <w:pPr>
              <w:snapToGrid w:val="0"/>
              <w:spacing w:line="360" w:lineRule="auto"/>
              <w:jc w:val="center"/>
              <w:rPr>
                <w:b/>
                <w:bCs/>
                <w:color w:val="auto"/>
                <w:szCs w:val="21"/>
              </w:rPr>
            </w:pPr>
            <w:r>
              <w:rPr>
                <w:rFonts w:hint="eastAsia"/>
                <w:b/>
                <w:bCs/>
                <w:color w:val="auto"/>
                <w:szCs w:val="21"/>
              </w:rPr>
              <w:t>判定依据</w:t>
            </w:r>
          </w:p>
        </w:tc>
        <w:tc>
          <w:tcPr>
            <w:tcW w:w="1300" w:type="dxa"/>
            <w:vAlign w:val="center"/>
          </w:tcPr>
          <w:p>
            <w:pPr>
              <w:snapToGrid w:val="0"/>
              <w:spacing w:line="360" w:lineRule="auto"/>
              <w:jc w:val="center"/>
              <w:rPr>
                <w:b/>
                <w:bCs/>
                <w:color w:val="auto"/>
                <w:szCs w:val="21"/>
              </w:rPr>
            </w:pPr>
            <w:r>
              <w:rPr>
                <w:rFonts w:hint="eastAsia"/>
                <w:b/>
                <w:bCs/>
                <w:color w:val="auto"/>
                <w:szCs w:val="21"/>
              </w:rPr>
              <w:t>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restart"/>
            <w:vAlign w:val="center"/>
          </w:tcPr>
          <w:p>
            <w:pPr>
              <w:snapToGrid w:val="0"/>
              <w:spacing w:line="360" w:lineRule="auto"/>
              <w:jc w:val="center"/>
              <w:rPr>
                <w:color w:val="auto"/>
                <w:szCs w:val="21"/>
              </w:rPr>
            </w:pPr>
            <w:r>
              <w:rPr>
                <w:rFonts w:hint="eastAsia"/>
                <w:color w:val="auto"/>
                <w:szCs w:val="21"/>
              </w:rPr>
              <w:t>产业政策</w:t>
            </w:r>
          </w:p>
        </w:tc>
        <w:tc>
          <w:tcPr>
            <w:tcW w:w="6200" w:type="dxa"/>
            <w:vAlign w:val="center"/>
          </w:tcPr>
          <w:p>
            <w:pPr>
              <w:snapToGrid w:val="0"/>
              <w:spacing w:line="360" w:lineRule="auto"/>
              <w:jc w:val="left"/>
              <w:rPr>
                <w:color w:val="auto"/>
                <w:szCs w:val="21"/>
              </w:rPr>
            </w:pPr>
            <w:r>
              <w:rPr>
                <w:color w:val="auto"/>
                <w:szCs w:val="21"/>
              </w:rPr>
              <w:t>《产业结构调整指导目录（2019年本）》</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《绿色产业指导目录（2019年版）》</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《清远市生态发展区产业发展指引（试行）》</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restart"/>
            <w:vAlign w:val="center"/>
          </w:tcPr>
          <w:p>
            <w:pPr>
              <w:snapToGrid w:val="0"/>
              <w:spacing w:line="360" w:lineRule="auto"/>
              <w:jc w:val="center"/>
              <w:rPr>
                <w:color w:val="auto"/>
                <w:szCs w:val="21"/>
              </w:rPr>
            </w:pPr>
            <w:r>
              <w:rPr>
                <w:rFonts w:hint="eastAsia"/>
                <w:color w:val="auto"/>
                <w:szCs w:val="21"/>
              </w:rPr>
              <w:t>环境保护政策</w:t>
            </w:r>
          </w:p>
        </w:tc>
        <w:tc>
          <w:tcPr>
            <w:tcW w:w="6200" w:type="dxa"/>
            <w:vAlign w:val="center"/>
          </w:tcPr>
          <w:p>
            <w:pPr>
              <w:snapToGrid w:val="0"/>
              <w:spacing w:line="360" w:lineRule="auto"/>
              <w:jc w:val="left"/>
              <w:rPr>
                <w:color w:val="auto"/>
                <w:szCs w:val="21"/>
              </w:rPr>
            </w:pPr>
            <w:r>
              <w:rPr>
                <w:color w:val="auto"/>
                <w:szCs w:val="21"/>
              </w:rPr>
              <w:t>《大气污染防治行动计划》（国发〔2013〕37号）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rPr>
                <w:color w:val="auto"/>
                <w:szCs w:val="21"/>
              </w:rPr>
            </w:pPr>
            <w:r>
              <w:rPr>
                <w:color w:val="auto"/>
                <w:szCs w:val="21"/>
              </w:rPr>
              <w:t>《打赢蓝天保卫战三年行动计划》（国发〔2018〕22号）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《地下水污染防治实施方案》（环土壤〔2019〕25号）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《关于印发&lt;“十三五”挥发性有机物污染防治工作方案&gt;的通知》（环大气[2017]121 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rFonts w:hint="eastAsia"/>
                <w:color w:val="auto"/>
                <w:szCs w:val="21"/>
              </w:rPr>
              <w:t>《</w:t>
            </w:r>
            <w:r>
              <w:rPr>
                <w:color w:val="auto"/>
                <w:szCs w:val="21"/>
              </w:rPr>
              <w:t>广东省大气污染防治</w:t>
            </w:r>
            <w:r>
              <w:rPr>
                <w:rFonts w:hint="eastAsia"/>
                <w:color w:val="auto"/>
                <w:szCs w:val="21"/>
              </w:rPr>
              <w:t>条例》</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《广东省主体功能区规划的配套环保政策》（粤环[2014]7号）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kern w:val="0"/>
                <w:szCs w:val="21"/>
              </w:rPr>
              <w:t>《清远市打赢蓝天保卫战实施方案（2019-2020）》</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kern w:val="0"/>
                <w:szCs w:val="21"/>
                <w:lang w:val="zh-CN"/>
              </w:rPr>
              <w:t>《清远市水污染防治行动计划工作方案》</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kern w:val="0"/>
                <w:szCs w:val="21"/>
                <w:lang w:val="zh-CN"/>
              </w:rPr>
            </w:pPr>
            <w:r>
              <w:rPr>
                <w:color w:val="auto"/>
                <w:kern w:val="0"/>
                <w:szCs w:val="21"/>
                <w:lang w:val="zh-CN"/>
              </w:rPr>
              <w:t>《清远市土壤污染防治行动计划工作方案》</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kern w:val="0"/>
                <w:szCs w:val="21"/>
                <w:lang w:val="zh-CN"/>
              </w:rPr>
            </w:pPr>
            <w:r>
              <w:rPr>
                <w:color w:val="auto"/>
              </w:rPr>
              <w:t>《清远市固废废物污染防治三年行动计划（2018-2020年）》</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rPr>
            </w:pPr>
            <w:r>
              <w:rPr>
                <w:color w:val="auto"/>
                <w:kern w:val="0"/>
                <w:szCs w:val="21"/>
                <w:lang w:val="zh-CN"/>
              </w:rPr>
              <w:t>《清远市重金属污染综合防治行动计划（2018-2020年）》</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kern w:val="0"/>
                <w:szCs w:val="21"/>
                <w:lang w:val="zh-CN"/>
              </w:rPr>
            </w:pPr>
            <w:r>
              <w:rPr>
                <w:color w:val="auto"/>
                <w:kern w:val="0"/>
                <w:szCs w:val="21"/>
                <w:lang w:val="zh-CN"/>
              </w:rPr>
              <w:t>《清远市生态环境局关于固体废物污染防治三年行动计划（2018-2020年）》</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restart"/>
            <w:vAlign w:val="center"/>
          </w:tcPr>
          <w:p>
            <w:pPr>
              <w:snapToGrid w:val="0"/>
              <w:spacing w:line="360" w:lineRule="auto"/>
              <w:jc w:val="center"/>
              <w:rPr>
                <w:color w:val="auto"/>
                <w:szCs w:val="21"/>
              </w:rPr>
            </w:pPr>
            <w:r>
              <w:rPr>
                <w:rFonts w:hint="eastAsia"/>
                <w:color w:val="auto"/>
                <w:szCs w:val="21"/>
              </w:rPr>
              <w:t>环境保护规划</w:t>
            </w:r>
          </w:p>
        </w:tc>
        <w:tc>
          <w:tcPr>
            <w:tcW w:w="6200" w:type="dxa"/>
            <w:vAlign w:val="center"/>
          </w:tcPr>
          <w:p>
            <w:pPr>
              <w:snapToGrid w:val="0"/>
              <w:spacing w:line="360" w:lineRule="auto"/>
              <w:jc w:val="left"/>
              <w:rPr>
                <w:color w:val="auto"/>
                <w:kern w:val="0"/>
                <w:szCs w:val="21"/>
                <w:lang w:val="zh-CN"/>
              </w:rPr>
            </w:pPr>
            <w:r>
              <w:rPr>
                <w:color w:val="auto"/>
                <w:szCs w:val="21"/>
              </w:rPr>
              <w:t>《广东省环境保护“十三五”规划》</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《广东省环境保护规划纲要（2006～2020年）》</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snapToGrid w:val="0"/>
              <w:spacing w:line="360" w:lineRule="auto"/>
              <w:jc w:val="left"/>
              <w:rPr>
                <w:color w:val="auto"/>
                <w:szCs w:val="21"/>
              </w:rPr>
            </w:pPr>
            <w:r>
              <w:rPr>
                <w:color w:val="auto"/>
                <w:szCs w:val="21"/>
              </w:rPr>
              <w:t>《清远市环境保护规划纲要（2007～2020年）》</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autoSpaceDE w:val="0"/>
              <w:autoSpaceDN w:val="0"/>
              <w:adjustRightInd w:val="0"/>
              <w:spacing w:line="360" w:lineRule="auto"/>
              <w:jc w:val="left"/>
              <w:rPr>
                <w:color w:val="auto"/>
                <w:szCs w:val="21"/>
              </w:rPr>
            </w:pPr>
            <w:r>
              <w:rPr>
                <w:color w:val="auto"/>
                <w:szCs w:val="21"/>
              </w:rPr>
              <w:t>《清远市清新区环境保护与生态建设“十三五”规划》（清新府办〔2018〕45号）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Align w:val="center"/>
          </w:tcPr>
          <w:p>
            <w:pPr>
              <w:snapToGrid w:val="0"/>
              <w:spacing w:line="360" w:lineRule="auto"/>
              <w:jc w:val="center"/>
              <w:rPr>
                <w:color w:val="auto"/>
                <w:szCs w:val="21"/>
              </w:rPr>
            </w:pPr>
            <w:r>
              <w:rPr>
                <w:rFonts w:hint="eastAsia"/>
                <w:color w:val="auto"/>
                <w:szCs w:val="21"/>
              </w:rPr>
              <w:t>功能区划</w:t>
            </w:r>
          </w:p>
        </w:tc>
        <w:tc>
          <w:tcPr>
            <w:tcW w:w="6200" w:type="dxa"/>
            <w:vAlign w:val="center"/>
          </w:tcPr>
          <w:p>
            <w:pPr>
              <w:autoSpaceDE w:val="0"/>
              <w:autoSpaceDN w:val="0"/>
              <w:adjustRightInd w:val="0"/>
              <w:spacing w:line="360" w:lineRule="auto"/>
              <w:jc w:val="left"/>
              <w:rPr>
                <w:color w:val="auto"/>
                <w:szCs w:val="21"/>
              </w:rPr>
            </w:pPr>
            <w:r>
              <w:rPr>
                <w:color w:val="auto"/>
                <w:szCs w:val="21"/>
              </w:rPr>
              <w:t>《广东省主体功能区规划》</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restart"/>
            <w:vAlign w:val="center"/>
          </w:tcPr>
          <w:p>
            <w:pPr>
              <w:snapToGrid w:val="0"/>
              <w:spacing w:line="360" w:lineRule="auto"/>
              <w:jc w:val="center"/>
              <w:rPr>
                <w:color w:val="auto"/>
                <w:szCs w:val="21"/>
              </w:rPr>
            </w:pPr>
            <w:r>
              <w:rPr>
                <w:rFonts w:hint="eastAsia"/>
                <w:color w:val="auto"/>
                <w:szCs w:val="21"/>
              </w:rPr>
              <w:t>相关规划</w:t>
            </w:r>
          </w:p>
        </w:tc>
        <w:tc>
          <w:tcPr>
            <w:tcW w:w="6200" w:type="dxa"/>
            <w:vAlign w:val="center"/>
          </w:tcPr>
          <w:p>
            <w:pPr>
              <w:autoSpaceDE w:val="0"/>
              <w:autoSpaceDN w:val="0"/>
              <w:adjustRightInd w:val="0"/>
              <w:spacing w:line="360" w:lineRule="auto"/>
              <w:jc w:val="left"/>
              <w:rPr>
                <w:color w:val="auto"/>
                <w:szCs w:val="21"/>
              </w:rPr>
            </w:pPr>
            <w:r>
              <w:rPr>
                <w:rFonts w:hint="eastAsia"/>
                <w:color w:val="auto"/>
              </w:rPr>
              <w:t>《</w:t>
            </w:r>
            <w:r>
              <w:rPr>
                <w:rFonts w:hint="eastAsia"/>
                <w:color w:val="auto"/>
                <w:lang w:eastAsia="zh-CN"/>
              </w:rPr>
              <w:t>清远市城市总体规划（2016-2035年）</w:t>
            </w:r>
            <w:r>
              <w:rPr>
                <w:rFonts w:hint="eastAsia"/>
                <w:color w:val="auto"/>
              </w:rPr>
              <w:t>》</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autoSpaceDE w:val="0"/>
              <w:autoSpaceDN w:val="0"/>
              <w:adjustRightInd w:val="0"/>
              <w:spacing w:line="360" w:lineRule="auto"/>
              <w:jc w:val="left"/>
              <w:rPr>
                <w:color w:val="auto"/>
              </w:rPr>
            </w:pPr>
            <w:r>
              <w:rPr>
                <w:rFonts w:hint="eastAsia"/>
                <w:color w:val="auto"/>
              </w:rPr>
              <w:t>《清远市土地利用总体规划（2011-2020）</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autoSpaceDE w:val="0"/>
              <w:autoSpaceDN w:val="0"/>
              <w:adjustRightInd w:val="0"/>
              <w:spacing w:line="360" w:lineRule="auto"/>
              <w:jc w:val="left"/>
              <w:rPr>
                <w:color w:val="auto"/>
              </w:rPr>
            </w:pPr>
            <w:r>
              <w:rPr>
                <w:rFonts w:hint="eastAsia"/>
                <w:color w:val="auto"/>
              </w:rPr>
              <w:t>《清远市人民政府关于扩大清远市区高污染燃料禁燃区的通告》（清府函〔2020〕26号）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Merge w:val="continue"/>
            <w:vAlign w:val="center"/>
          </w:tcPr>
          <w:p>
            <w:pPr>
              <w:snapToGrid w:val="0"/>
              <w:spacing w:line="360" w:lineRule="auto"/>
              <w:jc w:val="center"/>
              <w:rPr>
                <w:color w:val="auto"/>
                <w:szCs w:val="21"/>
              </w:rPr>
            </w:pPr>
          </w:p>
        </w:tc>
        <w:tc>
          <w:tcPr>
            <w:tcW w:w="6200" w:type="dxa"/>
            <w:vAlign w:val="center"/>
          </w:tcPr>
          <w:p>
            <w:pPr>
              <w:autoSpaceDE w:val="0"/>
              <w:autoSpaceDN w:val="0"/>
              <w:adjustRightInd w:val="0"/>
              <w:spacing w:line="360" w:lineRule="auto"/>
              <w:jc w:val="left"/>
              <w:rPr>
                <w:color w:val="auto"/>
              </w:rPr>
            </w:pPr>
            <w:r>
              <w:rPr>
                <w:rFonts w:hint="eastAsia"/>
                <w:color w:val="auto"/>
              </w:rPr>
              <w:t>《清远市再生资源回收管理暂行办法》（清府办〔2020〕5号）</w:t>
            </w:r>
          </w:p>
        </w:tc>
        <w:tc>
          <w:tcPr>
            <w:tcW w:w="1300" w:type="dxa"/>
            <w:vAlign w:val="center"/>
          </w:tcPr>
          <w:p>
            <w:pPr>
              <w:snapToGrid w:val="0"/>
              <w:spacing w:line="360" w:lineRule="auto"/>
              <w:jc w:val="center"/>
              <w:rPr>
                <w:color w:val="auto"/>
                <w:szCs w:val="21"/>
              </w:rPr>
            </w:pPr>
            <w:r>
              <w:rPr>
                <w:rFonts w:hint="eastAsia"/>
                <w:color w:val="auto"/>
                <w:szCs w:val="21"/>
              </w:rPr>
              <w:t>符合</w:t>
            </w:r>
          </w:p>
        </w:tc>
      </w:tr>
    </w:tbl>
    <w:p>
      <w:pPr>
        <w:pStyle w:val="5"/>
        <w:numPr>
          <w:ilvl w:val="1"/>
          <w:numId w:val="0"/>
        </w:numPr>
        <w:tabs>
          <w:tab w:val="clear" w:pos="720"/>
        </w:tabs>
        <w:spacing w:before="159" w:after="159"/>
        <w:rPr>
          <w:color w:val="auto"/>
          <w:sz w:val="32"/>
          <w:szCs w:val="32"/>
        </w:rPr>
      </w:pPr>
      <w:bookmarkStart w:id="23" w:name="_Toc1915"/>
      <w:bookmarkStart w:id="24" w:name="_Toc6265"/>
      <w:r>
        <w:rPr>
          <w:rFonts w:hint="eastAsia"/>
          <w:color w:val="auto"/>
          <w:sz w:val="32"/>
          <w:szCs w:val="32"/>
        </w:rPr>
        <w:t xml:space="preserve">1.5  </w:t>
      </w:r>
      <w:r>
        <w:rPr>
          <w:color w:val="auto"/>
          <w:sz w:val="32"/>
          <w:szCs w:val="32"/>
        </w:rPr>
        <w:t>关注的主要环境问题</w:t>
      </w:r>
      <w:bookmarkEnd w:id="21"/>
      <w:bookmarkEnd w:id="22"/>
      <w:r>
        <w:rPr>
          <w:rFonts w:hint="eastAsia"/>
          <w:color w:val="auto"/>
        </w:rPr>
        <w:t>及主要影响</w:t>
      </w:r>
      <w:bookmarkEnd w:id="23"/>
      <w:bookmarkEnd w:id="24"/>
    </w:p>
    <w:p>
      <w:pPr>
        <w:pStyle w:val="7"/>
        <w:numPr>
          <w:ilvl w:val="2"/>
          <w:numId w:val="0"/>
        </w:numPr>
        <w:tabs>
          <w:tab w:val="clear" w:pos="720"/>
        </w:tabs>
        <w:spacing w:before="159" w:after="159"/>
        <w:rPr>
          <w:color w:val="auto"/>
        </w:rPr>
      </w:pPr>
      <w:bookmarkStart w:id="25" w:name="_Toc25948"/>
      <w:r>
        <w:rPr>
          <w:rFonts w:hint="eastAsia"/>
          <w:color w:val="auto"/>
        </w:rPr>
        <w:t>1.5.1  关注的主要环境问题</w:t>
      </w:r>
      <w:bookmarkEnd w:id="25"/>
    </w:p>
    <w:p>
      <w:pPr>
        <w:snapToGrid w:val="0"/>
        <w:spacing w:line="360" w:lineRule="auto"/>
        <w:ind w:firstLine="420"/>
        <w:rPr>
          <w:color w:val="auto"/>
          <w:sz w:val="24"/>
        </w:rPr>
      </w:pPr>
      <w:r>
        <w:rPr>
          <w:color w:val="auto"/>
          <w:sz w:val="24"/>
        </w:rPr>
        <w:t>（1）通过现场调查和现状监测，掌握本项目建设区域环境质量现状及存在的主要环境问题，明确项目所在区域环境是否有环境容量以承载本项目的建设。</w:t>
      </w:r>
    </w:p>
    <w:p>
      <w:pPr>
        <w:snapToGrid w:val="0"/>
        <w:spacing w:line="360" w:lineRule="auto"/>
        <w:ind w:firstLine="420"/>
        <w:rPr>
          <w:color w:val="auto"/>
          <w:sz w:val="24"/>
        </w:rPr>
      </w:pPr>
      <w:r>
        <w:rPr>
          <w:color w:val="auto"/>
          <w:sz w:val="24"/>
        </w:rPr>
        <w:t>（2）项目施工期和营运期产生的废水、废气、噪声和固废等带来的环境污染和生态破坏能否得到有效和妥善的控制，能否采取经济技术可行的污染防治措施和管理措施，将项目建设和营运活动对环境的影响降至最低程度。</w:t>
      </w:r>
    </w:p>
    <w:p>
      <w:pPr>
        <w:snapToGrid w:val="0"/>
        <w:spacing w:line="360" w:lineRule="auto"/>
        <w:ind w:firstLine="420"/>
        <w:rPr>
          <w:color w:val="auto"/>
          <w:sz w:val="24"/>
        </w:rPr>
      </w:pPr>
      <w:r>
        <w:rPr>
          <w:color w:val="auto"/>
          <w:sz w:val="24"/>
        </w:rPr>
        <w:t>（3）通过环境影响预测与分析本项目投产后对当地环境可能造成的污染影响的范围和程度，从而制定进一步防治污染的对策，提出实现污染物排放总量控制的实施措施，从环境保护角度对工程项目建设的可行性作出明确结论。</w:t>
      </w:r>
    </w:p>
    <w:p>
      <w:pPr>
        <w:pStyle w:val="7"/>
        <w:numPr>
          <w:ilvl w:val="2"/>
          <w:numId w:val="0"/>
        </w:numPr>
        <w:tabs>
          <w:tab w:val="clear" w:pos="720"/>
        </w:tabs>
        <w:spacing w:before="159" w:after="159"/>
        <w:rPr>
          <w:color w:val="auto"/>
        </w:rPr>
      </w:pPr>
      <w:bookmarkStart w:id="26" w:name="_Toc22636"/>
      <w:r>
        <w:rPr>
          <w:rFonts w:hint="eastAsia"/>
          <w:color w:val="auto"/>
        </w:rPr>
        <w:t>1.5.1  主要影响</w:t>
      </w:r>
      <w:bookmarkEnd w:id="26"/>
    </w:p>
    <w:p>
      <w:pPr>
        <w:spacing w:line="360" w:lineRule="auto"/>
        <w:ind w:firstLine="480" w:firstLineChars="200"/>
        <w:rPr>
          <w:color w:val="auto"/>
          <w:sz w:val="24"/>
        </w:rPr>
      </w:pPr>
      <w:r>
        <w:rPr>
          <w:color w:val="auto"/>
          <w:sz w:val="24"/>
        </w:rPr>
        <w:t>（1）废水</w:t>
      </w:r>
    </w:p>
    <w:p>
      <w:pPr>
        <w:pStyle w:val="6"/>
        <w:spacing w:line="360" w:lineRule="auto"/>
        <w:ind w:firstLine="480"/>
        <w:rPr>
          <w:color w:val="auto"/>
          <w:sz w:val="24"/>
          <w:szCs w:val="24"/>
        </w:rPr>
      </w:pPr>
      <w:r>
        <w:rPr>
          <w:color w:val="auto"/>
          <w:sz w:val="24"/>
          <w:szCs w:val="24"/>
        </w:rPr>
        <w:t>项目产生的废水主要为生产废水与生活污水</w:t>
      </w:r>
      <w:r>
        <w:rPr>
          <w:rFonts w:hint="eastAsia"/>
          <w:color w:val="auto"/>
          <w:sz w:val="24"/>
          <w:szCs w:val="24"/>
        </w:rPr>
        <w:t>。</w:t>
      </w:r>
      <w:r>
        <w:rPr>
          <w:color w:val="auto"/>
          <w:sz w:val="24"/>
          <w:szCs w:val="24"/>
        </w:rPr>
        <w:t>生产废水</w:t>
      </w:r>
      <w:r>
        <w:rPr>
          <w:rFonts w:hint="eastAsia"/>
          <w:color w:val="auto"/>
          <w:sz w:val="24"/>
          <w:szCs w:val="24"/>
        </w:rPr>
        <w:t>经处理后</w:t>
      </w:r>
      <w:r>
        <w:rPr>
          <w:color w:val="auto"/>
          <w:sz w:val="24"/>
          <w:szCs w:val="24"/>
        </w:rPr>
        <w:t>回用</w:t>
      </w:r>
      <w:r>
        <w:rPr>
          <w:rFonts w:hint="eastAsia"/>
          <w:color w:val="auto"/>
          <w:sz w:val="24"/>
          <w:szCs w:val="24"/>
        </w:rPr>
        <w:t>预生产，</w:t>
      </w:r>
      <w:r>
        <w:rPr>
          <w:color w:val="auto"/>
          <w:sz w:val="24"/>
          <w:szCs w:val="24"/>
        </w:rPr>
        <w:t>不外排</w:t>
      </w:r>
      <w:r>
        <w:rPr>
          <w:rFonts w:hint="eastAsia"/>
          <w:color w:val="auto"/>
          <w:sz w:val="24"/>
          <w:szCs w:val="24"/>
        </w:rPr>
        <w:t>。</w:t>
      </w:r>
      <w:r>
        <w:rPr>
          <w:color w:val="auto"/>
          <w:sz w:val="24"/>
          <w:szCs w:val="24"/>
        </w:rPr>
        <w:t>生活污水经三级化粪池预处理达到广东省地方标准《水污染物排放限值》（DB44/26-2001）第二时段三级标准及石角污水处理厂进水水质标准较严值后经市政管网进入石角污水处理厂集中处理，最后尾水达标排入沙埗溪。</w:t>
      </w:r>
    </w:p>
    <w:p>
      <w:pPr>
        <w:pStyle w:val="6"/>
        <w:spacing w:line="360" w:lineRule="auto"/>
        <w:ind w:firstLine="480"/>
        <w:rPr>
          <w:color w:val="auto"/>
          <w:sz w:val="24"/>
          <w:szCs w:val="24"/>
        </w:rPr>
      </w:pPr>
      <w:r>
        <w:rPr>
          <w:color w:val="auto"/>
          <w:sz w:val="24"/>
          <w:szCs w:val="24"/>
        </w:rPr>
        <w:t>项目运营期对水环境的影响可接受。</w:t>
      </w:r>
    </w:p>
    <w:p>
      <w:pPr>
        <w:spacing w:line="360" w:lineRule="auto"/>
        <w:ind w:firstLine="480" w:firstLineChars="200"/>
        <w:rPr>
          <w:color w:val="auto"/>
          <w:sz w:val="24"/>
        </w:rPr>
      </w:pPr>
      <w:r>
        <w:rPr>
          <w:color w:val="auto"/>
          <w:sz w:val="24"/>
        </w:rPr>
        <w:t>（2）废气</w:t>
      </w:r>
    </w:p>
    <w:p>
      <w:pPr>
        <w:spacing w:line="360" w:lineRule="auto"/>
        <w:ind w:firstLine="480" w:firstLineChars="200"/>
        <w:rPr>
          <w:color w:val="auto"/>
          <w:sz w:val="24"/>
        </w:rPr>
      </w:pPr>
      <w:r>
        <w:rPr>
          <w:color w:val="auto"/>
          <w:sz w:val="24"/>
        </w:rPr>
        <w:t>本项目湿式破碎生产线“一破工序”产生的颗粒物由集气罩收集，收集后经管道进入旋风布袋除尘器处理，处理后从15m排气筒G2排放；卷材生产线产生的颗粒物、苯并[a]芘和非甲烷总烃采用整室收集的方式收集，经“旋风除尘+冷凝器+油烟净化器+UV光解+活性炭吸附”设备处理达标后经15m排气筒排放G1；</w:t>
      </w:r>
      <w:r>
        <w:rPr>
          <w:rFonts w:hint="eastAsia"/>
          <w:color w:val="auto"/>
          <w:sz w:val="24"/>
          <w:lang w:eastAsia="zh-CN"/>
        </w:rPr>
        <w:t>导热油炉</w:t>
      </w:r>
      <w:r>
        <w:rPr>
          <w:color w:val="auto"/>
          <w:sz w:val="24"/>
        </w:rPr>
        <w:t>尾气从15m排气筒G3外排。排放浓度均可达到广东省《大气污染物排放限值》（DB44/27-2001）中第二时段二级标准。</w:t>
      </w:r>
    </w:p>
    <w:p>
      <w:pPr>
        <w:spacing w:line="360" w:lineRule="auto"/>
        <w:ind w:firstLine="480" w:firstLineChars="200"/>
        <w:rPr>
          <w:color w:val="auto"/>
          <w:sz w:val="24"/>
        </w:rPr>
      </w:pPr>
      <w:r>
        <w:rPr>
          <w:color w:val="auto"/>
          <w:sz w:val="24"/>
        </w:rPr>
        <w:t>根据预测结果，经采取上述治理措施后，项目排放的污染物对所在区域和周边敏感点环境空气质量的影响是可接受的。</w:t>
      </w:r>
    </w:p>
    <w:p>
      <w:pPr>
        <w:numPr>
          <w:ilvl w:val="0"/>
          <w:numId w:val="3"/>
        </w:numPr>
        <w:spacing w:line="360" w:lineRule="auto"/>
        <w:ind w:firstLine="480" w:firstLineChars="200"/>
        <w:rPr>
          <w:color w:val="auto"/>
          <w:sz w:val="24"/>
        </w:rPr>
      </w:pPr>
      <w:r>
        <w:rPr>
          <w:color w:val="auto"/>
          <w:sz w:val="24"/>
        </w:rPr>
        <w:t>噪声</w:t>
      </w:r>
    </w:p>
    <w:p>
      <w:pPr>
        <w:spacing w:line="360" w:lineRule="auto"/>
        <w:ind w:firstLine="480" w:firstLineChars="200"/>
        <w:rPr>
          <w:color w:val="auto"/>
          <w:sz w:val="24"/>
        </w:rPr>
      </w:pPr>
      <w:r>
        <w:rPr>
          <w:color w:val="auto"/>
          <w:sz w:val="24"/>
        </w:rPr>
        <w:t>采用低噪设备，对设备进行减震、消声和隔音处理，降低项目噪声的源强，根据预测结果，项目运营时噪声源产生的噪声在各边界预测值昼夜均能满足《工业企业厂界环境噪声排放标准》（GB12348-2008）3类标准要求。</w:t>
      </w:r>
    </w:p>
    <w:p>
      <w:pPr>
        <w:numPr>
          <w:ilvl w:val="0"/>
          <w:numId w:val="3"/>
        </w:numPr>
        <w:spacing w:line="360" w:lineRule="auto"/>
        <w:ind w:firstLine="480" w:firstLineChars="200"/>
        <w:rPr>
          <w:color w:val="auto"/>
          <w:sz w:val="24"/>
        </w:rPr>
      </w:pPr>
      <w:r>
        <w:rPr>
          <w:color w:val="auto"/>
          <w:sz w:val="24"/>
        </w:rPr>
        <w:t>固体废物影响预测与评价</w:t>
      </w:r>
    </w:p>
    <w:p>
      <w:pPr>
        <w:spacing w:line="360" w:lineRule="auto"/>
        <w:ind w:firstLine="480" w:firstLineChars="200"/>
        <w:rPr>
          <w:color w:val="auto"/>
          <w:sz w:val="24"/>
        </w:rPr>
      </w:pPr>
      <w:r>
        <w:rPr>
          <w:color w:val="auto"/>
          <w:sz w:val="24"/>
        </w:rPr>
        <w:t>项目产生的一般固废采取分类</w:t>
      </w:r>
      <w:r>
        <w:rPr>
          <w:rFonts w:hint="eastAsia"/>
          <w:color w:val="auto"/>
          <w:sz w:val="24"/>
        </w:rPr>
        <w:t>收集，采用</w:t>
      </w:r>
      <w:r>
        <w:rPr>
          <w:color w:val="auto"/>
          <w:sz w:val="24"/>
        </w:rPr>
        <w:t>交</w:t>
      </w:r>
      <w:r>
        <w:rPr>
          <w:rFonts w:hint="eastAsia"/>
          <w:color w:val="auto"/>
          <w:sz w:val="24"/>
        </w:rPr>
        <w:t>环卫部门处置、委托专业公司运走处理和外售给回收单位</w:t>
      </w:r>
      <w:r>
        <w:rPr>
          <w:color w:val="auto"/>
          <w:sz w:val="24"/>
        </w:rPr>
        <w:t>等措施</w:t>
      </w:r>
      <w:r>
        <w:rPr>
          <w:rFonts w:hint="eastAsia"/>
          <w:color w:val="auto"/>
          <w:sz w:val="24"/>
        </w:rPr>
        <w:t>进行处置。</w:t>
      </w:r>
      <w:r>
        <w:rPr>
          <w:color w:val="auto"/>
          <w:sz w:val="24"/>
        </w:rPr>
        <w:t>危险废物</w:t>
      </w:r>
      <w:r>
        <w:rPr>
          <w:rFonts w:hint="eastAsia"/>
          <w:color w:val="auto"/>
          <w:sz w:val="24"/>
        </w:rPr>
        <w:t>采用自行回收用于生产和</w:t>
      </w:r>
      <w:r>
        <w:rPr>
          <w:color w:val="auto"/>
          <w:sz w:val="24"/>
        </w:rPr>
        <w:t>交</w:t>
      </w:r>
      <w:r>
        <w:rPr>
          <w:rFonts w:hint="eastAsia"/>
          <w:color w:val="auto"/>
          <w:sz w:val="24"/>
        </w:rPr>
        <w:t>有</w:t>
      </w:r>
      <w:r>
        <w:rPr>
          <w:color w:val="auto"/>
          <w:sz w:val="24"/>
        </w:rPr>
        <w:t>资质单位回收处理</w:t>
      </w:r>
      <w:r>
        <w:rPr>
          <w:rFonts w:hint="eastAsia"/>
          <w:color w:val="auto"/>
          <w:sz w:val="24"/>
        </w:rPr>
        <w:t>的方式进行处置。</w:t>
      </w:r>
      <w:r>
        <w:rPr>
          <w:color w:val="auto"/>
          <w:sz w:val="24"/>
        </w:rPr>
        <w:t xml:space="preserve">经采取上述措施后，项目产生的各类固废均得到妥善处置，不会对周边环境产生不良影响。 </w:t>
      </w:r>
    </w:p>
    <w:p>
      <w:pPr>
        <w:pStyle w:val="5"/>
        <w:numPr>
          <w:ilvl w:val="1"/>
          <w:numId w:val="0"/>
        </w:numPr>
        <w:tabs>
          <w:tab w:val="clear" w:pos="720"/>
        </w:tabs>
        <w:spacing w:before="159" w:after="159"/>
        <w:rPr>
          <w:color w:val="auto"/>
          <w:sz w:val="32"/>
          <w:szCs w:val="32"/>
        </w:rPr>
      </w:pPr>
      <w:bookmarkStart w:id="27" w:name="_Toc17668"/>
      <w:bookmarkStart w:id="28" w:name="_Toc341885457"/>
      <w:bookmarkStart w:id="29" w:name="_Toc11680"/>
      <w:bookmarkStart w:id="30" w:name="_Toc12959296"/>
      <w:r>
        <w:rPr>
          <w:rFonts w:hint="eastAsia"/>
          <w:color w:val="auto"/>
          <w:sz w:val="32"/>
          <w:szCs w:val="32"/>
        </w:rPr>
        <w:t xml:space="preserve">1.6  </w:t>
      </w:r>
      <w:r>
        <w:rPr>
          <w:color w:val="auto"/>
          <w:sz w:val="32"/>
          <w:szCs w:val="32"/>
        </w:rPr>
        <w:t>主要结论</w:t>
      </w:r>
      <w:bookmarkEnd w:id="27"/>
      <w:bookmarkEnd w:id="28"/>
      <w:bookmarkEnd w:id="29"/>
      <w:bookmarkEnd w:id="30"/>
    </w:p>
    <w:p>
      <w:pPr>
        <w:spacing w:line="360" w:lineRule="auto"/>
        <w:ind w:firstLine="480" w:firstLineChars="200"/>
        <w:rPr>
          <w:color w:val="auto"/>
          <w:sz w:val="24"/>
          <w:szCs w:val="20"/>
        </w:rPr>
      </w:pPr>
      <w:r>
        <w:rPr>
          <w:color w:val="auto"/>
          <w:sz w:val="24"/>
          <w:szCs w:val="20"/>
        </w:rPr>
        <w:t>本评价对建设项目拟建址及其周围地区进行了环境质量现状监测、调查与评价，对项目的排污负荷进行了估算，分析项目外排污染物对周围环境可能产生的影响，提出了相应的污染防治措施及对策。</w:t>
      </w:r>
    </w:p>
    <w:p>
      <w:pPr>
        <w:spacing w:line="360" w:lineRule="auto"/>
        <w:ind w:firstLine="480" w:firstLineChars="200"/>
        <w:rPr>
          <w:color w:val="auto"/>
          <w:sz w:val="24"/>
          <w:szCs w:val="20"/>
        </w:rPr>
      </w:pPr>
      <w:r>
        <w:rPr>
          <w:color w:val="auto"/>
          <w:sz w:val="24"/>
          <w:szCs w:val="20"/>
        </w:rPr>
        <w:t>项目拟采用的生产工艺具有较高的清洁生产水平，拟采取的污染防治措施、风险防范措施从技术、经济角度考察均可行。</w:t>
      </w:r>
    </w:p>
    <w:p>
      <w:pPr>
        <w:spacing w:line="360" w:lineRule="auto"/>
        <w:ind w:firstLine="480" w:firstLineChars="200"/>
        <w:rPr>
          <w:color w:val="auto"/>
          <w:sz w:val="24"/>
          <w:szCs w:val="20"/>
        </w:rPr>
      </w:pPr>
      <w:r>
        <w:rPr>
          <w:color w:val="auto"/>
          <w:sz w:val="24"/>
          <w:szCs w:val="20"/>
        </w:rPr>
        <w:t>在落实各项环境保护措施的前提下，本项目建设和运营对周围环境造成的影响处于可接受范围内；在落实环境风险防范措施、完备风险事故应急预案的前提下，本项目的环境风险处于可接受范围。</w:t>
      </w:r>
    </w:p>
    <w:p>
      <w:pPr>
        <w:spacing w:line="360" w:lineRule="auto"/>
        <w:ind w:firstLine="480" w:firstLineChars="200"/>
        <w:rPr>
          <w:color w:val="auto"/>
          <w:sz w:val="24"/>
          <w:szCs w:val="20"/>
        </w:rPr>
      </w:pPr>
      <w:r>
        <w:rPr>
          <w:color w:val="auto"/>
          <w:sz w:val="24"/>
          <w:szCs w:val="20"/>
        </w:rPr>
        <w:t>本项目的建设具有一定的必要性，可以解决清远市及周边地区企业所产生的工业固体废物的安全处理处置问题，有利于改善和提高区域整体环境质量；采用新技术，有利于提高无害化处理效果；有利于集约化经营，提高效率，促进固体废物资源化；有利于建设可持续发展的生态环境，改善清远市及其周边地区的投资环境。项目的建设具有必要性及积极意义，建设规模合理。项目建设符合产业政策及相关规划的要求。项目选址具有合理合法性。</w:t>
      </w:r>
    </w:p>
    <w:p>
      <w:pPr>
        <w:spacing w:line="360" w:lineRule="auto"/>
        <w:ind w:firstLine="480" w:firstLineChars="200"/>
        <w:rPr>
          <w:color w:val="auto"/>
          <w:sz w:val="24"/>
          <w:szCs w:val="20"/>
        </w:rPr>
      </w:pPr>
      <w:r>
        <w:rPr>
          <w:color w:val="auto"/>
          <w:sz w:val="24"/>
          <w:szCs w:val="20"/>
        </w:rPr>
        <w:t>在认真落实本次评价所提出的各项污染防治措施、风险防范措施，严格执行环境监理、跟踪监测计划的前提下，从环境保护角度考察，本项目的建设是可行的。</w:t>
      </w:r>
    </w:p>
    <w:p>
      <w:pPr>
        <w:pStyle w:val="4"/>
        <w:numPr>
          <w:ilvl w:val="0"/>
          <w:numId w:val="0"/>
        </w:numPr>
        <w:spacing w:before="159" w:after="159"/>
        <w:ind w:left="568"/>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bookmarkEnd w:id="1"/>
    <w:p>
      <w:pPr>
        <w:pStyle w:val="4"/>
        <w:numPr>
          <w:ilvl w:val="0"/>
          <w:numId w:val="0"/>
        </w:numPr>
        <w:spacing w:before="159" w:after="159"/>
        <w:ind w:left="568"/>
        <w:rPr>
          <w:color w:val="auto"/>
          <w:sz w:val="44"/>
          <w:szCs w:val="44"/>
        </w:rPr>
      </w:pPr>
      <w:bookmarkStart w:id="31" w:name="_Toc23848"/>
      <w:bookmarkStart w:id="32" w:name="_Toc29971"/>
      <w:bookmarkStart w:id="33" w:name="_Toc12959298"/>
      <w:bookmarkStart w:id="34" w:name="_Toc246003397"/>
      <w:r>
        <w:rPr>
          <w:rFonts w:hint="eastAsia"/>
          <w:color w:val="auto"/>
          <w:sz w:val="44"/>
          <w:szCs w:val="44"/>
        </w:rPr>
        <w:t xml:space="preserve">2  </w:t>
      </w:r>
      <w:r>
        <w:rPr>
          <w:color w:val="auto"/>
          <w:sz w:val="44"/>
          <w:szCs w:val="44"/>
        </w:rPr>
        <w:t>总则</w:t>
      </w:r>
      <w:bookmarkEnd w:id="31"/>
      <w:bookmarkEnd w:id="32"/>
    </w:p>
    <w:p>
      <w:pPr>
        <w:pStyle w:val="5"/>
        <w:numPr>
          <w:ilvl w:val="1"/>
          <w:numId w:val="0"/>
        </w:numPr>
        <w:tabs>
          <w:tab w:val="clear" w:pos="720"/>
        </w:tabs>
        <w:spacing w:before="159" w:after="159"/>
        <w:rPr>
          <w:color w:val="auto"/>
          <w:sz w:val="32"/>
          <w:szCs w:val="32"/>
        </w:rPr>
      </w:pPr>
      <w:bookmarkStart w:id="35" w:name="_Toc28112"/>
      <w:bookmarkStart w:id="36" w:name="_Toc17942"/>
      <w:r>
        <w:rPr>
          <w:color w:val="auto"/>
          <w:sz w:val="32"/>
          <w:szCs w:val="32"/>
        </w:rPr>
        <w:t>2.1</w:t>
      </w:r>
      <w:r>
        <w:rPr>
          <w:rFonts w:hint="eastAsia"/>
          <w:color w:val="auto"/>
          <w:sz w:val="32"/>
          <w:szCs w:val="32"/>
        </w:rPr>
        <w:t xml:space="preserve">  </w:t>
      </w:r>
      <w:r>
        <w:rPr>
          <w:color w:val="auto"/>
          <w:sz w:val="32"/>
          <w:szCs w:val="32"/>
        </w:rPr>
        <w:t>编制依据</w:t>
      </w:r>
      <w:bookmarkEnd w:id="33"/>
      <w:bookmarkEnd w:id="34"/>
      <w:bookmarkEnd w:id="35"/>
      <w:bookmarkEnd w:id="36"/>
    </w:p>
    <w:p>
      <w:pPr>
        <w:pStyle w:val="7"/>
        <w:numPr>
          <w:ilvl w:val="2"/>
          <w:numId w:val="0"/>
        </w:numPr>
        <w:spacing w:before="159" w:after="159"/>
        <w:rPr>
          <w:color w:val="auto"/>
        </w:rPr>
      </w:pPr>
      <w:bookmarkStart w:id="37" w:name="_Toc27023"/>
      <w:r>
        <w:rPr>
          <w:color w:val="auto"/>
        </w:rPr>
        <w:t>2.1.1</w:t>
      </w:r>
      <w:r>
        <w:rPr>
          <w:rFonts w:hint="eastAsia"/>
          <w:color w:val="auto"/>
        </w:rPr>
        <w:t xml:space="preserve">  </w:t>
      </w:r>
      <w:r>
        <w:rPr>
          <w:color w:val="auto"/>
        </w:rPr>
        <w:t>国家环保法律、法规</w:t>
      </w:r>
      <w:bookmarkEnd w:id="37"/>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bookmarkStart w:id="38" w:name="_Toc606"/>
      <w:r>
        <w:rPr>
          <w:rFonts w:hint="default" w:ascii="Times New Roman" w:hAnsi="Times New Roman" w:eastAsia="宋体" w:cs="Times New Roman"/>
          <w:color w:val="auto"/>
          <w:sz w:val="24"/>
        </w:rPr>
        <w:t>《中华人民共和国环境保护法》，2015年1月1日起施行；</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《中华人民共和国环境影响评价法》，2018年12月29日实施；</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《中华人民共和国水法》，2016年7月修订；</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《中华人民共和国水污染防治法》，2018年1月1日起实施；</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《中华人民共和国大气污染防治法》，2018年10月26日修正版；</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《中华人民共和国固体废物污染环境防治法》，2020年4月29日第十三届全国人民代表大会常务委员会第十七次会议第二次修订；</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《中华人民共和国环境噪声污染防治法》，2018年12月29日</w:t>
      </w:r>
      <w:r>
        <w:rPr>
          <w:rFonts w:hint="eastAsia" w:cs="Times New Roman"/>
          <w:color w:val="auto"/>
          <w:sz w:val="24"/>
          <w:lang w:val="en-US" w:eastAsia="zh-CN"/>
        </w:rPr>
        <w:t>修订</w:t>
      </w:r>
      <w:r>
        <w:rPr>
          <w:rFonts w:hint="default" w:ascii="Times New Roman" w:hAnsi="Times New Roman" w:eastAsia="宋体" w:cs="Times New Roman"/>
          <w:color w:val="auto"/>
          <w:sz w:val="24"/>
        </w:rPr>
        <w:t>；</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《建设项目环境保护管理条例》（</w:t>
      </w:r>
      <w:r>
        <w:rPr>
          <w:rFonts w:hint="eastAsia" w:cs="Times New Roman"/>
          <w:color w:val="auto"/>
          <w:sz w:val="24"/>
          <w:lang w:val="en-US" w:eastAsia="zh-CN"/>
        </w:rPr>
        <w:t>2017年7月16日修订</w:t>
      </w:r>
      <w:r>
        <w:rPr>
          <w:rFonts w:hint="default" w:ascii="Times New Roman" w:hAnsi="Times New Roman" w:eastAsia="宋体" w:cs="Times New Roman"/>
          <w:color w:val="auto"/>
          <w:sz w:val="24"/>
        </w:rPr>
        <w:t>）；</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《建设项目环境影响评价分类管理名录》（环境保护部令第44号，2017.6）；</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关于修改《建设项目环境影响评价分类管理名录》部分内容的决定（生态环境部令第1号，2018.4.28）；</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《建设项目环境影响评价文件分级审批规定》(环境保护部令第5号)；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《关于发布《生态环境部审批环境影响评价文件的建设项目目录（2019年本）》的公告》（公告2019</w:t>
      </w:r>
      <w:r>
        <w:rPr>
          <w:rFonts w:hint="default" w:ascii="Times New Roman" w:hAnsi="Times New Roman" w:eastAsia="宋体" w:cs="Times New Roman"/>
          <w:color w:val="auto"/>
          <w:sz w:val="24"/>
          <w:lang w:eastAsia="zh-CN"/>
        </w:rPr>
        <w:t>年第8号</w:t>
      </w:r>
      <w:r>
        <w:rPr>
          <w:rFonts w:hint="default" w:ascii="Times New Roman" w:hAnsi="Times New Roman" w:eastAsia="宋体" w:cs="Times New Roman"/>
          <w:color w:val="auto"/>
          <w:sz w:val="24"/>
        </w:rPr>
        <w:t>，2019.2.27）；</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《环境影响评价公众参与办法》（部令 第4号，2019年1月1日起实施）；</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《关于印发&lt;建设项目环境影响评价信息公开机制方案&gt;的通知》（环发[2015]162号）；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《关于印发&lt;建设项目环境影响评价政府信息公开指南（试行）&gt;的通知》（环办[2013]103号）；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《关于切实加强环境影响评价监督管理工作的通知》（环办[2013]104号）；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《国务院关于印发全国主体功能区规划的通知》（国发[2010]46号）；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《关于贯彻实施国家主体功能区环境政策的若干意见》（环发[2015]92号）；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《关于落实科学发展观加强环境保护的决定》（国发[2005]39号）；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《产业结构调整指导目录（201</w:t>
      </w:r>
      <w:r>
        <w:rPr>
          <w:rFonts w:hint="eastAsia" w:cs="Times New Roman"/>
          <w:color w:val="auto"/>
          <w:sz w:val="24"/>
          <w:lang w:val="en-US" w:eastAsia="zh-CN"/>
        </w:rPr>
        <w:t>9</w:t>
      </w:r>
      <w:r>
        <w:rPr>
          <w:rFonts w:hint="default" w:ascii="Times New Roman" w:hAnsi="Times New Roman" w:eastAsia="宋体" w:cs="Times New Roman"/>
          <w:color w:val="auto"/>
          <w:sz w:val="24"/>
        </w:rPr>
        <w:t>年本）》（</w:t>
      </w:r>
      <w:r>
        <w:rPr>
          <w:rFonts w:hint="eastAsia" w:ascii="Times New Roman" w:hAnsi="Times New Roman" w:eastAsia="宋体" w:cs="Times New Roman"/>
          <w:color w:val="auto"/>
          <w:sz w:val="24"/>
        </w:rPr>
        <w:t>中华人民共和国国家发展和改革委员会令 第29号</w:t>
      </w:r>
      <w:r>
        <w:rPr>
          <w:rFonts w:hint="default" w:ascii="Times New Roman" w:hAnsi="Times New Roman" w:eastAsia="宋体" w:cs="Times New Roman"/>
          <w:color w:val="auto"/>
          <w:sz w:val="24"/>
        </w:rPr>
        <w:t>）；</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《国务院关于印发“十三五”生态环境保护规划的通知》（国发[2016]65号）；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《国务院关于印发大气污染防治行动计划的通知》（国发[2013]37号）；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《关于发布&lt;环境空气细颗粒物污染综合防治技术政策&gt;》的公告（环境保护部公告2013年第59号）；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《国务院关于印发水污染防治行动计划的通知》（国发[2015]17号）；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《国务院关于印发土壤污染防治行动计划的通知》（国发[2016]31号）；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《国家危险废物名录》（环境保护部令第39号，2016</w:t>
      </w:r>
      <w:r>
        <w:rPr>
          <w:rFonts w:hint="eastAsia" w:cs="Times New Roman"/>
          <w:color w:val="auto"/>
          <w:sz w:val="24"/>
          <w:lang w:val="en-US" w:eastAsia="zh-CN"/>
        </w:rPr>
        <w:t>年</w:t>
      </w:r>
      <w:r>
        <w:rPr>
          <w:rFonts w:hint="default" w:ascii="Times New Roman" w:hAnsi="Times New Roman" w:eastAsia="宋体" w:cs="Times New Roman"/>
          <w:color w:val="auto"/>
          <w:sz w:val="24"/>
        </w:rPr>
        <w:t>8</w:t>
      </w:r>
      <w:r>
        <w:rPr>
          <w:rFonts w:hint="eastAsia" w:cs="Times New Roman"/>
          <w:color w:val="auto"/>
          <w:sz w:val="24"/>
          <w:lang w:val="en-US" w:eastAsia="zh-CN"/>
        </w:rPr>
        <w:t>月</w:t>
      </w:r>
      <w:r>
        <w:rPr>
          <w:rFonts w:hint="default" w:ascii="Times New Roman" w:hAnsi="Times New Roman" w:eastAsia="宋体" w:cs="Times New Roman"/>
          <w:color w:val="auto"/>
          <w:sz w:val="24"/>
        </w:rPr>
        <w:t>1</w:t>
      </w:r>
      <w:r>
        <w:rPr>
          <w:rFonts w:hint="eastAsia" w:cs="Times New Roman"/>
          <w:color w:val="auto"/>
          <w:sz w:val="24"/>
          <w:lang w:val="en-US" w:eastAsia="zh-CN"/>
        </w:rPr>
        <w:t>日施行</w:t>
      </w:r>
      <w:r>
        <w:rPr>
          <w:rFonts w:hint="default" w:ascii="Times New Roman" w:hAnsi="Times New Roman" w:eastAsia="宋体" w:cs="Times New Roman"/>
          <w:color w:val="auto"/>
          <w:sz w:val="24"/>
        </w:rPr>
        <w:t>)；</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《危险废物污染防治技术政策》（环发[2001]199号）；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《关于发布&lt;一般工业固体废物贮存、处置场污染控制标准&gt;（GB 18599-2001）等3项国家污染物控制标准修改单的公告》（环境保护部公告2013年第36号）；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《关于进一步加强环境影响评价管理防范环境风险的通知》（环发[2012]77号）；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《关于切实加强风险防范严格环境影响评价管理的通知》（环发[2012]98号）；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《关于印发&lt;建设项目主要污染物排放总量指标审核及管理暂行办法&gt;的通知》（环发[2014]197号）；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《关于做好环境影响评价制度与排污许可制衔接相关工作的通知》（环办环评[2017]84号）；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《国务院办公厅关于印发控制污染物排放许可制实施方案的通知》(国办发[2016]81号)；</w:t>
      </w:r>
    </w:p>
    <w:p>
      <w:pPr>
        <w:pStyle w:val="6"/>
        <w:numPr>
          <w:ilvl w:val="0"/>
          <w:numId w:val="4"/>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《排污许可管理办法（试行）》（环境保护部令第48号）</w:t>
      </w:r>
      <w:r>
        <w:rPr>
          <w:rFonts w:hint="eastAsia" w:ascii="Times New Roman" w:hAnsi="Times New Roman" w:eastAsia="宋体" w:cs="Times New Roman"/>
          <w:color w:val="auto"/>
          <w:sz w:val="24"/>
          <w:lang w:eastAsia="zh-CN"/>
        </w:rPr>
        <w:t>；</w:t>
      </w:r>
    </w:p>
    <w:p>
      <w:pPr>
        <w:pStyle w:val="6"/>
        <w:numPr>
          <w:ilvl w:val="0"/>
          <w:numId w:val="4"/>
        </w:numPr>
        <w:autoSpaceDE w:val="0"/>
        <w:autoSpaceDN w:val="0"/>
        <w:spacing w:line="360" w:lineRule="auto"/>
        <w:textAlignment w:val="baseline"/>
        <w:rPr>
          <w:rFonts w:hint="eastAsia" w:ascii="Times New Roman" w:hAnsi="Times New Roman" w:eastAsia="宋体" w:cs="Times New Roman"/>
          <w:color w:val="auto"/>
          <w:sz w:val="24"/>
          <w:lang w:eastAsia="zh-CN"/>
        </w:rPr>
      </w:pPr>
      <w:r>
        <w:rPr>
          <w:rFonts w:hint="eastAsia" w:cs="Times New Roman"/>
          <w:color w:val="auto"/>
          <w:sz w:val="24"/>
          <w:lang w:eastAsia="zh-CN"/>
        </w:rPr>
        <w:t>《生态环境部关于废止、修改部分规章的决定》（</w:t>
      </w:r>
      <w:r>
        <w:rPr>
          <w:rFonts w:hint="eastAsia" w:cs="Times New Roman"/>
          <w:color w:val="auto"/>
          <w:sz w:val="24"/>
          <w:lang w:val="en-US" w:eastAsia="zh-CN"/>
        </w:rPr>
        <w:t>生态环境部 部令第7号，2019年8月22日施行</w:t>
      </w:r>
      <w:r>
        <w:rPr>
          <w:rFonts w:hint="eastAsia" w:cs="Times New Roman"/>
          <w:color w:val="auto"/>
          <w:sz w:val="24"/>
          <w:lang w:eastAsia="zh-CN"/>
        </w:rPr>
        <w:t>）。</w:t>
      </w:r>
    </w:p>
    <w:p>
      <w:pPr>
        <w:autoSpaceDE w:val="0"/>
        <w:autoSpaceDN w:val="0"/>
        <w:adjustRightInd w:val="0"/>
        <w:snapToGrid w:val="0"/>
        <w:spacing w:before="159" w:beforeLines="50" w:after="159" w:afterLines="50" w:line="360" w:lineRule="auto"/>
        <w:jc w:val="left"/>
        <w:outlineLvl w:val="2"/>
        <w:rPr>
          <w:b/>
          <w:color w:val="auto"/>
          <w:kern w:val="0"/>
          <w:sz w:val="28"/>
          <w:szCs w:val="28"/>
        </w:rPr>
      </w:pPr>
      <w:r>
        <w:rPr>
          <w:b/>
          <w:color w:val="auto"/>
          <w:kern w:val="0"/>
          <w:sz w:val="28"/>
          <w:szCs w:val="28"/>
        </w:rPr>
        <w:t xml:space="preserve">2.1.2 </w:t>
      </w:r>
      <w:r>
        <w:rPr>
          <w:rFonts w:hint="eastAsia"/>
          <w:b/>
          <w:color w:val="auto"/>
          <w:kern w:val="0"/>
          <w:sz w:val="28"/>
          <w:szCs w:val="28"/>
        </w:rPr>
        <w:t xml:space="preserve"> </w:t>
      </w:r>
      <w:r>
        <w:rPr>
          <w:b/>
          <w:color w:val="auto"/>
          <w:kern w:val="0"/>
          <w:sz w:val="28"/>
          <w:szCs w:val="28"/>
        </w:rPr>
        <w:t>地方性法规、政策</w:t>
      </w:r>
      <w:bookmarkEnd w:id="38"/>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bookmarkStart w:id="39" w:name="_Toc6655"/>
      <w:r>
        <w:rPr>
          <w:rFonts w:hint="default" w:ascii="Times New Roman" w:hAnsi="Times New Roman" w:eastAsia="宋体" w:cs="Times New Roman"/>
          <w:color w:val="auto"/>
          <w:sz w:val="24"/>
        </w:rPr>
        <w:t>《广东省环境保护条例》（广东省第十三届人民代表大会常务委员会第十五次会议，2019年11月29日</w:t>
      </w:r>
      <w:r>
        <w:rPr>
          <w:rFonts w:hint="eastAsia" w:cs="Times New Roman"/>
          <w:color w:val="auto"/>
          <w:sz w:val="24"/>
          <w:lang w:val="en-US" w:eastAsia="zh-CN"/>
        </w:rPr>
        <w:t>修正</w:t>
      </w:r>
      <w:r>
        <w:rPr>
          <w:rFonts w:hint="default" w:ascii="Times New Roman" w:hAnsi="Times New Roman" w:eastAsia="宋体" w:cs="Times New Roman"/>
          <w:color w:val="auto"/>
          <w:sz w:val="24"/>
        </w:rPr>
        <w:t>）；</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广东省实施《中华人民共和国环境噪声污染防治法》办法（2018年11月29日广东省第十三届人民代表大会常务委员会第七次会议第三次修正）；</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《广东省固体废物污染环境防治条例》（2018年11月29日广东省第十</w:t>
      </w:r>
      <w:r>
        <w:rPr>
          <w:rFonts w:hint="default" w:ascii="Times New Roman" w:hAnsi="Times New Roman" w:eastAsia="宋体" w:cs="Times New Roman"/>
          <w:color w:val="auto"/>
          <w:sz w:val="24"/>
          <w:lang w:eastAsia="zh-CN"/>
        </w:rPr>
        <w:t>三</w:t>
      </w:r>
      <w:r>
        <w:rPr>
          <w:rFonts w:hint="default" w:ascii="Times New Roman" w:hAnsi="Times New Roman" w:eastAsia="宋体" w:cs="Times New Roman"/>
          <w:color w:val="auto"/>
          <w:sz w:val="24"/>
        </w:rPr>
        <w:t>届人民代表大会第</w:t>
      </w:r>
      <w:r>
        <w:rPr>
          <w:rFonts w:hint="default" w:ascii="Times New Roman" w:hAnsi="Times New Roman" w:eastAsia="宋体" w:cs="Times New Roman"/>
          <w:color w:val="auto"/>
          <w:sz w:val="24"/>
          <w:lang w:eastAsia="zh-CN"/>
        </w:rPr>
        <w:t>七</w:t>
      </w:r>
      <w:r>
        <w:rPr>
          <w:rFonts w:hint="default" w:ascii="Times New Roman" w:hAnsi="Times New Roman" w:eastAsia="宋体" w:cs="Times New Roman"/>
          <w:color w:val="auto"/>
          <w:sz w:val="24"/>
        </w:rPr>
        <w:t>次会议修正）；</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《广东省人民政府关于印发广东省建设项目环境影响评价文件分级审批办法的通知》，（粤府〔2019〕6号）；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《关于发布广东省生态环境厅审批环境影响评价文件的建设项目名录（2019年本）的通知》（粤环〔2019〕24号）；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《关于印发广东省主体功能区规划的通知》（粤府[2012]120号）；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《关于广东省主体功能区规划的配套环保政策》（粤环[2014]7号）；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《印发&lt;广东省环境保护规划纲要(2006-2020年)&gt;的通知》（粤府[2006]35号）；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《广东省环境保护厅关于印发广东省环境保护“十三五”规划的通知》（粤环[2016]51号）；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《关于印发&lt;广东省地表水环境功能区划&gt;的通知》（粤环[2011]14号）；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《广东省环境保护厅关于印发南粤水更清行动计划（修订本）（2017—2020年）的通知》（粤环[2017]28号）；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《广东省环境保护厅办公室关于开展全省危险废物规范化管理工作的通知的通知》</w:t>
      </w:r>
      <w:r>
        <w:rPr>
          <w:rFonts w:hint="eastAsia" w:cs="Times New Roman"/>
          <w:color w:val="auto"/>
          <w:sz w:val="24"/>
          <w:szCs w:val="24"/>
          <w:lang w:eastAsia="zh-CN"/>
        </w:rPr>
        <w:t>（</w:t>
      </w:r>
      <w:r>
        <w:rPr>
          <w:rFonts w:ascii="宋体" w:hAnsi="宋体" w:eastAsia="宋体" w:cs="宋体"/>
          <w:color w:val="auto"/>
          <w:sz w:val="24"/>
          <w:szCs w:val="24"/>
        </w:rPr>
        <w:t>粤环办〔2010〕87号</w:t>
      </w:r>
      <w:r>
        <w:rPr>
          <w:rFonts w:hint="eastAsia" w:ascii="宋体" w:hAnsi="宋体" w:eastAsia="宋体" w:cs="宋体"/>
          <w:color w:val="auto"/>
          <w:sz w:val="24"/>
          <w:szCs w:val="24"/>
          <w:lang w:eastAsia="zh-CN"/>
        </w:rPr>
        <w:t>）</w:t>
      </w:r>
      <w:r>
        <w:rPr>
          <w:rFonts w:hint="default" w:ascii="Times New Roman" w:hAnsi="Times New Roman" w:eastAsia="宋体" w:cs="Times New Roman"/>
          <w:color w:val="auto"/>
          <w:sz w:val="24"/>
          <w:szCs w:val="24"/>
        </w:rPr>
        <w:t>；</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《广东省人民政府关于印发《广东省打赢蓝天保卫战实施方案（2018—2020年）》的通知》，粤</w:t>
      </w:r>
      <w:r>
        <w:rPr>
          <w:rFonts w:hint="default" w:ascii="Times New Roman" w:hAnsi="Times New Roman" w:eastAsia="宋体" w:cs="Times New Roman"/>
          <w:color w:val="auto"/>
          <w:sz w:val="24"/>
          <w:szCs w:val="24"/>
          <w:lang w:eastAsia="zh-CN"/>
        </w:rPr>
        <w:t>府</w:t>
      </w:r>
      <w:r>
        <w:rPr>
          <w:rFonts w:hint="default" w:ascii="Times New Roman" w:hAnsi="Times New Roman" w:eastAsia="宋体" w:cs="Times New Roman"/>
          <w:color w:val="auto"/>
          <w:sz w:val="24"/>
          <w:szCs w:val="24"/>
        </w:rPr>
        <w:t>[2018]128号；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《关于印发&lt;广东省挥发性有机物（VOCs）整治与减排工作方案（2018-2020年）&gt;的通知》，粤环发[2018]6号；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《广东省地下水功能区划》（粤办函[2009]459号）；</w:t>
      </w:r>
    </w:p>
    <w:p>
      <w:pPr>
        <w:pStyle w:val="6"/>
        <w:numPr>
          <w:ilvl w:val="0"/>
          <w:numId w:val="5"/>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《关于印发&lt;广东省环境保护厅关于开展固定污染源挥发性有机物重点监管企业综合整治工作指引&gt;的通知》（粤环[2016]1054号）；</w:t>
      </w:r>
    </w:p>
    <w:p>
      <w:pPr>
        <w:numPr>
          <w:ilvl w:val="0"/>
          <w:numId w:val="5"/>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snapToGrid w:val="0"/>
          <w:color w:val="auto"/>
          <w:kern w:val="0"/>
          <w:sz w:val="24"/>
        </w:rPr>
        <w:t>《清远北江流域水质保护管理办法》，清远市水务局2013年7月24日；</w:t>
      </w:r>
    </w:p>
    <w:p>
      <w:pPr>
        <w:numPr>
          <w:ilvl w:val="0"/>
          <w:numId w:val="5"/>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《清远市城市总体规划（2010~2020）》；</w:t>
      </w:r>
    </w:p>
    <w:p>
      <w:pPr>
        <w:numPr>
          <w:ilvl w:val="0"/>
          <w:numId w:val="5"/>
        </w:numPr>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1"/>
        </w:rPr>
        <w:t>《清远市土地利用总体规划（2006-2020）》</w:t>
      </w:r>
      <w:r>
        <w:rPr>
          <w:rFonts w:hint="default" w:ascii="Times New Roman" w:hAnsi="Times New Roman" w:eastAsia="宋体" w:cs="Times New Roman"/>
          <w:color w:val="auto"/>
          <w:sz w:val="24"/>
        </w:rPr>
        <w:t>；</w:t>
      </w:r>
    </w:p>
    <w:p>
      <w:pPr>
        <w:numPr>
          <w:ilvl w:val="0"/>
          <w:numId w:val="5"/>
        </w:numPr>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《清远市南部都市区总体规划（2010-2020）》；</w:t>
      </w:r>
    </w:p>
    <w:p>
      <w:pPr>
        <w:numPr>
          <w:ilvl w:val="0"/>
          <w:numId w:val="5"/>
        </w:numPr>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《清远市环境保护规划（2007-2020）》。</w:t>
      </w:r>
    </w:p>
    <w:p>
      <w:pPr>
        <w:autoSpaceDE w:val="0"/>
        <w:autoSpaceDN w:val="0"/>
        <w:adjustRightInd w:val="0"/>
        <w:snapToGrid w:val="0"/>
        <w:spacing w:before="159" w:beforeLines="50" w:after="159" w:afterLines="50" w:line="360" w:lineRule="auto"/>
        <w:jc w:val="left"/>
        <w:outlineLvl w:val="2"/>
        <w:rPr>
          <w:b/>
          <w:color w:val="auto"/>
          <w:kern w:val="0"/>
          <w:sz w:val="28"/>
          <w:szCs w:val="28"/>
        </w:rPr>
      </w:pPr>
      <w:r>
        <w:rPr>
          <w:b/>
          <w:color w:val="auto"/>
          <w:kern w:val="0"/>
          <w:sz w:val="28"/>
          <w:szCs w:val="28"/>
        </w:rPr>
        <w:t>2.1.3</w:t>
      </w:r>
      <w:r>
        <w:rPr>
          <w:rFonts w:hint="eastAsia"/>
          <w:b/>
          <w:color w:val="auto"/>
          <w:kern w:val="0"/>
          <w:sz w:val="28"/>
          <w:szCs w:val="28"/>
        </w:rPr>
        <w:t xml:space="preserve">  </w:t>
      </w:r>
      <w:r>
        <w:rPr>
          <w:b/>
          <w:color w:val="auto"/>
          <w:kern w:val="0"/>
          <w:sz w:val="28"/>
          <w:szCs w:val="28"/>
        </w:rPr>
        <w:t>相关技术标准及规范</w:t>
      </w:r>
      <w:bookmarkEnd w:id="39"/>
    </w:p>
    <w:p>
      <w:pPr>
        <w:numPr>
          <w:ilvl w:val="0"/>
          <w:numId w:val="6"/>
        </w:numPr>
        <w:snapToGrid w:val="0"/>
        <w:spacing w:line="360" w:lineRule="auto"/>
        <w:rPr>
          <w:rFonts w:hint="default" w:ascii="Times New Roman" w:hAnsi="Times New Roman" w:eastAsia="宋体" w:cs="Times New Roman"/>
          <w:snapToGrid w:val="0"/>
          <w:color w:val="auto"/>
          <w:kern w:val="0"/>
          <w:sz w:val="24"/>
        </w:rPr>
      </w:pPr>
      <w:bookmarkStart w:id="40" w:name="_Toc177461861"/>
      <w:bookmarkStart w:id="41" w:name="_Toc23142"/>
      <w:bookmarkStart w:id="42" w:name="_Toc142671561"/>
      <w:bookmarkStart w:id="43" w:name="_Toc142968773"/>
      <w:bookmarkStart w:id="44" w:name="_Toc142644647"/>
      <w:bookmarkStart w:id="45" w:name="_Toc142654891"/>
      <w:r>
        <w:rPr>
          <w:rFonts w:hint="default" w:ascii="Times New Roman" w:hAnsi="Times New Roman" w:eastAsia="宋体" w:cs="Times New Roman"/>
          <w:snapToGrid w:val="0"/>
          <w:color w:val="auto"/>
          <w:kern w:val="0"/>
          <w:sz w:val="24"/>
        </w:rPr>
        <w:t>《建设项目环境影响评价技术导则</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snapToGrid w:val="0"/>
          <w:color w:val="auto"/>
          <w:kern w:val="0"/>
          <w:sz w:val="24"/>
        </w:rPr>
        <w:t>总纲》（HJ2.1-2016）；</w:t>
      </w:r>
    </w:p>
    <w:p>
      <w:pPr>
        <w:numPr>
          <w:ilvl w:val="0"/>
          <w:numId w:val="6"/>
        </w:numPr>
        <w:snapToGrid w:val="0"/>
        <w:spacing w:line="360" w:lineRule="auto"/>
        <w:ind w:left="0" w:firstLine="480" w:firstLineChars="200"/>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color w:val="auto"/>
          <w:sz w:val="24"/>
        </w:rPr>
        <w:t>《环境影响评价技术导则 大气环境》（HJ2.2-2018）</w:t>
      </w:r>
      <w:r>
        <w:rPr>
          <w:rFonts w:hint="default" w:ascii="Times New Roman" w:hAnsi="Times New Roman" w:eastAsia="宋体" w:cs="Times New Roman"/>
          <w:snapToGrid w:val="0"/>
          <w:color w:val="auto"/>
          <w:kern w:val="0"/>
          <w:sz w:val="24"/>
        </w:rPr>
        <w:t>；</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1"/>
        </w:rPr>
        <w:t>《环境影响评价技术导则</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szCs w:val="21"/>
        </w:rPr>
        <w:t>地面水环境》（HJ2.3-2018）；</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1"/>
        </w:rPr>
        <w:t>《环境影响评价技术导则</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szCs w:val="21"/>
        </w:rPr>
        <w:t>地下水环境》（HJ610-2016）；</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napToGrid w:val="0"/>
          <w:color w:val="auto"/>
          <w:kern w:val="0"/>
          <w:sz w:val="24"/>
        </w:rPr>
        <w:t>《环境影响评价技术导则</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snapToGrid w:val="0"/>
          <w:color w:val="auto"/>
          <w:kern w:val="0"/>
          <w:sz w:val="24"/>
        </w:rPr>
        <w:t>声环境》（HJ2.4-2009）；</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《环境影响评价技术导则 生态影响》（HJ19-2011）；</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《建设项目环境风险评价技术导则》（HJ169-2018）；</w:t>
      </w:r>
    </w:p>
    <w:p>
      <w:pPr>
        <w:numPr>
          <w:ilvl w:val="0"/>
          <w:numId w:val="6"/>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《固体废物处理处置工程技术导则》（HJ 2035-2013）；</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《危险废物鉴别标准 通则》（GB 5085.7—2019）；</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《危险废物鉴别技术规范》（HJ 298-2019）；</w:t>
      </w:r>
    </w:p>
    <w:p>
      <w:pPr>
        <w:numPr>
          <w:ilvl w:val="0"/>
          <w:numId w:val="6"/>
        </w:numPr>
        <w:snapToGrid w:val="0"/>
        <w:spacing w:line="360" w:lineRule="auto"/>
        <w:ind w:left="0" w:firstLine="480" w:firstLineChars="200"/>
        <w:rPr>
          <w:rFonts w:hint="default" w:ascii="Times New Roman" w:hAnsi="Times New Roman" w:eastAsia="宋体" w:cs="Times New Roman"/>
          <w:snapToGrid w:val="0"/>
          <w:color w:val="auto"/>
          <w:sz w:val="24"/>
        </w:rPr>
      </w:pPr>
      <w:r>
        <w:rPr>
          <w:rFonts w:hint="default" w:ascii="Times New Roman" w:hAnsi="Times New Roman" w:eastAsia="宋体" w:cs="Times New Roman"/>
          <w:snapToGrid w:val="0"/>
          <w:color w:val="auto"/>
          <w:sz w:val="24"/>
        </w:rPr>
        <w:t>《危险废物贮存污染控制标准》（GB18597-2001）；</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napToGrid w:val="0"/>
          <w:color w:val="auto"/>
          <w:sz w:val="24"/>
        </w:rPr>
        <w:t>《空气和废气监测分析方法》，2003年9月1日出版；</w:t>
      </w:r>
    </w:p>
    <w:p>
      <w:pPr>
        <w:numPr>
          <w:ilvl w:val="0"/>
          <w:numId w:val="6"/>
        </w:numPr>
        <w:snapToGrid w:val="0"/>
        <w:spacing w:line="360" w:lineRule="auto"/>
        <w:ind w:lef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《工业企业设计卫生标准》（GBZ1-2010）；</w:t>
      </w:r>
    </w:p>
    <w:p>
      <w:pPr>
        <w:numPr>
          <w:ilvl w:val="0"/>
          <w:numId w:val="6"/>
        </w:numPr>
        <w:snapToGrid w:val="0"/>
        <w:spacing w:line="360" w:lineRule="auto"/>
        <w:ind w:left="0" w:firstLine="480" w:firstLineChars="200"/>
        <w:rPr>
          <w:rFonts w:hint="default" w:ascii="Times New Roman" w:hAnsi="Times New Roman" w:eastAsia="宋体" w:cs="Times New Roman"/>
          <w:snapToGrid w:val="0"/>
          <w:color w:val="auto"/>
          <w:sz w:val="24"/>
        </w:rPr>
      </w:pPr>
      <w:r>
        <w:rPr>
          <w:rFonts w:hint="default" w:ascii="Times New Roman" w:hAnsi="Times New Roman" w:eastAsia="宋体" w:cs="Times New Roman"/>
          <w:snapToGrid w:val="0"/>
          <w:color w:val="auto"/>
          <w:sz w:val="24"/>
        </w:rPr>
        <w:t>《一般工业固体废物贮存、处置场污染控制标准》（GB 18599-2001）；</w:t>
      </w:r>
    </w:p>
    <w:p>
      <w:pPr>
        <w:numPr>
          <w:ilvl w:val="0"/>
          <w:numId w:val="6"/>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关于发布《一般工业固体废物贮存、处置场污染控制标准》（GB18599- 2001）等3项国家污染物控制标准修改单的公告，环境保护部公告2013年第36号；</w:t>
      </w:r>
    </w:p>
    <w:p>
      <w:pPr>
        <w:numPr>
          <w:ilvl w:val="0"/>
          <w:numId w:val="6"/>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《危险废物收集 贮存 运输技术规范》（HJ 2025-2012）；</w:t>
      </w:r>
    </w:p>
    <w:p>
      <w:pPr>
        <w:numPr>
          <w:ilvl w:val="0"/>
          <w:numId w:val="6"/>
        </w:numPr>
        <w:snapToGrid w:val="0"/>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《环境噪声与振动控制工程技术导则》（HJ2034-2013）；</w:t>
      </w:r>
    </w:p>
    <w:p>
      <w:pPr>
        <w:pStyle w:val="6"/>
        <w:numPr>
          <w:ilvl w:val="0"/>
          <w:numId w:val="6"/>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《固体废物鉴别标准 通则》（GB34330-2017）；</w:t>
      </w:r>
    </w:p>
    <w:p>
      <w:pPr>
        <w:pStyle w:val="6"/>
        <w:numPr>
          <w:ilvl w:val="0"/>
          <w:numId w:val="6"/>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《大气污染治理工程技术导则》（HJ2000-2010）；</w:t>
      </w:r>
    </w:p>
    <w:p>
      <w:pPr>
        <w:pStyle w:val="6"/>
        <w:numPr>
          <w:ilvl w:val="0"/>
          <w:numId w:val="6"/>
        </w:numPr>
        <w:autoSpaceDE w:val="0"/>
        <w:autoSpaceDN w:val="0"/>
        <w:spacing w:line="360" w:lineRule="auto"/>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《建设项目危险废物环境影响评价指南》（环境保护部公告2017年第43号）</w:t>
      </w:r>
      <w:r>
        <w:rPr>
          <w:rFonts w:hint="default" w:ascii="Times New Roman" w:hAnsi="Times New Roman" w:eastAsia="宋体" w:cs="Times New Roman"/>
          <w:color w:val="auto"/>
          <w:sz w:val="24"/>
          <w:lang w:eastAsia="zh-CN"/>
        </w:rPr>
        <w:t>。</w:t>
      </w:r>
    </w:p>
    <w:p>
      <w:pPr>
        <w:rPr>
          <w:color w:val="auto"/>
        </w:rPr>
      </w:pPr>
    </w:p>
    <w:p>
      <w:pPr>
        <w:pStyle w:val="7"/>
        <w:numPr>
          <w:ilvl w:val="2"/>
          <w:numId w:val="0"/>
        </w:numPr>
        <w:spacing w:before="159" w:after="159"/>
        <w:rPr>
          <w:color w:val="auto"/>
        </w:rPr>
      </w:pPr>
      <w:r>
        <w:rPr>
          <w:color w:val="auto"/>
        </w:rPr>
        <w:t>2.1.4</w:t>
      </w:r>
      <w:r>
        <w:rPr>
          <w:rFonts w:hint="eastAsia"/>
          <w:color w:val="auto"/>
        </w:rPr>
        <w:t xml:space="preserve">  </w:t>
      </w:r>
      <w:r>
        <w:rPr>
          <w:color w:val="auto"/>
        </w:rPr>
        <w:t>其他有关依据及委托文件</w:t>
      </w:r>
      <w:bookmarkEnd w:id="40"/>
      <w:bookmarkEnd w:id="41"/>
      <w:bookmarkEnd w:id="42"/>
      <w:bookmarkEnd w:id="43"/>
      <w:bookmarkEnd w:id="44"/>
      <w:bookmarkEnd w:id="45"/>
    </w:p>
    <w:p>
      <w:pPr>
        <w:numPr>
          <w:ilvl w:val="0"/>
          <w:numId w:val="0"/>
        </w:numPr>
        <w:snapToGrid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建设单位提供的环境影响评价委托书；</w:t>
      </w:r>
    </w:p>
    <w:p>
      <w:pPr>
        <w:numPr>
          <w:ilvl w:val="0"/>
          <w:numId w:val="0"/>
        </w:numPr>
        <w:snapToGrid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项目建设单位提供的有关资料；</w:t>
      </w:r>
    </w:p>
    <w:p>
      <w:pPr>
        <w:numPr>
          <w:ilvl w:val="0"/>
          <w:numId w:val="0"/>
        </w:numPr>
        <w:snapToGrid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清远市兴域铝业有限公司厂区</w:t>
      </w:r>
      <w:r>
        <w:rPr>
          <w:rFonts w:hint="eastAsia"/>
          <w:color w:val="auto"/>
          <w:sz w:val="24"/>
          <w:lang w:eastAsia="zh-CN"/>
        </w:rPr>
        <w:t>——</w:t>
      </w:r>
      <w:r>
        <w:rPr>
          <w:color w:val="auto"/>
          <w:sz w:val="24"/>
        </w:rPr>
        <w:t>铝型材车间岩土工程详细勘察报告。</w:t>
      </w:r>
    </w:p>
    <w:p>
      <w:pPr>
        <w:pStyle w:val="5"/>
        <w:numPr>
          <w:ilvl w:val="1"/>
          <w:numId w:val="0"/>
        </w:numPr>
        <w:tabs>
          <w:tab w:val="clear" w:pos="720"/>
        </w:tabs>
        <w:spacing w:before="159" w:after="159"/>
        <w:rPr>
          <w:color w:val="auto"/>
          <w:sz w:val="32"/>
          <w:szCs w:val="32"/>
        </w:rPr>
      </w:pPr>
      <w:bookmarkStart w:id="46" w:name="_Toc246003398"/>
      <w:bookmarkStart w:id="47" w:name="_Toc12959299"/>
      <w:bookmarkStart w:id="48" w:name="_Toc15106"/>
      <w:bookmarkStart w:id="49" w:name="_Toc19561"/>
      <w:r>
        <w:rPr>
          <w:rFonts w:hint="eastAsia"/>
          <w:color w:val="auto"/>
          <w:sz w:val="32"/>
          <w:szCs w:val="32"/>
        </w:rPr>
        <w:t xml:space="preserve">2.2  </w:t>
      </w:r>
      <w:r>
        <w:rPr>
          <w:color w:val="auto"/>
          <w:sz w:val="32"/>
          <w:szCs w:val="32"/>
        </w:rPr>
        <w:t>评价目的、原则</w:t>
      </w:r>
      <w:bookmarkEnd w:id="46"/>
      <w:r>
        <w:rPr>
          <w:color w:val="auto"/>
          <w:sz w:val="32"/>
          <w:szCs w:val="32"/>
        </w:rPr>
        <w:t>及评价重点</w:t>
      </w:r>
      <w:bookmarkEnd w:id="47"/>
      <w:bookmarkEnd w:id="48"/>
      <w:bookmarkEnd w:id="49"/>
    </w:p>
    <w:p>
      <w:pPr>
        <w:pStyle w:val="7"/>
        <w:numPr>
          <w:ilvl w:val="2"/>
          <w:numId w:val="0"/>
        </w:numPr>
        <w:spacing w:before="159" w:after="159"/>
        <w:rPr>
          <w:color w:val="auto"/>
        </w:rPr>
      </w:pPr>
      <w:bookmarkStart w:id="50" w:name="_Toc19624"/>
      <w:r>
        <w:rPr>
          <w:color w:val="auto"/>
        </w:rPr>
        <w:t>2.2.1</w:t>
      </w:r>
      <w:r>
        <w:rPr>
          <w:rFonts w:hint="eastAsia"/>
          <w:color w:val="auto"/>
        </w:rPr>
        <w:t xml:space="preserve">  </w:t>
      </w:r>
      <w:r>
        <w:rPr>
          <w:color w:val="auto"/>
        </w:rPr>
        <w:t>评价目的</w:t>
      </w:r>
      <w:bookmarkEnd w:id="50"/>
    </w:p>
    <w:p>
      <w:pPr>
        <w:spacing w:line="348" w:lineRule="auto"/>
        <w:ind w:firstLine="480" w:firstLineChars="200"/>
        <w:rPr>
          <w:color w:val="auto"/>
          <w:sz w:val="24"/>
        </w:rPr>
      </w:pPr>
      <w:r>
        <w:rPr>
          <w:color w:val="auto"/>
          <w:sz w:val="24"/>
        </w:rPr>
        <w:t>（1）了解建设项目的概况，深入进行工程分析，查清主要原料消耗、能耗和水耗等，特别是其中有毒有害物质的使用和流失情况、查清生产工艺流程及污染物排放和回收处理情况，并对其处理效率可靠性、合理性进行分析；</w:t>
      </w:r>
    </w:p>
    <w:p>
      <w:pPr>
        <w:spacing w:line="348" w:lineRule="auto"/>
        <w:ind w:firstLine="480" w:firstLineChars="200"/>
        <w:rPr>
          <w:color w:val="auto"/>
          <w:sz w:val="24"/>
        </w:rPr>
      </w:pPr>
      <w:r>
        <w:rPr>
          <w:color w:val="auto"/>
          <w:sz w:val="24"/>
        </w:rPr>
        <w:t>（2）通过工程分析筛选项目的主要污染因素和主要污染因子，为环境影响预测提供真实可靠的污染源强参数；</w:t>
      </w:r>
    </w:p>
    <w:p>
      <w:pPr>
        <w:spacing w:line="348" w:lineRule="auto"/>
        <w:ind w:firstLine="480" w:firstLineChars="200"/>
        <w:rPr>
          <w:color w:val="auto"/>
          <w:sz w:val="24"/>
        </w:rPr>
      </w:pPr>
      <w:r>
        <w:rPr>
          <w:color w:val="auto"/>
          <w:sz w:val="24"/>
        </w:rPr>
        <w:t>（3）通过现场实地调查，资料收集等技术手段，对评价区域内环境质量现状(包括大气、水体、噪声等)进行评价，查清工程建设区域内的环境质量状况；</w:t>
      </w:r>
    </w:p>
    <w:p>
      <w:pPr>
        <w:spacing w:line="348" w:lineRule="auto"/>
        <w:ind w:firstLine="480" w:firstLineChars="200"/>
        <w:rPr>
          <w:color w:val="auto"/>
          <w:sz w:val="24"/>
        </w:rPr>
      </w:pPr>
      <w:r>
        <w:rPr>
          <w:color w:val="auto"/>
          <w:sz w:val="24"/>
        </w:rPr>
        <w:t>（4）针对主要污染因素和因子，选择适宜的计算模式进行环境影响预测，了解其污染影响范围和程度；</w:t>
      </w:r>
    </w:p>
    <w:p>
      <w:pPr>
        <w:spacing w:line="348" w:lineRule="auto"/>
        <w:ind w:firstLine="480" w:firstLineChars="200"/>
        <w:rPr>
          <w:color w:val="auto"/>
          <w:sz w:val="24"/>
        </w:rPr>
      </w:pPr>
      <w:r>
        <w:rPr>
          <w:color w:val="auto"/>
          <w:sz w:val="24"/>
        </w:rPr>
        <w:t>（5）按照“总量控制”、“清洁生产”、“达标排放”的环保规定和要求，进行综合分析，并提出可行的环境保护对策措施；</w:t>
      </w:r>
    </w:p>
    <w:p>
      <w:pPr>
        <w:spacing w:line="348" w:lineRule="auto"/>
        <w:ind w:firstLine="480" w:firstLineChars="200"/>
        <w:rPr>
          <w:color w:val="auto"/>
          <w:sz w:val="24"/>
        </w:rPr>
      </w:pPr>
      <w:r>
        <w:rPr>
          <w:color w:val="auto"/>
          <w:sz w:val="24"/>
        </w:rPr>
        <w:t>（6）对工程的建设在环境方面是否可行做出明确的结论，为环境保护主管部门的决策提供科学依据。</w:t>
      </w:r>
    </w:p>
    <w:p>
      <w:pPr>
        <w:pStyle w:val="7"/>
        <w:numPr>
          <w:ilvl w:val="2"/>
          <w:numId w:val="0"/>
        </w:numPr>
        <w:spacing w:before="159" w:after="159"/>
        <w:rPr>
          <w:color w:val="auto"/>
        </w:rPr>
      </w:pPr>
      <w:bookmarkStart w:id="51" w:name="_Toc29301"/>
      <w:r>
        <w:rPr>
          <w:color w:val="auto"/>
        </w:rPr>
        <w:t>2.2.2</w:t>
      </w:r>
      <w:r>
        <w:rPr>
          <w:rFonts w:hint="eastAsia"/>
          <w:color w:val="auto"/>
        </w:rPr>
        <w:t xml:space="preserve">  </w:t>
      </w:r>
      <w:r>
        <w:rPr>
          <w:color w:val="auto"/>
        </w:rPr>
        <w:t>评价原则</w:t>
      </w:r>
      <w:bookmarkEnd w:id="51"/>
    </w:p>
    <w:p>
      <w:pPr>
        <w:spacing w:line="348" w:lineRule="auto"/>
        <w:ind w:firstLine="480" w:firstLineChars="200"/>
        <w:rPr>
          <w:color w:val="auto"/>
          <w:sz w:val="24"/>
        </w:rPr>
      </w:pPr>
      <w:r>
        <w:rPr>
          <w:color w:val="auto"/>
          <w:sz w:val="24"/>
        </w:rPr>
        <w:t>突出环境影响评价的源头预防作用，坚持保护和改善环境质量。</w:t>
      </w:r>
    </w:p>
    <w:p>
      <w:pPr>
        <w:spacing w:line="348" w:lineRule="auto"/>
        <w:ind w:firstLine="480" w:firstLineChars="200"/>
        <w:rPr>
          <w:color w:val="auto"/>
          <w:sz w:val="24"/>
        </w:rPr>
      </w:pPr>
      <w:r>
        <w:rPr>
          <w:color w:val="auto"/>
          <w:sz w:val="24"/>
        </w:rPr>
        <w:t>（1）依法评价</w:t>
      </w:r>
    </w:p>
    <w:p>
      <w:pPr>
        <w:spacing w:line="348" w:lineRule="auto"/>
        <w:ind w:firstLine="480" w:firstLineChars="200"/>
        <w:rPr>
          <w:color w:val="auto"/>
          <w:sz w:val="24"/>
        </w:rPr>
      </w:pPr>
      <w:r>
        <w:rPr>
          <w:color w:val="auto"/>
          <w:sz w:val="24"/>
        </w:rPr>
        <w:t>贯彻执行我国环境保护相关法律法规、标准、政策和规划等，优化项目建设，服务环境管理。</w:t>
      </w:r>
    </w:p>
    <w:p>
      <w:pPr>
        <w:spacing w:line="348" w:lineRule="auto"/>
        <w:ind w:firstLine="480" w:firstLineChars="200"/>
        <w:rPr>
          <w:color w:val="auto"/>
          <w:sz w:val="24"/>
        </w:rPr>
      </w:pPr>
      <w:r>
        <w:rPr>
          <w:color w:val="auto"/>
          <w:sz w:val="24"/>
        </w:rPr>
        <w:t>（2）科学评价</w:t>
      </w:r>
    </w:p>
    <w:p>
      <w:pPr>
        <w:spacing w:line="348" w:lineRule="auto"/>
        <w:ind w:firstLine="480" w:firstLineChars="200"/>
        <w:rPr>
          <w:color w:val="auto"/>
          <w:sz w:val="24"/>
        </w:rPr>
      </w:pPr>
      <w:r>
        <w:rPr>
          <w:color w:val="auto"/>
          <w:sz w:val="24"/>
        </w:rPr>
        <w:t>规范环境影响评价方法，科学分析项目建设对环境质量的影响。</w:t>
      </w:r>
    </w:p>
    <w:p>
      <w:pPr>
        <w:spacing w:line="348" w:lineRule="auto"/>
        <w:ind w:firstLine="480" w:firstLineChars="200"/>
        <w:rPr>
          <w:color w:val="auto"/>
          <w:sz w:val="24"/>
        </w:rPr>
      </w:pPr>
      <w:r>
        <w:rPr>
          <w:color w:val="auto"/>
          <w:sz w:val="24"/>
        </w:rPr>
        <w:t>（3）突出重点</w:t>
      </w:r>
    </w:p>
    <w:p>
      <w:pPr>
        <w:spacing w:line="348" w:lineRule="auto"/>
        <w:ind w:firstLine="480" w:firstLineChars="200"/>
        <w:rPr>
          <w:color w:val="auto"/>
          <w:sz w:val="24"/>
        </w:rPr>
      </w:pPr>
      <w:r>
        <w:rPr>
          <w:color w:val="auto"/>
          <w:sz w:val="24"/>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7"/>
        <w:numPr>
          <w:ilvl w:val="2"/>
          <w:numId w:val="0"/>
        </w:numPr>
        <w:spacing w:before="159" w:after="159"/>
        <w:rPr>
          <w:color w:val="auto"/>
        </w:rPr>
      </w:pPr>
      <w:bookmarkStart w:id="52" w:name="_Toc20806"/>
      <w:r>
        <w:rPr>
          <w:color w:val="auto"/>
        </w:rPr>
        <w:t>2.2.3</w:t>
      </w:r>
      <w:r>
        <w:rPr>
          <w:rFonts w:hint="eastAsia"/>
          <w:color w:val="auto"/>
        </w:rPr>
        <w:t xml:space="preserve">  </w:t>
      </w:r>
      <w:r>
        <w:rPr>
          <w:color w:val="auto"/>
        </w:rPr>
        <w:t>评价重点</w:t>
      </w:r>
      <w:bookmarkEnd w:id="52"/>
    </w:p>
    <w:p>
      <w:pPr>
        <w:spacing w:line="348" w:lineRule="auto"/>
        <w:ind w:firstLine="480" w:firstLineChars="200"/>
        <w:rPr>
          <w:color w:val="auto"/>
          <w:sz w:val="24"/>
        </w:rPr>
      </w:pPr>
      <w:r>
        <w:rPr>
          <w:color w:val="auto"/>
          <w:sz w:val="24"/>
        </w:rPr>
        <w:t>（1）工程分析，分析项目各类污染源的产生和排放情况；</w:t>
      </w:r>
    </w:p>
    <w:p>
      <w:pPr>
        <w:spacing w:line="348" w:lineRule="auto"/>
        <w:ind w:firstLine="480" w:firstLineChars="200"/>
        <w:rPr>
          <w:color w:val="auto"/>
          <w:sz w:val="24"/>
        </w:rPr>
      </w:pPr>
      <w:r>
        <w:rPr>
          <w:color w:val="auto"/>
          <w:sz w:val="24"/>
        </w:rPr>
        <w:t>（2）项目选址的合理合法性及环保可行性评价；</w:t>
      </w:r>
    </w:p>
    <w:p>
      <w:pPr>
        <w:spacing w:line="348" w:lineRule="auto"/>
        <w:ind w:firstLine="480" w:firstLineChars="200"/>
        <w:rPr>
          <w:color w:val="auto"/>
          <w:sz w:val="24"/>
        </w:rPr>
      </w:pPr>
      <w:r>
        <w:rPr>
          <w:color w:val="auto"/>
          <w:sz w:val="24"/>
        </w:rPr>
        <w:t>（3）对项目采用的环境保护措施进行可行性分析并提出建议；</w:t>
      </w:r>
    </w:p>
    <w:p>
      <w:pPr>
        <w:spacing w:line="348" w:lineRule="auto"/>
        <w:ind w:firstLine="480" w:firstLineChars="200"/>
        <w:rPr>
          <w:color w:val="auto"/>
          <w:sz w:val="24"/>
        </w:rPr>
      </w:pPr>
      <w:r>
        <w:rPr>
          <w:color w:val="auto"/>
          <w:sz w:val="24"/>
        </w:rPr>
        <w:t>（4）项目所涉及的危险废物运输、贮存、利用及处理过程中的环境风险评价。</w:t>
      </w:r>
    </w:p>
    <w:p>
      <w:pPr>
        <w:pStyle w:val="5"/>
        <w:numPr>
          <w:ilvl w:val="1"/>
          <w:numId w:val="0"/>
        </w:numPr>
        <w:tabs>
          <w:tab w:val="clear" w:pos="720"/>
        </w:tabs>
        <w:spacing w:before="159" w:after="159"/>
        <w:rPr>
          <w:color w:val="auto"/>
          <w:sz w:val="32"/>
          <w:szCs w:val="32"/>
        </w:rPr>
      </w:pPr>
      <w:bookmarkStart w:id="53" w:name="_Toc3905717"/>
      <w:bookmarkStart w:id="54" w:name="_Toc24421_WPSOffice_Level2"/>
      <w:bookmarkStart w:id="55" w:name="_Toc29759405"/>
      <w:bookmarkStart w:id="56" w:name="_Toc31856"/>
      <w:bookmarkStart w:id="57" w:name="_Toc25307"/>
      <w:bookmarkStart w:id="58" w:name="_Toc16345_WPSOffice_Level2"/>
      <w:bookmarkStart w:id="59" w:name="_Toc3299_WPSOffice_Level2"/>
      <w:bookmarkStart w:id="60" w:name="_Toc16137"/>
      <w:bookmarkStart w:id="61" w:name="_Toc13833"/>
      <w:bookmarkStart w:id="62" w:name="_Toc14504_WPSOffice_Level2"/>
      <w:bookmarkStart w:id="63" w:name="_Toc1227_WPSOffice_Level2"/>
      <w:bookmarkStart w:id="64" w:name="_Toc28189_WPSOffice_Level2"/>
      <w:bookmarkStart w:id="65" w:name="_Toc18958_WPSOffice_Level2"/>
      <w:bookmarkStart w:id="66" w:name="_Toc29665"/>
      <w:bookmarkStart w:id="67" w:name="_Toc18315_WPSOffice_Level2"/>
      <w:r>
        <w:rPr>
          <w:color w:val="auto"/>
          <w:sz w:val="32"/>
          <w:szCs w:val="32"/>
        </w:rPr>
        <w:t>2.3</w:t>
      </w:r>
      <w:r>
        <w:rPr>
          <w:rFonts w:hint="eastAsia"/>
          <w:color w:val="auto"/>
          <w:sz w:val="32"/>
          <w:szCs w:val="32"/>
        </w:rPr>
        <w:t xml:space="preserve"> </w:t>
      </w:r>
      <w:r>
        <w:rPr>
          <w:color w:val="auto"/>
          <w:sz w:val="32"/>
          <w:szCs w:val="32"/>
        </w:rPr>
        <w:t xml:space="preserve"> 环境功能区划</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pPr>
        <w:keepNext/>
        <w:keepLines/>
        <w:spacing w:line="360" w:lineRule="auto"/>
        <w:jc w:val="left"/>
        <w:outlineLvl w:val="2"/>
        <w:rPr>
          <w:b/>
          <w:bCs/>
          <w:color w:val="auto"/>
          <w:sz w:val="28"/>
          <w:szCs w:val="28"/>
        </w:rPr>
      </w:pPr>
      <w:bookmarkStart w:id="68" w:name="_Toc26312"/>
      <w:bookmarkStart w:id="69" w:name="_Toc465089637"/>
      <w:bookmarkStart w:id="70" w:name="_Toc465156529"/>
      <w:bookmarkStart w:id="71" w:name="_Toc8021"/>
      <w:bookmarkStart w:id="72" w:name="_Toc461434719"/>
      <w:bookmarkStart w:id="73" w:name="_Toc8532"/>
      <w:r>
        <w:rPr>
          <w:b/>
          <w:bCs/>
          <w:color w:val="auto"/>
          <w:sz w:val="28"/>
          <w:szCs w:val="28"/>
        </w:rPr>
        <w:t>2.3.1</w:t>
      </w:r>
      <w:r>
        <w:rPr>
          <w:rFonts w:hint="eastAsia"/>
          <w:b/>
          <w:bCs/>
          <w:color w:val="auto"/>
          <w:sz w:val="28"/>
          <w:szCs w:val="28"/>
        </w:rPr>
        <w:t xml:space="preserve">  </w:t>
      </w:r>
      <w:r>
        <w:rPr>
          <w:b/>
          <w:bCs/>
          <w:color w:val="auto"/>
          <w:sz w:val="28"/>
          <w:szCs w:val="28"/>
        </w:rPr>
        <w:t>地表水环境功能区划</w:t>
      </w:r>
      <w:bookmarkEnd w:id="68"/>
      <w:bookmarkEnd w:id="69"/>
      <w:bookmarkEnd w:id="70"/>
      <w:bookmarkEnd w:id="71"/>
      <w:bookmarkEnd w:id="72"/>
      <w:bookmarkEnd w:id="73"/>
    </w:p>
    <w:p>
      <w:pPr>
        <w:adjustRightInd w:val="0"/>
        <w:snapToGrid w:val="0"/>
        <w:spacing w:line="360" w:lineRule="auto"/>
        <w:ind w:firstLine="480" w:firstLineChars="200"/>
        <w:rPr>
          <w:color w:val="auto"/>
          <w:sz w:val="24"/>
        </w:rPr>
      </w:pPr>
      <w:r>
        <w:rPr>
          <w:color w:val="auto"/>
          <w:sz w:val="24"/>
        </w:rPr>
        <w:t xml:space="preserve"> </w:t>
      </w:r>
      <w:bookmarkStart w:id="74" w:name="_Toc121732078"/>
      <w:bookmarkStart w:id="75" w:name="_Toc165432212"/>
      <w:r>
        <w:rPr>
          <w:color w:val="auto"/>
          <w:sz w:val="24"/>
        </w:rPr>
        <w:t>本项目位于</w:t>
      </w:r>
      <w:r>
        <w:rPr>
          <w:color w:val="auto"/>
          <w:kern w:val="0"/>
          <w:sz w:val="24"/>
        </w:rPr>
        <w:t>清远市清城区石角镇界牌珠江村（北江工业园内）清远市兴域铝业厂内</w:t>
      </w:r>
      <w:r>
        <w:rPr>
          <w:color w:val="auto"/>
          <w:sz w:val="24"/>
        </w:rPr>
        <w:t>，属于</w:t>
      </w:r>
      <w:r>
        <w:rPr>
          <w:color w:val="auto"/>
          <w:kern w:val="0"/>
          <w:sz w:val="24"/>
        </w:rPr>
        <w:t>石角工业园。</w:t>
      </w:r>
      <w:r>
        <w:rPr>
          <w:color w:val="auto"/>
          <w:sz w:val="24"/>
        </w:rPr>
        <w:t>周边水体主要为沙埗溪、北江，根据《广东省地表水环境功能区划》（粤环[2011]14号），北江（清远新北江大桥至清城石角界牌河段（30km））水质目标为III类，北江（清城石角界牌到三水市思贤滘河段（40.5km））水质目标为II类，北江水体功能为综合用水。根据原清远市环境保护局2009年回复广西壮族自治区环境保护科学研究所的《</w:t>
      </w:r>
      <w:bookmarkStart w:id="76" w:name="OLE_LINK6"/>
      <w:r>
        <w:rPr>
          <w:color w:val="auto"/>
          <w:sz w:val="24"/>
        </w:rPr>
        <w:t>关于清城区石角镇沙埗溪地表水执行标准的意见</w:t>
      </w:r>
      <w:bookmarkEnd w:id="76"/>
      <w:r>
        <w:rPr>
          <w:color w:val="auto"/>
          <w:sz w:val="24"/>
        </w:rPr>
        <w:t>》，沙埗溪现状使用功能为综合用水，水质保护目标为Ⅳ类。</w:t>
      </w:r>
    </w:p>
    <w:p>
      <w:pPr>
        <w:adjustRightInd w:val="0"/>
        <w:snapToGrid w:val="0"/>
        <w:spacing w:line="360" w:lineRule="auto"/>
        <w:ind w:firstLine="480" w:firstLineChars="200"/>
        <w:rPr>
          <w:color w:val="auto"/>
          <w:sz w:val="24"/>
        </w:rPr>
      </w:pPr>
      <w:r>
        <w:rPr>
          <w:color w:val="auto"/>
          <w:sz w:val="24"/>
        </w:rPr>
        <w:t>项目附近水库有洗头潭水库和大水岩水库，根据《关于清城区石角镇洗头潭水库、大水岩水库水质执行标准的函》（清环函[2008]324号），两水库功能为农业灌溉用水，水质按III类水功能要求。项目所在区域地表水系情况详见下图2.3-1。</w:t>
      </w:r>
    </w:p>
    <w:p>
      <w:pPr>
        <w:keepNext/>
        <w:keepLines/>
        <w:spacing w:line="360" w:lineRule="auto"/>
        <w:jc w:val="left"/>
        <w:outlineLvl w:val="2"/>
        <w:rPr>
          <w:b/>
          <w:bCs/>
          <w:color w:val="auto"/>
          <w:sz w:val="28"/>
          <w:szCs w:val="28"/>
        </w:rPr>
      </w:pPr>
      <w:bookmarkStart w:id="77" w:name="_Toc18593"/>
      <w:bookmarkStart w:id="78" w:name="_Toc25262"/>
      <w:bookmarkStart w:id="79" w:name="_Toc509845794"/>
      <w:r>
        <w:rPr>
          <w:b/>
          <w:bCs/>
          <w:color w:val="auto"/>
          <w:sz w:val="28"/>
          <w:szCs w:val="28"/>
        </w:rPr>
        <w:t>2.3.2</w:t>
      </w:r>
      <w:r>
        <w:rPr>
          <w:rFonts w:hint="eastAsia"/>
          <w:b/>
          <w:bCs/>
          <w:color w:val="auto"/>
          <w:sz w:val="28"/>
          <w:szCs w:val="28"/>
        </w:rPr>
        <w:t xml:space="preserve">  </w:t>
      </w:r>
      <w:r>
        <w:rPr>
          <w:b/>
          <w:bCs/>
          <w:color w:val="auto"/>
          <w:sz w:val="28"/>
          <w:szCs w:val="28"/>
        </w:rPr>
        <w:t>地下水环境功能区划</w:t>
      </w:r>
      <w:bookmarkEnd w:id="77"/>
      <w:bookmarkEnd w:id="78"/>
      <w:bookmarkEnd w:id="79"/>
    </w:p>
    <w:p>
      <w:pPr>
        <w:adjustRightInd w:val="0"/>
        <w:snapToGrid w:val="0"/>
        <w:spacing w:line="360" w:lineRule="auto"/>
        <w:ind w:firstLine="480" w:firstLineChars="200"/>
        <w:rPr>
          <w:color w:val="auto"/>
          <w:sz w:val="24"/>
        </w:rPr>
      </w:pPr>
      <w:r>
        <w:rPr>
          <w:color w:val="auto"/>
          <w:sz w:val="24"/>
        </w:rPr>
        <w:t>根据广东省水利厅《广东省地下水功能区划》（粤水资源[2009]19号），本项目位于北江清远清城区地下水水源涵养区，地下水功能区保护目标为Ⅲ类，执行《地下水质量标准》(GB/Tl4848-2017)Ⅲ类标准。项目所在区域地下水环境功能区划见图2.3-2所示。</w:t>
      </w:r>
    </w:p>
    <w:p>
      <w:pPr>
        <w:keepNext/>
        <w:keepLines/>
        <w:spacing w:line="360" w:lineRule="auto"/>
        <w:jc w:val="left"/>
        <w:outlineLvl w:val="2"/>
        <w:rPr>
          <w:b/>
          <w:bCs/>
          <w:color w:val="auto"/>
          <w:sz w:val="28"/>
          <w:szCs w:val="28"/>
        </w:rPr>
      </w:pPr>
      <w:bookmarkStart w:id="80" w:name="_Toc24158"/>
      <w:bookmarkStart w:id="81" w:name="_Toc509845795"/>
      <w:bookmarkStart w:id="82" w:name="_Toc13336"/>
      <w:r>
        <w:rPr>
          <w:b/>
          <w:bCs/>
          <w:color w:val="auto"/>
          <w:sz w:val="28"/>
          <w:szCs w:val="28"/>
        </w:rPr>
        <w:t>2.3.3</w:t>
      </w:r>
      <w:r>
        <w:rPr>
          <w:rFonts w:hint="eastAsia"/>
          <w:b/>
          <w:bCs/>
          <w:color w:val="auto"/>
          <w:sz w:val="28"/>
          <w:szCs w:val="28"/>
        </w:rPr>
        <w:t xml:space="preserve">  </w:t>
      </w:r>
      <w:r>
        <w:rPr>
          <w:b/>
          <w:bCs/>
          <w:color w:val="auto"/>
          <w:sz w:val="28"/>
          <w:szCs w:val="28"/>
        </w:rPr>
        <w:t>大气环境功能区划</w:t>
      </w:r>
      <w:bookmarkEnd w:id="80"/>
      <w:bookmarkEnd w:id="81"/>
      <w:bookmarkEnd w:id="82"/>
    </w:p>
    <w:p>
      <w:pPr>
        <w:adjustRightInd w:val="0"/>
        <w:snapToGrid w:val="0"/>
        <w:spacing w:line="360" w:lineRule="auto"/>
        <w:ind w:firstLine="480" w:firstLineChars="200"/>
        <w:rPr>
          <w:color w:val="auto"/>
          <w:sz w:val="24"/>
        </w:rPr>
      </w:pPr>
      <w:r>
        <w:rPr>
          <w:color w:val="auto"/>
          <w:sz w:val="24"/>
        </w:rPr>
        <w:t>根据《关于确认我市环境空气质量功能区划的函》（清环函[2011]317号），本项目位于环境空气二类区，项目所在地环境空气质量执行《环境空气质量标准》（GB3095-2012）二级标准。建设项目所在区域空气环境质量功能区划详见图2.3-3所示。</w:t>
      </w:r>
    </w:p>
    <w:p>
      <w:pPr>
        <w:keepNext/>
        <w:keepLines/>
        <w:spacing w:line="360" w:lineRule="auto"/>
        <w:jc w:val="left"/>
        <w:outlineLvl w:val="2"/>
        <w:rPr>
          <w:b/>
          <w:bCs/>
          <w:color w:val="auto"/>
          <w:sz w:val="28"/>
          <w:szCs w:val="28"/>
        </w:rPr>
      </w:pPr>
      <w:bookmarkStart w:id="83" w:name="_Toc509845796"/>
      <w:bookmarkStart w:id="84" w:name="_Toc23184"/>
      <w:bookmarkStart w:id="85" w:name="_Toc5524"/>
      <w:r>
        <w:rPr>
          <w:b/>
          <w:bCs/>
          <w:color w:val="auto"/>
          <w:sz w:val="28"/>
          <w:szCs w:val="28"/>
        </w:rPr>
        <w:t>2.3.4</w:t>
      </w:r>
      <w:r>
        <w:rPr>
          <w:rFonts w:hint="eastAsia"/>
          <w:b/>
          <w:bCs/>
          <w:color w:val="auto"/>
          <w:sz w:val="28"/>
          <w:szCs w:val="28"/>
        </w:rPr>
        <w:t xml:space="preserve">  </w:t>
      </w:r>
      <w:r>
        <w:rPr>
          <w:b/>
          <w:bCs/>
          <w:color w:val="auto"/>
          <w:sz w:val="28"/>
          <w:szCs w:val="28"/>
        </w:rPr>
        <w:t>声环境功能区划</w:t>
      </w:r>
      <w:bookmarkEnd w:id="83"/>
      <w:bookmarkEnd w:id="84"/>
      <w:bookmarkEnd w:id="85"/>
    </w:p>
    <w:p>
      <w:pPr>
        <w:adjustRightInd w:val="0"/>
        <w:snapToGrid w:val="0"/>
        <w:spacing w:line="360" w:lineRule="auto"/>
        <w:ind w:firstLine="480" w:firstLineChars="200"/>
        <w:rPr>
          <w:color w:val="auto"/>
          <w:sz w:val="24"/>
        </w:rPr>
      </w:pPr>
      <w:bookmarkStart w:id="86" w:name="_Toc18385"/>
      <w:bookmarkStart w:id="87" w:name="_Toc509845797"/>
      <w:r>
        <w:rPr>
          <w:color w:val="auto"/>
          <w:sz w:val="24"/>
        </w:rPr>
        <w:t>根据清远市清城区人民政府于2020年发布的《清远市清城区声环境功能区划》(清城府办发〔2019〕12号)可知，本项目所在地属于3类声功能区，执行《声环境质量标准》（GB3096-2008)中3类标准。建设项目所在地声功能区划见图2.3-4。</w:t>
      </w:r>
    </w:p>
    <w:p>
      <w:pPr>
        <w:keepNext/>
        <w:keepLines/>
        <w:spacing w:line="360" w:lineRule="auto"/>
        <w:jc w:val="left"/>
        <w:outlineLvl w:val="2"/>
        <w:rPr>
          <w:b/>
          <w:bCs/>
          <w:color w:val="auto"/>
          <w:sz w:val="28"/>
          <w:szCs w:val="28"/>
        </w:rPr>
      </w:pPr>
      <w:bookmarkStart w:id="88" w:name="_Toc4027"/>
      <w:r>
        <w:rPr>
          <w:b/>
          <w:bCs/>
          <w:color w:val="auto"/>
          <w:sz w:val="28"/>
          <w:szCs w:val="28"/>
        </w:rPr>
        <w:t>2.3.5</w:t>
      </w:r>
      <w:r>
        <w:rPr>
          <w:rFonts w:hint="eastAsia"/>
          <w:b/>
          <w:bCs/>
          <w:color w:val="auto"/>
          <w:sz w:val="28"/>
          <w:szCs w:val="28"/>
        </w:rPr>
        <w:t xml:space="preserve">  </w:t>
      </w:r>
      <w:r>
        <w:rPr>
          <w:b/>
          <w:bCs/>
          <w:color w:val="auto"/>
          <w:sz w:val="28"/>
          <w:szCs w:val="28"/>
        </w:rPr>
        <w:t>生态环境功能区划</w:t>
      </w:r>
      <w:bookmarkEnd w:id="86"/>
      <w:bookmarkEnd w:id="87"/>
      <w:bookmarkEnd w:id="88"/>
    </w:p>
    <w:p>
      <w:pPr>
        <w:adjustRightInd w:val="0"/>
        <w:snapToGrid w:val="0"/>
        <w:spacing w:line="360" w:lineRule="auto"/>
        <w:ind w:firstLine="480" w:firstLineChars="200"/>
        <w:rPr>
          <w:color w:val="auto"/>
          <w:sz w:val="24"/>
        </w:rPr>
      </w:pPr>
      <w:r>
        <w:rPr>
          <w:color w:val="auto"/>
          <w:sz w:val="24"/>
        </w:rPr>
        <w:t>根据《广东省环境保护规划纲要（2006～2020年）》，本项目所在区域位于广东省生态环境功能规划中的“E4-3-2 清远河谷平原生态农业生态功能区”范围内。本项目在广东省陆域生态分级控制图中属于“生态分级控制-集约开发区”，如图2.3-</w:t>
      </w:r>
      <w:r>
        <w:rPr>
          <w:rFonts w:hint="eastAsia"/>
          <w:color w:val="auto"/>
          <w:sz w:val="24"/>
        </w:rPr>
        <w:t>5</w:t>
      </w:r>
      <w:r>
        <w:rPr>
          <w:color w:val="auto"/>
          <w:sz w:val="24"/>
        </w:rPr>
        <w:t>。</w:t>
      </w:r>
    </w:p>
    <w:p>
      <w:pPr>
        <w:keepNext/>
        <w:keepLines/>
        <w:spacing w:line="360" w:lineRule="auto"/>
        <w:jc w:val="left"/>
        <w:outlineLvl w:val="2"/>
        <w:rPr>
          <w:b/>
          <w:bCs/>
          <w:color w:val="auto"/>
          <w:sz w:val="28"/>
          <w:szCs w:val="28"/>
        </w:rPr>
      </w:pPr>
      <w:bookmarkStart w:id="89" w:name="_Toc509845798"/>
      <w:bookmarkStart w:id="90" w:name="_Toc25966"/>
      <w:bookmarkStart w:id="91" w:name="_Toc3314"/>
      <w:r>
        <w:rPr>
          <w:b/>
          <w:bCs/>
          <w:color w:val="auto"/>
          <w:sz w:val="28"/>
          <w:szCs w:val="28"/>
        </w:rPr>
        <w:t>2.3.6</w:t>
      </w:r>
      <w:r>
        <w:rPr>
          <w:rFonts w:hint="eastAsia"/>
          <w:b/>
          <w:bCs/>
          <w:color w:val="auto"/>
          <w:sz w:val="28"/>
          <w:szCs w:val="28"/>
        </w:rPr>
        <w:t xml:space="preserve">  </w:t>
      </w:r>
      <w:r>
        <w:rPr>
          <w:b/>
          <w:bCs/>
          <w:color w:val="auto"/>
          <w:sz w:val="28"/>
          <w:szCs w:val="28"/>
        </w:rPr>
        <w:t>环境功能区划</w:t>
      </w:r>
      <w:bookmarkEnd w:id="89"/>
      <w:r>
        <w:rPr>
          <w:b/>
          <w:bCs/>
          <w:color w:val="auto"/>
          <w:sz w:val="28"/>
          <w:szCs w:val="28"/>
        </w:rPr>
        <w:t>汇总</w:t>
      </w:r>
      <w:bookmarkEnd w:id="90"/>
      <w:bookmarkEnd w:id="91"/>
    </w:p>
    <w:bookmarkEnd w:id="74"/>
    <w:bookmarkEnd w:id="75"/>
    <w:p>
      <w:pPr>
        <w:adjustRightInd w:val="0"/>
        <w:snapToGrid w:val="0"/>
        <w:spacing w:line="360" w:lineRule="auto"/>
        <w:ind w:firstLine="480" w:firstLineChars="200"/>
        <w:rPr>
          <w:color w:val="auto"/>
          <w:sz w:val="24"/>
        </w:rPr>
      </w:pPr>
      <w:bookmarkStart w:id="92" w:name="_Toc6159_WPSOffice_Level2"/>
      <w:bookmarkStart w:id="93" w:name="_Toc27962_WPSOffice_Level2"/>
      <w:bookmarkStart w:id="94" w:name="_Toc25084_WPSOffice_Level2"/>
      <w:bookmarkStart w:id="95" w:name="_Toc29759406"/>
      <w:bookmarkStart w:id="96" w:name="_Toc24105"/>
      <w:bookmarkStart w:id="97" w:name="_Toc20189_WPSOffice_Level2"/>
      <w:bookmarkStart w:id="98" w:name="_Toc21032_WPSOffice_Level2"/>
      <w:bookmarkStart w:id="99" w:name="_Toc31689"/>
      <w:bookmarkStart w:id="100" w:name="_Toc9557_WPSOffice_Level2"/>
      <w:bookmarkStart w:id="101" w:name="_Toc3905718"/>
      <w:bookmarkStart w:id="102" w:name="_Toc4672_WPSOffice_Level2"/>
      <w:bookmarkStart w:id="103" w:name="_Toc28069"/>
      <w:bookmarkStart w:id="104" w:name="_Toc7459_WPSOffice_Level2"/>
      <w:r>
        <w:rPr>
          <w:color w:val="auto"/>
          <w:sz w:val="24"/>
        </w:rPr>
        <w:t>本项目所在地各项环境功能属性分类如下表所列：</w:t>
      </w:r>
    </w:p>
    <w:p>
      <w:pPr>
        <w:adjustRightInd w:val="0"/>
        <w:snapToGrid w:val="0"/>
        <w:spacing w:line="360" w:lineRule="auto"/>
        <w:jc w:val="center"/>
        <w:rPr>
          <w:b/>
          <w:bCs/>
          <w:color w:val="auto"/>
          <w:szCs w:val="21"/>
        </w:rPr>
      </w:pPr>
      <w:r>
        <w:rPr>
          <w:b/>
          <w:bCs/>
          <w:color w:val="auto"/>
          <w:szCs w:val="21"/>
        </w:rPr>
        <w:t>表2.3-1  建设项目所在区域环境功能属性</w:t>
      </w:r>
    </w:p>
    <w:tbl>
      <w:tblPr>
        <w:tblStyle w:val="23"/>
        <w:tblW w:w="874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05"/>
        <w:gridCol w:w="2440"/>
        <w:gridCol w:w="56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ind w:right="-105" w:rightChars="-50"/>
              <w:jc w:val="center"/>
              <w:rPr>
                <w:b/>
                <w:color w:val="auto"/>
                <w:szCs w:val="21"/>
              </w:rPr>
            </w:pPr>
            <w:r>
              <w:rPr>
                <w:b/>
                <w:color w:val="auto"/>
                <w:szCs w:val="21"/>
              </w:rPr>
              <w:t>序号</w:t>
            </w:r>
          </w:p>
        </w:tc>
        <w:tc>
          <w:tcPr>
            <w:tcW w:w="2440" w:type="dxa"/>
            <w:vAlign w:val="center"/>
          </w:tcPr>
          <w:p>
            <w:pPr>
              <w:spacing w:line="300" w:lineRule="auto"/>
              <w:ind w:right="-105" w:rightChars="-50"/>
              <w:jc w:val="center"/>
              <w:rPr>
                <w:b/>
                <w:color w:val="auto"/>
                <w:szCs w:val="21"/>
              </w:rPr>
            </w:pPr>
            <w:r>
              <w:rPr>
                <w:b/>
                <w:color w:val="auto"/>
                <w:szCs w:val="21"/>
              </w:rPr>
              <w:t>项目</w:t>
            </w:r>
          </w:p>
        </w:tc>
        <w:tc>
          <w:tcPr>
            <w:tcW w:w="5601" w:type="dxa"/>
            <w:vAlign w:val="center"/>
          </w:tcPr>
          <w:p>
            <w:pPr>
              <w:spacing w:line="300" w:lineRule="auto"/>
              <w:ind w:right="-105" w:rightChars="-50"/>
              <w:jc w:val="center"/>
              <w:rPr>
                <w:b/>
                <w:color w:val="auto"/>
                <w:szCs w:val="21"/>
              </w:rPr>
            </w:pPr>
            <w:r>
              <w:rPr>
                <w:b/>
                <w:color w:val="auto"/>
                <w:szCs w:val="21"/>
              </w:rPr>
              <w:t>类别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1</w:t>
            </w:r>
          </w:p>
        </w:tc>
        <w:tc>
          <w:tcPr>
            <w:tcW w:w="2440" w:type="dxa"/>
            <w:vAlign w:val="center"/>
          </w:tcPr>
          <w:p>
            <w:pPr>
              <w:spacing w:line="300" w:lineRule="auto"/>
              <w:ind w:right="-105" w:rightChars="-50"/>
              <w:jc w:val="center"/>
              <w:rPr>
                <w:color w:val="auto"/>
                <w:szCs w:val="21"/>
              </w:rPr>
            </w:pPr>
            <w:r>
              <w:rPr>
                <w:color w:val="auto"/>
                <w:szCs w:val="21"/>
              </w:rPr>
              <w:t>地表水环境功能区</w:t>
            </w:r>
          </w:p>
        </w:tc>
        <w:tc>
          <w:tcPr>
            <w:tcW w:w="5601" w:type="dxa"/>
            <w:vAlign w:val="center"/>
          </w:tcPr>
          <w:p>
            <w:pPr>
              <w:autoSpaceDE w:val="0"/>
              <w:autoSpaceDN w:val="0"/>
              <w:adjustRightInd w:val="0"/>
              <w:spacing w:line="300" w:lineRule="auto"/>
              <w:rPr>
                <w:color w:val="auto"/>
                <w:szCs w:val="21"/>
              </w:rPr>
            </w:pPr>
            <w:r>
              <w:rPr>
                <w:color w:val="auto"/>
                <w:szCs w:val="21"/>
              </w:rPr>
              <w:t>北江（清远新北江大桥至清城石角界牌河段（30km））执行III类水质标准、北江（清城石角界牌到三水市思贤滘河段（40.5km））执行II类水质标准、沙埗溪执行Ⅳ类水质标准、洗头潭水库和大水岩水库执行III类水质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2</w:t>
            </w:r>
          </w:p>
        </w:tc>
        <w:tc>
          <w:tcPr>
            <w:tcW w:w="2440" w:type="dxa"/>
            <w:vAlign w:val="center"/>
          </w:tcPr>
          <w:p>
            <w:pPr>
              <w:spacing w:line="300" w:lineRule="auto"/>
              <w:jc w:val="center"/>
              <w:rPr>
                <w:color w:val="auto"/>
                <w:szCs w:val="21"/>
              </w:rPr>
            </w:pPr>
            <w:r>
              <w:rPr>
                <w:color w:val="auto"/>
                <w:szCs w:val="21"/>
              </w:rPr>
              <w:t>大气环境功能区</w:t>
            </w:r>
          </w:p>
        </w:tc>
        <w:tc>
          <w:tcPr>
            <w:tcW w:w="5601" w:type="dxa"/>
            <w:vAlign w:val="center"/>
          </w:tcPr>
          <w:p>
            <w:pPr>
              <w:spacing w:line="300" w:lineRule="auto"/>
              <w:jc w:val="center"/>
              <w:rPr>
                <w:color w:val="auto"/>
                <w:szCs w:val="21"/>
              </w:rPr>
            </w:pPr>
            <w:r>
              <w:rPr>
                <w:color w:val="auto"/>
                <w:szCs w:val="21"/>
              </w:rPr>
              <w:t>二类区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3</w:t>
            </w:r>
          </w:p>
        </w:tc>
        <w:tc>
          <w:tcPr>
            <w:tcW w:w="2440" w:type="dxa"/>
            <w:vAlign w:val="center"/>
          </w:tcPr>
          <w:p>
            <w:pPr>
              <w:spacing w:line="300" w:lineRule="auto"/>
              <w:jc w:val="center"/>
              <w:rPr>
                <w:color w:val="auto"/>
                <w:szCs w:val="21"/>
              </w:rPr>
            </w:pPr>
            <w:r>
              <w:rPr>
                <w:color w:val="auto"/>
                <w:szCs w:val="21"/>
              </w:rPr>
              <w:t>声环境功能区</w:t>
            </w:r>
          </w:p>
        </w:tc>
        <w:tc>
          <w:tcPr>
            <w:tcW w:w="5601" w:type="dxa"/>
            <w:vAlign w:val="center"/>
          </w:tcPr>
          <w:p>
            <w:pPr>
              <w:spacing w:line="300" w:lineRule="auto"/>
              <w:jc w:val="center"/>
              <w:rPr>
                <w:color w:val="auto"/>
                <w:szCs w:val="21"/>
              </w:rPr>
            </w:pPr>
            <w:r>
              <w:rPr>
                <w:color w:val="auto"/>
                <w:szCs w:val="21"/>
              </w:rPr>
              <w:t>3类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4</w:t>
            </w:r>
          </w:p>
        </w:tc>
        <w:tc>
          <w:tcPr>
            <w:tcW w:w="2440" w:type="dxa"/>
            <w:vAlign w:val="center"/>
          </w:tcPr>
          <w:p>
            <w:pPr>
              <w:spacing w:line="300" w:lineRule="auto"/>
              <w:jc w:val="center"/>
              <w:rPr>
                <w:color w:val="auto"/>
                <w:szCs w:val="21"/>
              </w:rPr>
            </w:pPr>
            <w:r>
              <w:rPr>
                <w:color w:val="auto"/>
                <w:szCs w:val="21"/>
              </w:rPr>
              <w:t>地下水环境功能区</w:t>
            </w:r>
          </w:p>
        </w:tc>
        <w:tc>
          <w:tcPr>
            <w:tcW w:w="5601" w:type="dxa"/>
            <w:vAlign w:val="center"/>
          </w:tcPr>
          <w:p>
            <w:pPr>
              <w:spacing w:line="300" w:lineRule="auto"/>
              <w:jc w:val="center"/>
              <w:rPr>
                <w:color w:val="auto"/>
                <w:szCs w:val="21"/>
              </w:rPr>
            </w:pPr>
            <w:r>
              <w:rPr>
                <w:bCs/>
                <w:color w:val="auto"/>
                <w:szCs w:val="21"/>
              </w:rPr>
              <w:fldChar w:fldCharType="begin"/>
            </w:r>
            <w:r>
              <w:rPr>
                <w:bCs/>
                <w:color w:val="auto"/>
                <w:szCs w:val="21"/>
              </w:rPr>
              <w:instrText xml:space="preserve">= 3 \* ROMAN</w:instrText>
            </w:r>
            <w:r>
              <w:rPr>
                <w:bCs/>
                <w:color w:val="auto"/>
                <w:szCs w:val="21"/>
              </w:rPr>
              <w:fldChar w:fldCharType="separate"/>
            </w:r>
            <w:r>
              <w:rPr>
                <w:bCs/>
                <w:color w:val="auto"/>
                <w:szCs w:val="21"/>
              </w:rPr>
              <w:t>III</w:t>
            </w:r>
            <w:r>
              <w:rPr>
                <w:bCs/>
                <w:color w:val="auto"/>
                <w:szCs w:val="21"/>
              </w:rPr>
              <w:fldChar w:fldCharType="end"/>
            </w:r>
            <w:r>
              <w:rPr>
                <w:bCs/>
                <w:color w:val="auto"/>
                <w:szCs w:val="21"/>
              </w:rPr>
              <w:t>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5</w:t>
            </w:r>
          </w:p>
        </w:tc>
        <w:tc>
          <w:tcPr>
            <w:tcW w:w="2440" w:type="dxa"/>
            <w:vAlign w:val="center"/>
          </w:tcPr>
          <w:p>
            <w:pPr>
              <w:spacing w:line="300" w:lineRule="auto"/>
              <w:jc w:val="center"/>
              <w:rPr>
                <w:color w:val="auto"/>
                <w:szCs w:val="21"/>
              </w:rPr>
            </w:pPr>
            <w:r>
              <w:rPr>
                <w:color w:val="auto"/>
                <w:szCs w:val="21"/>
              </w:rPr>
              <w:t>基本农田保护区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6</w:t>
            </w:r>
          </w:p>
        </w:tc>
        <w:tc>
          <w:tcPr>
            <w:tcW w:w="2440" w:type="dxa"/>
            <w:vAlign w:val="center"/>
          </w:tcPr>
          <w:p>
            <w:pPr>
              <w:spacing w:line="300" w:lineRule="auto"/>
              <w:jc w:val="center"/>
              <w:rPr>
                <w:color w:val="auto"/>
                <w:szCs w:val="21"/>
              </w:rPr>
            </w:pPr>
            <w:r>
              <w:rPr>
                <w:color w:val="auto"/>
                <w:szCs w:val="21"/>
              </w:rPr>
              <w:t>饮用水源保护区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7</w:t>
            </w:r>
          </w:p>
        </w:tc>
        <w:tc>
          <w:tcPr>
            <w:tcW w:w="2440" w:type="dxa"/>
            <w:vAlign w:val="center"/>
          </w:tcPr>
          <w:p>
            <w:pPr>
              <w:spacing w:line="300" w:lineRule="auto"/>
              <w:jc w:val="center"/>
              <w:rPr>
                <w:color w:val="auto"/>
                <w:szCs w:val="21"/>
              </w:rPr>
            </w:pPr>
            <w:r>
              <w:rPr>
                <w:color w:val="auto"/>
                <w:szCs w:val="21"/>
              </w:rPr>
              <w:t>风景保护区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8</w:t>
            </w:r>
          </w:p>
        </w:tc>
        <w:tc>
          <w:tcPr>
            <w:tcW w:w="2440" w:type="dxa"/>
            <w:vAlign w:val="center"/>
          </w:tcPr>
          <w:p>
            <w:pPr>
              <w:spacing w:line="300" w:lineRule="auto"/>
              <w:jc w:val="center"/>
              <w:rPr>
                <w:color w:val="auto"/>
                <w:szCs w:val="21"/>
              </w:rPr>
            </w:pPr>
            <w:r>
              <w:rPr>
                <w:color w:val="auto"/>
                <w:szCs w:val="21"/>
              </w:rPr>
              <w:t>自然保护区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9</w:t>
            </w:r>
          </w:p>
        </w:tc>
        <w:tc>
          <w:tcPr>
            <w:tcW w:w="2440" w:type="dxa"/>
            <w:vAlign w:val="center"/>
          </w:tcPr>
          <w:p>
            <w:pPr>
              <w:spacing w:line="300" w:lineRule="auto"/>
              <w:jc w:val="center"/>
              <w:rPr>
                <w:color w:val="auto"/>
                <w:szCs w:val="21"/>
              </w:rPr>
            </w:pPr>
            <w:r>
              <w:rPr>
                <w:color w:val="auto"/>
                <w:szCs w:val="21"/>
              </w:rPr>
              <w:t>生态功能保护区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10</w:t>
            </w:r>
          </w:p>
        </w:tc>
        <w:tc>
          <w:tcPr>
            <w:tcW w:w="2440" w:type="dxa"/>
            <w:vAlign w:val="center"/>
          </w:tcPr>
          <w:p>
            <w:pPr>
              <w:spacing w:line="300" w:lineRule="auto"/>
              <w:jc w:val="center"/>
              <w:rPr>
                <w:color w:val="auto"/>
                <w:szCs w:val="21"/>
              </w:rPr>
            </w:pPr>
            <w:r>
              <w:rPr>
                <w:color w:val="auto"/>
                <w:szCs w:val="21"/>
              </w:rPr>
              <w:t>重点文物保护单位</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11</w:t>
            </w:r>
          </w:p>
        </w:tc>
        <w:tc>
          <w:tcPr>
            <w:tcW w:w="2440" w:type="dxa"/>
            <w:vAlign w:val="center"/>
          </w:tcPr>
          <w:p>
            <w:pPr>
              <w:spacing w:line="300" w:lineRule="auto"/>
              <w:jc w:val="center"/>
              <w:rPr>
                <w:color w:val="auto"/>
                <w:szCs w:val="21"/>
              </w:rPr>
            </w:pPr>
            <w:r>
              <w:rPr>
                <w:color w:val="auto"/>
                <w:szCs w:val="21"/>
              </w:rPr>
              <w:t>水库库区</w:t>
            </w:r>
          </w:p>
        </w:tc>
        <w:tc>
          <w:tcPr>
            <w:tcW w:w="5601" w:type="dxa"/>
            <w:vAlign w:val="center"/>
          </w:tcPr>
          <w:p>
            <w:pPr>
              <w:spacing w:line="300" w:lineRule="auto"/>
              <w:jc w:val="center"/>
              <w:rPr>
                <w:color w:val="auto"/>
                <w:szCs w:val="21"/>
              </w:rPr>
            </w:pPr>
            <w:r>
              <w:rPr>
                <w:color w:val="auto"/>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80" w:hRule="atLeast"/>
          <w:tblHeader/>
          <w:jc w:val="center"/>
        </w:trPr>
        <w:tc>
          <w:tcPr>
            <w:tcW w:w="705" w:type="dxa"/>
            <w:vAlign w:val="center"/>
          </w:tcPr>
          <w:p>
            <w:pPr>
              <w:spacing w:line="300" w:lineRule="auto"/>
              <w:jc w:val="center"/>
              <w:rPr>
                <w:color w:val="auto"/>
                <w:szCs w:val="21"/>
              </w:rPr>
            </w:pPr>
            <w:r>
              <w:rPr>
                <w:color w:val="auto"/>
                <w:szCs w:val="21"/>
              </w:rPr>
              <w:t>12</w:t>
            </w:r>
          </w:p>
        </w:tc>
        <w:tc>
          <w:tcPr>
            <w:tcW w:w="2440" w:type="dxa"/>
            <w:vAlign w:val="center"/>
          </w:tcPr>
          <w:p>
            <w:pPr>
              <w:spacing w:line="300" w:lineRule="auto"/>
              <w:jc w:val="center"/>
              <w:rPr>
                <w:color w:val="auto"/>
                <w:szCs w:val="21"/>
              </w:rPr>
            </w:pPr>
            <w:r>
              <w:rPr>
                <w:color w:val="auto"/>
                <w:szCs w:val="21"/>
              </w:rPr>
              <w:t>污水处理厂集水范围</w:t>
            </w:r>
          </w:p>
        </w:tc>
        <w:tc>
          <w:tcPr>
            <w:tcW w:w="5601" w:type="dxa"/>
            <w:vAlign w:val="center"/>
          </w:tcPr>
          <w:p>
            <w:pPr>
              <w:pStyle w:val="31"/>
              <w:spacing w:line="300" w:lineRule="auto"/>
              <w:ind w:firstLine="420"/>
              <w:rPr>
                <w:color w:val="auto"/>
                <w:sz w:val="21"/>
                <w:szCs w:val="21"/>
              </w:rPr>
            </w:pPr>
            <w:r>
              <w:rPr>
                <w:rFonts w:hint="eastAsia"/>
                <w:color w:val="auto"/>
                <w:sz w:val="21"/>
                <w:szCs w:val="21"/>
              </w:rPr>
              <w:t>是，石角镇污水处理</w:t>
            </w:r>
            <w:r>
              <w:rPr>
                <w:rFonts w:hint="eastAsia"/>
                <w:color w:val="auto"/>
                <w:sz w:val="21"/>
                <w:szCs w:val="21"/>
                <w:lang w:val="en-US" w:eastAsia="zh-CN"/>
              </w:rPr>
              <w:t>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blHeader/>
          <w:jc w:val="center"/>
        </w:trPr>
        <w:tc>
          <w:tcPr>
            <w:tcW w:w="705" w:type="dxa"/>
            <w:vAlign w:val="center"/>
          </w:tcPr>
          <w:p>
            <w:pPr>
              <w:spacing w:line="300" w:lineRule="auto"/>
              <w:jc w:val="center"/>
              <w:rPr>
                <w:color w:val="auto"/>
                <w:szCs w:val="21"/>
              </w:rPr>
            </w:pPr>
            <w:r>
              <w:rPr>
                <w:color w:val="auto"/>
                <w:szCs w:val="21"/>
              </w:rPr>
              <w:t>13</w:t>
            </w:r>
          </w:p>
        </w:tc>
        <w:tc>
          <w:tcPr>
            <w:tcW w:w="2440" w:type="dxa"/>
            <w:vAlign w:val="center"/>
          </w:tcPr>
          <w:p>
            <w:pPr>
              <w:pStyle w:val="31"/>
              <w:spacing w:line="300" w:lineRule="auto"/>
              <w:ind w:firstLine="630" w:firstLineChars="300"/>
              <w:jc w:val="both"/>
              <w:rPr>
                <w:color w:val="auto"/>
                <w:sz w:val="21"/>
                <w:szCs w:val="21"/>
              </w:rPr>
            </w:pPr>
            <w:r>
              <w:rPr>
                <w:color w:val="auto"/>
                <w:sz w:val="21"/>
                <w:szCs w:val="21"/>
              </w:rPr>
              <w:t>酸雨控制区</w:t>
            </w:r>
          </w:p>
        </w:tc>
        <w:tc>
          <w:tcPr>
            <w:tcW w:w="5601" w:type="dxa"/>
            <w:vAlign w:val="center"/>
          </w:tcPr>
          <w:p>
            <w:pPr>
              <w:pStyle w:val="31"/>
              <w:spacing w:line="300" w:lineRule="auto"/>
              <w:ind w:firstLine="0" w:firstLineChars="0"/>
              <w:rPr>
                <w:color w:val="auto"/>
                <w:sz w:val="21"/>
                <w:szCs w:val="21"/>
              </w:rPr>
            </w:pPr>
            <w:r>
              <w:rPr>
                <w:color w:val="auto"/>
                <w:sz w:val="21"/>
                <w:szCs w:val="21"/>
              </w:rPr>
              <w:t>是</w:t>
            </w:r>
          </w:p>
        </w:tc>
      </w:tr>
    </w:tbl>
    <w:p>
      <w:pPr>
        <w:autoSpaceDE w:val="0"/>
        <w:autoSpaceDN w:val="0"/>
        <w:adjustRightInd w:val="0"/>
        <w:spacing w:line="360" w:lineRule="auto"/>
        <w:jc w:val="center"/>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widowControl/>
        <w:spacing w:line="360" w:lineRule="auto"/>
        <w:jc w:val="center"/>
        <w:rPr>
          <w:b/>
          <w:bCs/>
          <w:color w:val="auto"/>
          <w:szCs w:val="28"/>
        </w:rPr>
      </w:pPr>
      <w:r>
        <w:rPr>
          <w:color w:val="auto"/>
        </w:rPr>
        <mc:AlternateContent>
          <mc:Choice Requires="wps">
            <w:drawing>
              <wp:anchor distT="0" distB="0" distL="114300" distR="114300" simplePos="0" relativeHeight="252052480" behindDoc="0" locked="0" layoutInCell="1" allowOverlap="1">
                <wp:simplePos x="0" y="0"/>
                <wp:positionH relativeFrom="column">
                  <wp:posOffset>4528185</wp:posOffset>
                </wp:positionH>
                <wp:positionV relativeFrom="paragraph">
                  <wp:posOffset>1356995</wp:posOffset>
                </wp:positionV>
                <wp:extent cx="593725" cy="316230"/>
                <wp:effectExtent l="4445" t="5080" r="11430" b="21590"/>
                <wp:wrapNone/>
                <wp:docPr id="61" name="文本框 61"/>
                <wp:cNvGraphicFramePr/>
                <a:graphic xmlns:a="http://schemas.openxmlformats.org/drawingml/2006/main">
                  <a:graphicData uri="http://schemas.microsoft.com/office/word/2010/wordprocessingShape">
                    <wps:wsp>
                      <wps:cNvSpPr txBox="1"/>
                      <wps:spPr>
                        <a:xfrm>
                          <a:off x="0" y="0"/>
                          <a:ext cx="593725" cy="316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6.55pt;margin-top:106.85pt;height:24.9pt;width:46.75pt;z-index:252052480;mso-width-relative:page;mso-height-relative:page;" fillcolor="#FFFFFF [3201]" filled="t" stroked="t" coordsize="21600,21600" o:gfxdata="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I5ovYAAAACwEAAA8AAAAAAAAAAQAgAAAAIgAAAGRy&#10;cy9kb3ducmV2LnhtbFBLAQIUABQAAAAIAIdO4kDkf28lPgIAAGoEAAAOAAAAAAAAAAEAIAAAACcB&#10;AABkcnMvZTJvRG9jLnhtbFBLBQYAAAAABgAGAFkBAADXBQAAAAA=&#10;">
                <v:fill on="t" focussize="0,0"/>
                <v:stroke weight="0.5pt" color="#000000 [3204]" joinstyle="round"/>
                <v:imagedata o:title=""/>
                <o:lock v:ext="edit" aspectratio="f"/>
                <v:textbox>
                  <w:txbxContent>
                    <w:p>
                      <w:r>
                        <w:rPr>
                          <w:rFonts w:hint="eastAsia"/>
                        </w:rPr>
                        <w:t>本项目</w:t>
                      </w:r>
                    </w:p>
                  </w:txbxContent>
                </v:textbox>
              </v:shape>
            </w:pict>
          </mc:Fallback>
        </mc:AlternateContent>
      </w:r>
      <w:r>
        <w:rPr>
          <w:color w:val="auto"/>
        </w:rPr>
        <mc:AlternateContent>
          <mc:Choice Requires="wps">
            <w:drawing>
              <wp:anchor distT="0" distB="0" distL="114300" distR="114300" simplePos="0" relativeHeight="252051456" behindDoc="0" locked="0" layoutInCell="1" allowOverlap="1">
                <wp:simplePos x="0" y="0"/>
                <wp:positionH relativeFrom="column">
                  <wp:posOffset>4342765</wp:posOffset>
                </wp:positionH>
                <wp:positionV relativeFrom="paragraph">
                  <wp:posOffset>1449070</wp:posOffset>
                </wp:positionV>
                <wp:extent cx="168910" cy="150495"/>
                <wp:effectExtent l="10795" t="12700" r="10795" b="8255"/>
                <wp:wrapNone/>
                <wp:docPr id="30" name="等腰三角形 30"/>
                <wp:cNvGraphicFramePr/>
                <a:graphic xmlns:a="http://schemas.openxmlformats.org/drawingml/2006/main">
                  <a:graphicData uri="http://schemas.microsoft.com/office/word/2010/wordprocessingShape">
                    <wps:wsp>
                      <wps:cNvSpPr/>
                      <wps:spPr>
                        <a:xfrm>
                          <a:off x="5366385" y="2456815"/>
                          <a:ext cx="168910" cy="150495"/>
                        </a:xfrm>
                        <a:prstGeom prst="triangl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1.95pt;margin-top:114.1pt;height:11.85pt;width:13.3pt;z-index:252051456;v-text-anchor:middle;mso-width-relative:page;mso-height-relative:page;" fillcolor="#ED7D31 [3205]" filled="t" stroked="t" coordsize="21600,21600" o:gfxdata="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tK52YdsAAAAL&#10;AQAADwAAAAAAAAABACAAAAAiAAAAZHJzL2Rvd25yZXYueG1sUEsBAhQAFAAAAAgAh07iQBnvOGeL&#10;AgAA4QQAAA4AAAAAAAAAAQAgAAAAKgEAAGRycy9lMm9Eb2MueG1sUEsFBgAAAAAGAAYAWQEAACcG&#10;AAAAAA==&#10;" adj="10800">
                <v:fill on="t" focussize="0,0"/>
                <v:stroke weight="1pt" color="#AE5A21 [3205]" miterlimit="8" joinstyle="miter"/>
                <v:imagedata o:title=""/>
                <o:lock v:ext="edit" aspectratio="f"/>
              </v:shape>
            </w:pict>
          </mc:Fallback>
        </mc:AlternateContent>
      </w:r>
      <w:r>
        <w:rPr>
          <w:color w:val="auto"/>
        </w:rPr>
        <w:drawing>
          <wp:anchor distT="0" distB="0" distL="114300" distR="114300" simplePos="0" relativeHeight="251870208" behindDoc="0" locked="0" layoutInCell="1" allowOverlap="1">
            <wp:simplePos x="0" y="0"/>
            <wp:positionH relativeFrom="column">
              <wp:posOffset>6771640</wp:posOffset>
            </wp:positionH>
            <wp:positionV relativeFrom="paragraph">
              <wp:posOffset>73660</wp:posOffset>
            </wp:positionV>
            <wp:extent cx="1123315" cy="953135"/>
            <wp:effectExtent l="0" t="0" r="635" b="18415"/>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
                    <a:srcRect/>
                    <a:stretch>
                      <a:fillRect/>
                    </a:stretch>
                  </pic:blipFill>
                  <pic:spPr>
                    <a:xfrm>
                      <a:off x="0" y="0"/>
                      <a:ext cx="1123315" cy="953135"/>
                    </a:xfrm>
                    <a:prstGeom prst="rect">
                      <a:avLst/>
                    </a:prstGeom>
                    <a:noFill/>
                    <a:ln>
                      <a:noFill/>
                    </a:ln>
                  </pic:spPr>
                </pic:pic>
              </a:graphicData>
            </a:graphic>
          </wp:anchor>
        </w:drawing>
      </w:r>
      <w:r>
        <w:rPr>
          <w:b/>
          <w:bCs/>
          <w:color w:val="auto"/>
          <w:szCs w:val="28"/>
        </w:rPr>
        <w:drawing>
          <wp:inline distT="0" distB="0" distL="114300" distR="114300">
            <wp:extent cx="6815455" cy="4945380"/>
            <wp:effectExtent l="0" t="0" r="4445" b="7620"/>
            <wp:docPr id="20" name="图片 20" descr="微信图片_2020061011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00610112707"/>
                    <pic:cNvPicPr>
                      <a:picLocks noChangeAspect="1"/>
                    </pic:cNvPicPr>
                  </pic:nvPicPr>
                  <pic:blipFill>
                    <a:blip r:embed="rId20"/>
                    <a:srcRect t="-923"/>
                    <a:stretch>
                      <a:fillRect/>
                    </a:stretch>
                  </pic:blipFill>
                  <pic:spPr>
                    <a:xfrm>
                      <a:off x="0" y="0"/>
                      <a:ext cx="6815455" cy="4945380"/>
                    </a:xfrm>
                    <a:prstGeom prst="rect">
                      <a:avLst/>
                    </a:prstGeom>
                  </pic:spPr>
                </pic:pic>
              </a:graphicData>
            </a:graphic>
          </wp:inline>
        </w:drawing>
      </w:r>
    </w:p>
    <w:p>
      <w:pPr>
        <w:widowControl/>
        <w:spacing w:line="360" w:lineRule="auto"/>
        <w:jc w:val="center"/>
        <w:rPr>
          <w:b/>
          <w:bCs/>
          <w:color w:val="auto"/>
          <w:szCs w:val="28"/>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szCs w:val="28"/>
        </w:rPr>
        <w:t>图2.3</w:t>
      </w:r>
      <w:r>
        <w:rPr>
          <w:b/>
          <w:bCs/>
          <w:color w:val="auto"/>
          <w:szCs w:val="28"/>
        </w:rPr>
        <w:noBreakHyphen/>
      </w:r>
      <w:r>
        <w:rPr>
          <w:b/>
          <w:bCs/>
          <w:color w:val="auto"/>
          <w:szCs w:val="28"/>
        </w:rPr>
        <w:fldChar w:fldCharType="begin"/>
      </w:r>
      <w:r>
        <w:rPr>
          <w:b/>
          <w:bCs/>
          <w:color w:val="auto"/>
          <w:szCs w:val="28"/>
        </w:rPr>
        <w:instrText xml:space="preserve"> SEQ 图 \* ARABIC \s 2 </w:instrText>
      </w:r>
      <w:r>
        <w:rPr>
          <w:b/>
          <w:bCs/>
          <w:color w:val="auto"/>
          <w:szCs w:val="28"/>
        </w:rPr>
        <w:fldChar w:fldCharType="separate"/>
      </w:r>
      <w:r>
        <w:rPr>
          <w:b/>
          <w:bCs/>
          <w:color w:val="auto"/>
          <w:szCs w:val="28"/>
        </w:rPr>
        <w:t>1</w:t>
      </w:r>
      <w:r>
        <w:rPr>
          <w:b/>
          <w:bCs/>
          <w:color w:val="auto"/>
          <w:szCs w:val="28"/>
        </w:rPr>
        <w:fldChar w:fldCharType="end"/>
      </w:r>
      <w:r>
        <w:rPr>
          <w:b/>
          <w:bCs/>
          <w:color w:val="auto"/>
          <w:szCs w:val="28"/>
        </w:rPr>
        <w:t xml:space="preserve">  项目所在区域河流水系图</w:t>
      </w:r>
    </w:p>
    <w:p>
      <w:pPr>
        <w:spacing w:line="360" w:lineRule="auto"/>
        <w:jc w:val="center"/>
        <w:rPr>
          <w:color w:val="auto"/>
          <w:sz w:val="24"/>
        </w:rPr>
      </w:pPr>
      <w:r>
        <w:rPr>
          <w:color w:val="auto"/>
        </w:rPr>
        <mc:AlternateContent>
          <mc:Choice Requires="wps">
            <w:drawing>
              <wp:anchor distT="0" distB="0" distL="114300" distR="114300" simplePos="0" relativeHeight="252086272" behindDoc="0" locked="0" layoutInCell="1" allowOverlap="1">
                <wp:simplePos x="0" y="0"/>
                <wp:positionH relativeFrom="column">
                  <wp:posOffset>5130165</wp:posOffset>
                </wp:positionH>
                <wp:positionV relativeFrom="paragraph">
                  <wp:posOffset>3696335</wp:posOffset>
                </wp:positionV>
                <wp:extent cx="930275" cy="314960"/>
                <wp:effectExtent l="398780" t="6350" r="23495" b="154940"/>
                <wp:wrapNone/>
                <wp:docPr id="117" name="圆角矩形标注 117"/>
                <wp:cNvGraphicFramePr/>
                <a:graphic xmlns:a="http://schemas.openxmlformats.org/drawingml/2006/main">
                  <a:graphicData uri="http://schemas.microsoft.com/office/word/2010/wordprocessingShape">
                    <wps:wsp>
                      <wps:cNvSpPr/>
                      <wps:spPr>
                        <a:xfrm flipH="1">
                          <a:off x="0" y="0"/>
                          <a:ext cx="930275" cy="314960"/>
                        </a:xfrm>
                        <a:prstGeom prst="wedgeRoundRectCallout">
                          <a:avLst>
                            <a:gd name="adj1" fmla="val 87421"/>
                            <a:gd name="adj2" fmla="val 89111"/>
                            <a:gd name="adj3" fmla="val 16667"/>
                          </a:avLst>
                        </a:prstGeom>
                        <a:noFill/>
                        <a:ln w="12700" cap="flat" cmpd="sng">
                          <a:solidFill>
                            <a:srgbClr val="000000"/>
                          </a:solidFill>
                          <a:prstDash val="solid"/>
                          <a:miter/>
                          <a:headEnd type="none" w="med" len="med"/>
                          <a:tailEnd type="none" w="med" len="med"/>
                        </a:ln>
                      </wps:spPr>
                      <wps:txbx>
                        <w:txbxContent>
                          <w:p>
                            <w:pPr>
                              <w:rPr>
                                <w:b/>
                                <w:bCs/>
                              </w:rPr>
                            </w:pPr>
                            <w:r>
                              <w:rPr>
                                <w:rFonts w:hint="eastAsia"/>
                                <w:b/>
                                <w:bCs/>
                              </w:rPr>
                              <w:t>项目所在地</w:t>
                            </w:r>
                          </w:p>
                        </w:txbxContent>
                      </wps:txbx>
                      <wps:bodyPr upright="1"/>
                    </wps:wsp>
                  </a:graphicData>
                </a:graphic>
              </wp:anchor>
            </w:drawing>
          </mc:Choice>
          <mc:Fallback>
            <w:pict>
              <v:shape id="_x0000_s1026" o:spid="_x0000_s1026" o:spt="62" type="#_x0000_t62" style="position:absolute;left:0pt;flip:x;margin-left:403.95pt;margin-top:291.05pt;height:24.8pt;width:73.25pt;z-index:252086272;mso-width-relative:page;mso-height-relative:page;" filled="f" stroked="t" coordsize="21600,21600" o:gfxdata="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NysD3QAAAAsBAAAPAAAAAAAAAAEAIAAAACIAAABk&#10;cnMvZG93bnJldi54bWxQSwECFAAUAAAACACHTuJAKw4ilToCAABSBAAADgAAAAAAAAABACAAAAAs&#10;AQAAZHJzL2Uyb0RvYy54bWxQSwUGAAAAAAYABgBZAQAA2AUAAAAA&#10;" adj="29683,30048,14400">
                <v:fill on="f" focussize="0,0"/>
                <v:stroke weight="1pt" color="#000000" joinstyle="miter"/>
                <v:imagedata o:title=""/>
                <o:lock v:ext="edit" aspectratio="f"/>
                <v:textbox>
                  <w:txbxContent>
                    <w:p>
                      <w:pPr>
                        <w:rPr>
                          <w:b/>
                          <w:bCs/>
                        </w:rPr>
                      </w:pPr>
                      <w:r>
                        <w:rPr>
                          <w:rFonts w:hint="eastAsia"/>
                          <w:b/>
                          <w:bCs/>
                        </w:rPr>
                        <w:t>项目所在地</w:t>
                      </w:r>
                    </w:p>
                  </w:txbxContent>
                </v:textbox>
              </v:shape>
            </w:pict>
          </mc:Fallback>
        </mc:AlternateContent>
      </w:r>
      <w:r>
        <w:rPr>
          <w:color w:val="auto"/>
        </w:rPr>
        <w:drawing>
          <wp:anchor distT="0" distB="0" distL="114300" distR="114300" simplePos="0" relativeHeight="251871232" behindDoc="0" locked="0" layoutInCell="1" allowOverlap="1">
            <wp:simplePos x="0" y="0"/>
            <wp:positionH relativeFrom="column">
              <wp:posOffset>5748020</wp:posOffset>
            </wp:positionH>
            <wp:positionV relativeFrom="paragraph">
              <wp:posOffset>353695</wp:posOffset>
            </wp:positionV>
            <wp:extent cx="1123315" cy="953135"/>
            <wp:effectExtent l="0" t="0" r="635" b="18415"/>
            <wp:wrapNone/>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9"/>
                    <a:srcRect/>
                    <a:stretch>
                      <a:fillRect/>
                    </a:stretch>
                  </pic:blipFill>
                  <pic:spPr>
                    <a:xfrm>
                      <a:off x="0" y="0"/>
                      <a:ext cx="1123315" cy="953135"/>
                    </a:xfrm>
                    <a:prstGeom prst="rect">
                      <a:avLst/>
                    </a:prstGeom>
                    <a:noFill/>
                    <a:ln>
                      <a:noFill/>
                    </a:ln>
                  </pic:spPr>
                </pic:pic>
              </a:graphicData>
            </a:graphic>
          </wp:anchor>
        </w:drawing>
      </w:r>
      <w:r>
        <w:rPr>
          <w:color w:val="auto"/>
        </w:rPr>
        <mc:AlternateContent>
          <mc:Choice Requires="wps">
            <w:drawing>
              <wp:anchor distT="0" distB="0" distL="114300" distR="114300" simplePos="0" relativeHeight="252119040" behindDoc="0" locked="0" layoutInCell="1" allowOverlap="1">
                <wp:simplePos x="0" y="0"/>
                <wp:positionH relativeFrom="column">
                  <wp:posOffset>4717415</wp:posOffset>
                </wp:positionH>
                <wp:positionV relativeFrom="paragraph">
                  <wp:posOffset>4132580</wp:posOffset>
                </wp:positionV>
                <wp:extent cx="52070" cy="45720"/>
                <wp:effectExtent l="4445" t="4445" r="19685" b="6985"/>
                <wp:wrapNone/>
                <wp:docPr id="124" name="椭圆 124"/>
                <wp:cNvGraphicFramePr/>
                <a:graphic xmlns:a="http://schemas.openxmlformats.org/drawingml/2006/main">
                  <a:graphicData uri="http://schemas.microsoft.com/office/word/2010/wordprocessingShape">
                    <wps:wsp>
                      <wps:cNvSpPr/>
                      <wps:spPr>
                        <a:xfrm>
                          <a:off x="0" y="0"/>
                          <a:ext cx="52070" cy="4572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71.45pt;margin-top:325.4pt;height:3.6pt;width:4.1pt;z-index:252119040;mso-width-relative:page;mso-height-relative:page;" fillcolor="#FF0000" filled="t" stroked="t" coordsize="21600,21600" o:gfxdata="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0h4cd9gAAAALAQAADwAA&#10;AAAAAAABACAAAAAiAAAAZHJzL2Rvd25yZXYueG1sUEsBAhQAFAAAAAgAh07iQAasTjjdAQAAygMA&#10;AA4AAAAAAAAAAQAgAAAAJwEAAGRycy9lMm9Eb2MueG1sUEsFBgAAAAAGAAYAWQEAAHYFAAAAAA==&#10;">
                <v:fill on="t" focussize="0,0"/>
                <v:stroke color="#FF0000" joinstyle="round"/>
                <v:imagedata o:title=""/>
                <o:lock v:ext="edit" aspectratio="f"/>
              </v:shape>
            </w:pict>
          </mc:Fallback>
        </mc:AlternateContent>
      </w:r>
      <w:r>
        <w:rPr>
          <w:rFonts w:hint="eastAsia"/>
          <w:color w:val="auto"/>
          <w:sz w:val="24"/>
        </w:rPr>
        <w:drawing>
          <wp:inline distT="0" distB="0" distL="114300" distR="114300">
            <wp:extent cx="5372100" cy="6245860"/>
            <wp:effectExtent l="0" t="0" r="2540" b="7620"/>
            <wp:docPr id="67" name="图片 67" descr="彩色-A4.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彩色-A4._页面_18"/>
                    <pic:cNvPicPr>
                      <a:picLocks noChangeAspect="1"/>
                    </pic:cNvPicPr>
                  </pic:nvPicPr>
                  <pic:blipFill>
                    <a:blip r:embed="rId21"/>
                    <a:srcRect/>
                    <a:stretch>
                      <a:fillRect/>
                    </a:stretch>
                  </pic:blipFill>
                  <pic:spPr>
                    <a:xfrm rot="5400000">
                      <a:off x="0" y="0"/>
                      <a:ext cx="5372100" cy="6245860"/>
                    </a:xfrm>
                    <a:prstGeom prst="rect">
                      <a:avLst/>
                    </a:prstGeom>
                  </pic:spPr>
                </pic:pic>
              </a:graphicData>
            </a:graphic>
          </wp:inline>
        </w:drawing>
      </w:r>
    </w:p>
    <w:p>
      <w:pPr>
        <w:widowControl/>
        <w:spacing w:line="360" w:lineRule="auto"/>
        <w:jc w:val="center"/>
        <w:rPr>
          <w:b/>
          <w:bCs/>
          <w:color w:val="auto"/>
          <w:sz w:val="24"/>
        </w:rPr>
        <w:sectPr>
          <w:pgSz w:w="16838" w:h="11906" w:orient="landscape"/>
          <w:pgMar w:top="158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sz w:val="24"/>
        </w:rPr>
        <w:t>图2.3-2  项目所在区域地下水环境功能区划图</w:t>
      </w:r>
    </w:p>
    <w:p>
      <w:pPr>
        <w:spacing w:line="360" w:lineRule="auto"/>
        <w:jc w:val="center"/>
        <w:rPr>
          <w:color w:val="auto"/>
          <w:sz w:val="24"/>
        </w:rPr>
      </w:pPr>
      <w:r>
        <w:rPr>
          <w:color w:val="auto"/>
        </w:rPr>
        <mc:AlternateContent>
          <mc:Choice Requires="wps">
            <w:drawing>
              <wp:anchor distT="0" distB="0" distL="114300" distR="114300" simplePos="0" relativeHeight="251887616" behindDoc="0" locked="0" layoutInCell="1" allowOverlap="1">
                <wp:simplePos x="0" y="0"/>
                <wp:positionH relativeFrom="column">
                  <wp:posOffset>3342005</wp:posOffset>
                </wp:positionH>
                <wp:positionV relativeFrom="paragraph">
                  <wp:posOffset>4644390</wp:posOffset>
                </wp:positionV>
                <wp:extent cx="913130" cy="314960"/>
                <wp:effectExtent l="6350" t="6350" r="394970" b="154940"/>
                <wp:wrapNone/>
                <wp:docPr id="26" name="圆角矩形标注 26"/>
                <wp:cNvGraphicFramePr/>
                <a:graphic xmlns:a="http://schemas.openxmlformats.org/drawingml/2006/main">
                  <a:graphicData uri="http://schemas.microsoft.com/office/word/2010/wordprocessingShape">
                    <wps:wsp>
                      <wps:cNvSpPr/>
                      <wps:spPr>
                        <a:xfrm>
                          <a:off x="0" y="0"/>
                          <a:ext cx="913130" cy="314960"/>
                        </a:xfrm>
                        <a:prstGeom prst="wedgeRoundRectCallout">
                          <a:avLst>
                            <a:gd name="adj1" fmla="val 87421"/>
                            <a:gd name="adj2" fmla="val 89111"/>
                            <a:gd name="adj3" fmla="val 16667"/>
                          </a:avLst>
                        </a:prstGeom>
                        <a:noFill/>
                        <a:ln w="12700" cap="flat" cmpd="sng">
                          <a:solidFill>
                            <a:srgbClr val="000000"/>
                          </a:solidFill>
                          <a:prstDash val="solid"/>
                          <a:miter/>
                          <a:headEnd type="none" w="med" len="med"/>
                          <a:tailEnd type="none" w="med" len="med"/>
                        </a:ln>
                      </wps:spPr>
                      <wps:txbx>
                        <w:txbxContent>
                          <w:p>
                            <w:pPr>
                              <w:rPr>
                                <w:b/>
                                <w:bCs/>
                              </w:rPr>
                            </w:pPr>
                            <w:r>
                              <w:rPr>
                                <w:rFonts w:hint="eastAsia"/>
                                <w:b/>
                                <w:bCs/>
                              </w:rPr>
                              <w:t>项目所在地</w:t>
                            </w:r>
                          </w:p>
                        </w:txbxContent>
                      </wps:txbx>
                      <wps:bodyPr upright="1"/>
                    </wps:wsp>
                  </a:graphicData>
                </a:graphic>
              </wp:anchor>
            </w:drawing>
          </mc:Choice>
          <mc:Fallback>
            <w:pict>
              <v:shape id="_x0000_s1026" o:spid="_x0000_s1026" o:spt="62" type="#_x0000_t62" style="position:absolute;left:0pt;margin-left:263.15pt;margin-top:365.7pt;height:24.8pt;width:71.9pt;z-index:251887616;mso-width-relative:page;mso-height-relative:page;" filled="f" stroked="t" coordsize="21600,21600" o:gfxdata="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OAr/vZAAAACwEAAA8AAAAAAAAAAQAgAAAAIgAAAGRycy9kb3ducmV2LnhtbFBL&#10;AQIUABQAAAAIAIdO4kBmpOQiLgIAAEYEAAAOAAAAAAAAAAEAIAAAACgBAABkcnMvZTJvRG9jLnht&#10;bFBLBQYAAAAABgAGAFkBAADIBQAAAAA=&#10;" adj="29683,30048,14400">
                <v:fill on="f" focussize="0,0"/>
                <v:stroke weight="1pt" color="#000000" joinstyle="miter"/>
                <v:imagedata o:title=""/>
                <o:lock v:ext="edit" aspectratio="f"/>
                <v:textbox>
                  <w:txbxContent>
                    <w:p>
                      <w:pPr>
                        <w:rPr>
                          <w:b/>
                          <w:bCs/>
                        </w:rPr>
                      </w:pPr>
                      <w:r>
                        <w:rPr>
                          <w:rFonts w:hint="eastAsia"/>
                          <w:b/>
                          <w:bCs/>
                        </w:rPr>
                        <w:t>项目所在地</w:t>
                      </w:r>
                    </w:p>
                  </w:txbxContent>
                </v:textbox>
              </v:shape>
            </w:pict>
          </mc:Fallback>
        </mc:AlternateContent>
      </w:r>
      <w:r>
        <w:rPr>
          <w:color w:val="auto"/>
        </w:rPr>
        <mc:AlternateContent>
          <mc:Choice Requires="wps">
            <w:drawing>
              <wp:anchor distT="0" distB="0" distL="114300" distR="114300" simplePos="0" relativeHeight="251886592" behindDoc="0" locked="0" layoutInCell="1" allowOverlap="1">
                <wp:simplePos x="0" y="0"/>
                <wp:positionH relativeFrom="column">
                  <wp:posOffset>4667250</wp:posOffset>
                </wp:positionH>
                <wp:positionV relativeFrom="paragraph">
                  <wp:posOffset>5048250</wp:posOffset>
                </wp:positionV>
                <wp:extent cx="52070" cy="45720"/>
                <wp:effectExtent l="4445" t="4445" r="19685" b="6985"/>
                <wp:wrapNone/>
                <wp:docPr id="21" name="椭圆 21"/>
                <wp:cNvGraphicFramePr/>
                <a:graphic xmlns:a="http://schemas.openxmlformats.org/drawingml/2006/main">
                  <a:graphicData uri="http://schemas.microsoft.com/office/word/2010/wordprocessingShape">
                    <wps:wsp>
                      <wps:cNvSpPr/>
                      <wps:spPr>
                        <a:xfrm>
                          <a:off x="0" y="0"/>
                          <a:ext cx="52070" cy="4572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67.5pt;margin-top:397.5pt;height:3.6pt;width:4.1pt;z-index:251886592;mso-width-relative:page;mso-height-relative:page;" fillcolor="#FF0000" filled="t" stroked="t" coordsize="21600,21600" o:gfxdata="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aupfXYAAAACwEAAA8AAAAA&#10;AAAAAQAgAAAAIgAAAGRycy9kb3ducmV2LnhtbFBLAQIUABQAAAAIAIdO4kACLD3n2wEAAMgDAAAO&#10;AAAAAAAAAAEAIAAAACcBAABkcnMvZTJvRG9jLnhtbFBLBQYAAAAABgAGAFkBAAB0BQAAAAA=&#10;">
                <v:fill on="t" focussize="0,0"/>
                <v:stroke color="#FF0000" joinstyle="round"/>
                <v:imagedata o:title=""/>
                <o:lock v:ext="edit" aspectratio="f"/>
              </v:shape>
            </w:pict>
          </mc:Fallback>
        </mc:AlternateContent>
      </w:r>
      <w:r>
        <w:rPr>
          <w:color w:val="auto"/>
        </w:rPr>
        <w:drawing>
          <wp:inline distT="0" distB="0" distL="114300" distR="114300">
            <wp:extent cx="6182360" cy="5462905"/>
            <wp:effectExtent l="0" t="0" r="8890" b="444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2"/>
                    <a:stretch>
                      <a:fillRect/>
                    </a:stretch>
                  </pic:blipFill>
                  <pic:spPr>
                    <a:xfrm>
                      <a:off x="0" y="0"/>
                      <a:ext cx="6182360" cy="5462905"/>
                    </a:xfrm>
                    <a:prstGeom prst="rect">
                      <a:avLst/>
                    </a:prstGeom>
                    <a:noFill/>
                    <a:ln>
                      <a:noFill/>
                    </a:ln>
                  </pic:spPr>
                </pic:pic>
              </a:graphicData>
            </a:graphic>
          </wp:inline>
        </w:drawing>
      </w:r>
    </w:p>
    <w:p>
      <w:pPr>
        <w:widowControl/>
        <w:spacing w:line="360" w:lineRule="auto"/>
        <w:jc w:val="center"/>
        <w:rPr>
          <w:b/>
          <w:bCs/>
          <w:color w:val="auto"/>
          <w:sz w:val="24"/>
        </w:rPr>
      </w:pPr>
      <w:bookmarkStart w:id="105" w:name="_Ref361060688"/>
      <w:r>
        <w:rPr>
          <w:b/>
          <w:bCs/>
          <w:color w:val="auto"/>
          <w:sz w:val="24"/>
        </w:rPr>
        <w:t>图2.3</w:t>
      </w:r>
      <w:r>
        <w:rPr>
          <w:b/>
          <w:bCs/>
          <w:color w:val="auto"/>
          <w:sz w:val="24"/>
        </w:rPr>
        <w:noBreakHyphen/>
      </w:r>
      <w:bookmarkEnd w:id="105"/>
      <w:r>
        <w:rPr>
          <w:b/>
          <w:bCs/>
          <w:color w:val="auto"/>
          <w:sz w:val="24"/>
        </w:rPr>
        <w:t>3  项目所在区域大气环境功能区划图</w:t>
      </w:r>
    </w:p>
    <w:p>
      <w:pPr>
        <w:spacing w:line="360" w:lineRule="auto"/>
        <w:rPr>
          <w:color w:val="auto"/>
          <w:sz w:val="24"/>
        </w:rPr>
        <w:sectPr>
          <w:pgSz w:w="16838" w:h="11906" w:orient="landscape"/>
          <w:pgMar w:top="116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jc w:val="center"/>
        <w:rPr>
          <w:rFonts w:eastAsia="仿宋_GB2312"/>
          <w:color w:val="auto"/>
          <w:sz w:val="32"/>
          <w:szCs w:val="32"/>
        </w:rPr>
      </w:pPr>
      <w:r>
        <w:rPr>
          <w:color w:val="auto"/>
        </w:rPr>
        <mc:AlternateContent>
          <mc:Choice Requires="wps">
            <w:drawing>
              <wp:anchor distT="0" distB="0" distL="114300" distR="114300" simplePos="0" relativeHeight="252185600" behindDoc="0" locked="0" layoutInCell="1" allowOverlap="1">
                <wp:simplePos x="0" y="0"/>
                <wp:positionH relativeFrom="column">
                  <wp:posOffset>-294005</wp:posOffset>
                </wp:positionH>
                <wp:positionV relativeFrom="paragraph">
                  <wp:posOffset>5696585</wp:posOffset>
                </wp:positionV>
                <wp:extent cx="921385" cy="314960"/>
                <wp:effectExtent l="6350" t="6350" r="405765" b="154940"/>
                <wp:wrapNone/>
                <wp:docPr id="127" name="圆角矩形标注 127"/>
                <wp:cNvGraphicFramePr/>
                <a:graphic xmlns:a="http://schemas.openxmlformats.org/drawingml/2006/main">
                  <a:graphicData uri="http://schemas.microsoft.com/office/word/2010/wordprocessingShape">
                    <wps:wsp>
                      <wps:cNvSpPr/>
                      <wps:spPr>
                        <a:xfrm>
                          <a:off x="0" y="0"/>
                          <a:ext cx="921385" cy="314960"/>
                        </a:xfrm>
                        <a:prstGeom prst="wedgeRoundRectCallout">
                          <a:avLst>
                            <a:gd name="adj1" fmla="val 87421"/>
                            <a:gd name="adj2" fmla="val 89111"/>
                            <a:gd name="adj3" fmla="val 16667"/>
                          </a:avLst>
                        </a:prstGeom>
                        <a:noFill/>
                        <a:ln w="12700" cap="flat" cmpd="sng">
                          <a:solidFill>
                            <a:srgbClr val="000000"/>
                          </a:solidFill>
                          <a:prstDash val="solid"/>
                          <a:miter/>
                          <a:headEnd type="none" w="med" len="med"/>
                          <a:tailEnd type="none" w="med" len="med"/>
                        </a:ln>
                      </wps:spPr>
                      <wps:txbx>
                        <w:txbxContent>
                          <w:p>
                            <w:pPr>
                              <w:rPr>
                                <w:b/>
                                <w:bCs/>
                              </w:rPr>
                            </w:pPr>
                            <w:r>
                              <w:rPr>
                                <w:rFonts w:hint="eastAsia"/>
                                <w:b/>
                                <w:bCs/>
                              </w:rPr>
                              <w:t>项目所在地</w:t>
                            </w:r>
                          </w:p>
                        </w:txbxContent>
                      </wps:txbx>
                      <wps:bodyPr upright="1"/>
                    </wps:wsp>
                  </a:graphicData>
                </a:graphic>
              </wp:anchor>
            </w:drawing>
          </mc:Choice>
          <mc:Fallback>
            <w:pict>
              <v:shape id="_x0000_s1026" o:spid="_x0000_s1026" o:spt="62" type="#_x0000_t62" style="position:absolute;left:0pt;margin-left:-23.15pt;margin-top:448.55pt;height:24.8pt;width:72.55pt;z-index:252185600;mso-width-relative:page;mso-height-relative:page;" filled="f" stroked="t" coordsize="21600,21600" o:gfxdata="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AqbDXZAAAACgEAAA8AAAAAAAAAAQAgAAAAIgAAAGRycy9kb3ducmV2Lnht&#10;bFBLAQIUABQAAAAIAIdO4kAFoY4QMQIAAEgEAAAOAAAAAAAAAAEAIAAAACgBAABkcnMvZTJvRG9j&#10;LnhtbFBLBQYAAAAABgAGAFkBAADLBQAAAAA=&#10;" adj="29683,30048,14400">
                <v:fill on="f" focussize="0,0"/>
                <v:stroke weight="1pt" color="#000000" joinstyle="miter"/>
                <v:imagedata o:title=""/>
                <o:lock v:ext="edit" aspectratio="f"/>
                <v:textbox>
                  <w:txbxContent>
                    <w:p>
                      <w:pPr>
                        <w:rPr>
                          <w:b/>
                          <w:bCs/>
                        </w:rPr>
                      </w:pPr>
                      <w:r>
                        <w:rPr>
                          <w:rFonts w:hint="eastAsia"/>
                          <w:b/>
                          <w:bCs/>
                        </w:rPr>
                        <w:t>项目所在地</w:t>
                      </w:r>
                    </w:p>
                  </w:txbxContent>
                </v:textbox>
              </v:shape>
            </w:pict>
          </mc:Fallback>
        </mc:AlternateContent>
      </w:r>
      <w:r>
        <w:rPr>
          <w:color w:val="auto"/>
        </w:rPr>
        <mc:AlternateContent>
          <mc:Choice Requires="wps">
            <w:drawing>
              <wp:anchor distT="0" distB="0" distL="114300" distR="114300" simplePos="0" relativeHeight="252151808" behindDoc="0" locked="0" layoutInCell="1" allowOverlap="1">
                <wp:simplePos x="0" y="0"/>
                <wp:positionH relativeFrom="column">
                  <wp:posOffset>966470</wp:posOffset>
                </wp:positionH>
                <wp:positionV relativeFrom="paragraph">
                  <wp:posOffset>6120765</wp:posOffset>
                </wp:positionV>
                <wp:extent cx="52070" cy="45720"/>
                <wp:effectExtent l="4445" t="4445" r="19685" b="6985"/>
                <wp:wrapNone/>
                <wp:docPr id="126" name="椭圆 126"/>
                <wp:cNvGraphicFramePr/>
                <a:graphic xmlns:a="http://schemas.openxmlformats.org/drawingml/2006/main">
                  <a:graphicData uri="http://schemas.microsoft.com/office/word/2010/wordprocessingShape">
                    <wps:wsp>
                      <wps:cNvSpPr/>
                      <wps:spPr>
                        <a:xfrm>
                          <a:off x="0" y="0"/>
                          <a:ext cx="52070" cy="4572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76.1pt;margin-top:481.95pt;height:3.6pt;width:4.1pt;z-index:252151808;mso-width-relative:page;mso-height-relative:page;" fillcolor="#FF0000" filled="t" stroked="t" coordsize="21600,21600" o:gfxdata="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A6jKY1wAAAAsBAAAPAAAA&#10;AAAAAAEAIAAAACIAAABkcnMvZG93bnJldi54bWxQSwECFAAUAAAACACHTuJAfCx1/t0BAADKAwAA&#10;DgAAAAAAAAABACAAAAAmAQAAZHJzL2Uyb0RvYy54bWxQSwUGAAAAAAYABgBZAQAAdQUAAAAA&#10;">
                <v:fill on="t" focussize="0,0"/>
                <v:stroke color="#FF0000" joinstyle="round"/>
                <v:imagedata o:title=""/>
                <o:lock v:ext="edit" aspectratio="f"/>
              </v:shape>
            </w:pict>
          </mc:Fallback>
        </mc:AlternateContent>
      </w:r>
      <w:r>
        <w:rPr>
          <w:rFonts w:eastAsia="仿宋_GB2312"/>
          <w:color w:val="auto"/>
          <w:sz w:val="32"/>
          <w:szCs w:val="32"/>
        </w:rPr>
        <w:drawing>
          <wp:inline distT="0" distB="0" distL="114300" distR="114300">
            <wp:extent cx="5779135" cy="8173720"/>
            <wp:effectExtent l="0" t="0" r="12065" b="17780"/>
            <wp:docPr id="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
                    <pic:cNvPicPr>
                      <a:picLocks noChangeAspect="1"/>
                    </pic:cNvPicPr>
                  </pic:nvPicPr>
                  <pic:blipFill>
                    <a:blip r:embed="rId23"/>
                    <a:stretch>
                      <a:fillRect/>
                    </a:stretch>
                  </pic:blipFill>
                  <pic:spPr>
                    <a:xfrm>
                      <a:off x="0" y="0"/>
                      <a:ext cx="5779135" cy="8173720"/>
                    </a:xfrm>
                    <a:prstGeom prst="rect">
                      <a:avLst/>
                    </a:prstGeom>
                    <a:noFill/>
                    <a:ln>
                      <a:noFill/>
                    </a:ln>
                  </pic:spPr>
                </pic:pic>
              </a:graphicData>
            </a:graphic>
          </wp:inline>
        </w:drawing>
      </w:r>
    </w:p>
    <w:p>
      <w:pPr>
        <w:widowControl/>
        <w:spacing w:line="360" w:lineRule="auto"/>
        <w:jc w:val="center"/>
        <w:rPr>
          <w:rFonts w:eastAsia="仿宋_GB2312"/>
          <w:color w:val="auto"/>
          <w:sz w:val="32"/>
          <w:szCs w:val="32"/>
        </w:rPr>
      </w:pPr>
      <w:r>
        <w:rPr>
          <w:b/>
          <w:bCs/>
          <w:color w:val="auto"/>
          <w:sz w:val="24"/>
        </w:rPr>
        <w:t>图2.3</w:t>
      </w:r>
      <w:r>
        <w:rPr>
          <w:b/>
          <w:bCs/>
          <w:color w:val="auto"/>
          <w:sz w:val="24"/>
        </w:rPr>
        <w:noBreakHyphen/>
      </w:r>
      <w:r>
        <w:rPr>
          <w:rFonts w:hint="eastAsia"/>
          <w:b/>
          <w:bCs/>
          <w:color w:val="auto"/>
          <w:sz w:val="24"/>
        </w:rPr>
        <w:t>4</w:t>
      </w:r>
      <w:r>
        <w:rPr>
          <w:b/>
          <w:bCs/>
          <w:color w:val="auto"/>
          <w:sz w:val="24"/>
        </w:rPr>
        <w:t xml:space="preserve"> 项目所在区域</w:t>
      </w:r>
      <w:r>
        <w:rPr>
          <w:rFonts w:hint="eastAsia"/>
          <w:b/>
          <w:bCs/>
          <w:color w:val="auto"/>
          <w:sz w:val="24"/>
        </w:rPr>
        <w:t>声</w:t>
      </w:r>
      <w:r>
        <w:rPr>
          <w:b/>
          <w:bCs/>
          <w:color w:val="auto"/>
          <w:sz w:val="24"/>
        </w:rPr>
        <w:t>环境功能区划图</w:t>
      </w:r>
    </w:p>
    <w:p>
      <w:pPr>
        <w:spacing w:line="360" w:lineRule="auto"/>
        <w:jc w:val="center"/>
        <w:rPr>
          <w:rFonts w:eastAsia="仿宋_GB2312"/>
          <w:color w:val="auto"/>
          <w:sz w:val="32"/>
          <w:szCs w:val="32"/>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jc w:val="center"/>
        <w:rPr>
          <w:color w:val="auto"/>
        </w:rPr>
      </w:pPr>
      <w:r>
        <w:rPr>
          <w:color w:val="auto"/>
        </w:rPr>
        <w:drawing>
          <wp:anchor distT="0" distB="0" distL="114300" distR="114300" simplePos="0" relativeHeight="251873280" behindDoc="0" locked="0" layoutInCell="1" allowOverlap="1">
            <wp:simplePos x="0" y="0"/>
            <wp:positionH relativeFrom="column">
              <wp:posOffset>1249045</wp:posOffset>
            </wp:positionH>
            <wp:positionV relativeFrom="paragraph">
              <wp:posOffset>188595</wp:posOffset>
            </wp:positionV>
            <wp:extent cx="1123315" cy="953135"/>
            <wp:effectExtent l="0" t="0" r="635" b="18415"/>
            <wp:wrapNone/>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9"/>
                    <a:srcRect/>
                    <a:stretch>
                      <a:fillRect/>
                    </a:stretch>
                  </pic:blipFill>
                  <pic:spPr>
                    <a:xfrm>
                      <a:off x="0" y="0"/>
                      <a:ext cx="1123315" cy="953135"/>
                    </a:xfrm>
                    <a:prstGeom prst="rect">
                      <a:avLst/>
                    </a:prstGeom>
                    <a:noFill/>
                    <a:ln>
                      <a:noFill/>
                    </a:ln>
                  </pic:spPr>
                </pic:pic>
              </a:graphicData>
            </a:graphic>
          </wp:anchor>
        </w:drawing>
      </w:r>
      <w:r>
        <w:rPr>
          <w:color w:val="auto"/>
        </w:rPr>
        <w:drawing>
          <wp:inline distT="0" distB="0" distL="114300" distR="114300">
            <wp:extent cx="6880225" cy="5136515"/>
            <wp:effectExtent l="0" t="0" r="8255" b="1460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24"/>
                    <a:srcRect/>
                    <a:stretch>
                      <a:fillRect/>
                    </a:stretch>
                  </pic:blipFill>
                  <pic:spPr>
                    <a:xfrm>
                      <a:off x="0" y="0"/>
                      <a:ext cx="6880225" cy="5136515"/>
                    </a:xfrm>
                    <a:prstGeom prst="rect">
                      <a:avLst/>
                    </a:prstGeom>
                    <a:noFill/>
                    <a:ln>
                      <a:noFill/>
                    </a:ln>
                  </pic:spPr>
                </pic:pic>
              </a:graphicData>
            </a:graphic>
          </wp:inline>
        </w:drawing>
      </w:r>
    </w:p>
    <w:p>
      <w:pPr>
        <w:widowControl/>
        <w:spacing w:line="360" w:lineRule="auto"/>
        <w:jc w:val="center"/>
        <w:rPr>
          <w:b/>
          <w:bCs/>
          <w:color w:val="auto"/>
          <w:sz w:val="24"/>
        </w:rPr>
        <w:sectPr>
          <w:pgSz w:w="16838" w:h="11906" w:orient="landscape"/>
          <w:pgMar w:top="1587" w:right="1417" w:bottom="1499" w:left="141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sz w:val="24"/>
        </w:rPr>
        <w:t>图2.3</w:t>
      </w:r>
      <w:r>
        <w:rPr>
          <w:b/>
          <w:bCs/>
          <w:color w:val="auto"/>
          <w:sz w:val="24"/>
        </w:rPr>
        <w:noBreakHyphen/>
      </w:r>
      <w:r>
        <w:rPr>
          <w:rFonts w:hint="eastAsia"/>
          <w:b/>
          <w:bCs/>
          <w:color w:val="auto"/>
          <w:sz w:val="24"/>
        </w:rPr>
        <w:t>5</w:t>
      </w:r>
      <w:r>
        <w:rPr>
          <w:b/>
          <w:bCs/>
          <w:color w:val="auto"/>
          <w:sz w:val="24"/>
        </w:rPr>
        <w:t xml:space="preserve"> 项目所在区域生态分级控制图</w:t>
      </w:r>
    </w:p>
    <w:p>
      <w:pPr>
        <w:pStyle w:val="5"/>
        <w:numPr>
          <w:ilvl w:val="1"/>
          <w:numId w:val="0"/>
        </w:numPr>
        <w:tabs>
          <w:tab w:val="clear" w:pos="720"/>
        </w:tabs>
        <w:spacing w:before="159" w:after="159"/>
        <w:rPr>
          <w:color w:val="auto"/>
          <w:sz w:val="32"/>
          <w:szCs w:val="32"/>
        </w:rPr>
      </w:pPr>
      <w:bookmarkStart w:id="106" w:name="_Toc15250"/>
      <w:bookmarkStart w:id="107" w:name="_Toc15321"/>
      <w:r>
        <w:rPr>
          <w:color w:val="auto"/>
          <w:sz w:val="32"/>
          <w:szCs w:val="32"/>
        </w:rPr>
        <w:t>2.4</w:t>
      </w:r>
      <w:r>
        <w:rPr>
          <w:rFonts w:hint="eastAsia"/>
          <w:color w:val="auto"/>
          <w:sz w:val="32"/>
          <w:szCs w:val="32"/>
        </w:rPr>
        <w:t xml:space="preserve">  </w:t>
      </w:r>
      <w:r>
        <w:rPr>
          <w:color w:val="auto"/>
          <w:sz w:val="32"/>
          <w:szCs w:val="32"/>
        </w:rPr>
        <w:t>环境质量标准及污染物排放标准</w:t>
      </w:r>
      <w:bookmarkEnd w:id="92"/>
      <w:bookmarkEnd w:id="93"/>
      <w:bookmarkEnd w:id="94"/>
      <w:bookmarkEnd w:id="95"/>
      <w:bookmarkEnd w:id="96"/>
      <w:bookmarkEnd w:id="97"/>
      <w:bookmarkEnd w:id="98"/>
      <w:bookmarkEnd w:id="99"/>
      <w:bookmarkEnd w:id="100"/>
      <w:bookmarkEnd w:id="101"/>
      <w:bookmarkEnd w:id="102"/>
      <w:bookmarkEnd w:id="103"/>
      <w:bookmarkEnd w:id="104"/>
      <w:bookmarkEnd w:id="106"/>
      <w:bookmarkEnd w:id="107"/>
    </w:p>
    <w:p>
      <w:pPr>
        <w:keepNext/>
        <w:keepLines/>
        <w:spacing w:line="360" w:lineRule="auto"/>
        <w:jc w:val="left"/>
        <w:outlineLvl w:val="2"/>
        <w:rPr>
          <w:b/>
          <w:bCs/>
          <w:color w:val="auto"/>
          <w:sz w:val="28"/>
          <w:szCs w:val="28"/>
        </w:rPr>
      </w:pPr>
      <w:bookmarkStart w:id="108" w:name="_Toc1688"/>
      <w:bookmarkStart w:id="109" w:name="_Toc1398"/>
      <w:r>
        <w:rPr>
          <w:b/>
          <w:bCs/>
          <w:color w:val="auto"/>
          <w:sz w:val="28"/>
          <w:szCs w:val="28"/>
        </w:rPr>
        <w:t>2.4.1</w:t>
      </w:r>
      <w:r>
        <w:rPr>
          <w:rFonts w:hint="eastAsia"/>
          <w:b/>
          <w:bCs/>
          <w:color w:val="auto"/>
          <w:sz w:val="28"/>
          <w:szCs w:val="28"/>
        </w:rPr>
        <w:t xml:space="preserve">  </w:t>
      </w:r>
      <w:r>
        <w:rPr>
          <w:b/>
          <w:bCs/>
          <w:color w:val="auto"/>
          <w:sz w:val="28"/>
          <w:szCs w:val="28"/>
        </w:rPr>
        <w:t>环境质量标准</w:t>
      </w:r>
      <w:bookmarkEnd w:id="108"/>
      <w:bookmarkEnd w:id="109"/>
    </w:p>
    <w:p>
      <w:pPr>
        <w:pStyle w:val="8"/>
        <w:numPr>
          <w:ilvl w:val="0"/>
          <w:numId w:val="0"/>
        </w:numPr>
        <w:tabs>
          <w:tab w:val="left" w:pos="360"/>
        </w:tabs>
        <w:snapToGrid w:val="0"/>
        <w:rPr>
          <w:color w:val="auto"/>
          <w:szCs w:val="24"/>
        </w:rPr>
      </w:pPr>
      <w:r>
        <w:rPr>
          <w:color w:val="auto"/>
          <w:szCs w:val="24"/>
        </w:rPr>
        <w:t>2.4.1.</w:t>
      </w:r>
      <w:r>
        <w:rPr>
          <w:rFonts w:hint="eastAsia"/>
          <w:color w:val="auto"/>
          <w:szCs w:val="24"/>
        </w:rPr>
        <w:t xml:space="preserve">1  </w:t>
      </w:r>
      <w:r>
        <w:rPr>
          <w:color w:val="auto"/>
          <w:szCs w:val="24"/>
        </w:rPr>
        <w:t>地表水环境质量标准</w:t>
      </w:r>
    </w:p>
    <w:p>
      <w:pPr>
        <w:autoSpaceDE w:val="0"/>
        <w:autoSpaceDN w:val="0"/>
        <w:adjustRightInd w:val="0"/>
        <w:spacing w:line="360" w:lineRule="auto"/>
        <w:ind w:firstLine="480"/>
        <w:rPr>
          <w:color w:val="auto"/>
          <w:sz w:val="24"/>
        </w:rPr>
      </w:pPr>
      <w:r>
        <w:rPr>
          <w:color w:val="auto"/>
          <w:sz w:val="24"/>
        </w:rPr>
        <w:t>本项目运营期生产废水经处理后全部回用不外排，生活污水在厂区预处理后经园区市政管网排至石角污水处理厂进行后续处理，尾水排至沙埗溪。根据</w:t>
      </w:r>
      <w:r>
        <w:rPr>
          <w:rFonts w:hint="eastAsia"/>
          <w:color w:val="auto"/>
          <w:sz w:val="24"/>
          <w:u w:val="none"/>
        </w:rPr>
        <w:t>原</w:t>
      </w:r>
      <w:r>
        <w:rPr>
          <w:color w:val="auto"/>
          <w:sz w:val="24"/>
        </w:rPr>
        <w:t>清远市环境保护局2009年回复广西壮族自治区环境保护科学研究所的《关于清城区石角镇沙埗溪地表水执行标准的意见》，沙埗溪现状使用功能为综合用水，水质保护目标为Ⅳ类。因此沙埗溪水质参考执行《地表水环境质量标准》(GB3838-2002)Ⅳ类标准，此外SS参考执行国家环保局《环境质量报告书编写技术规定》的</w:t>
      </w:r>
      <w:r>
        <w:rPr>
          <w:rFonts w:hint="eastAsia"/>
          <w:color w:val="auto"/>
          <w:sz w:val="24"/>
        </w:rPr>
        <w:t>二级标准1小时平均浓度限值</w:t>
      </w:r>
      <w:r>
        <w:rPr>
          <w:color w:val="auto"/>
          <w:sz w:val="24"/>
        </w:rPr>
        <w:t>。</w:t>
      </w:r>
    </w:p>
    <w:p>
      <w:pPr>
        <w:widowControl/>
        <w:spacing w:line="360" w:lineRule="auto"/>
        <w:jc w:val="center"/>
        <w:rPr>
          <w:b/>
          <w:bCs/>
          <w:color w:val="auto"/>
          <w:szCs w:val="28"/>
        </w:rPr>
      </w:pPr>
      <w:r>
        <w:rPr>
          <w:b/>
          <w:bCs/>
          <w:color w:val="auto"/>
          <w:szCs w:val="28"/>
        </w:rPr>
        <w:t>表2.4-1  地表水环境质量标准(摘录)   (单位：mg/L，pH值除外)</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108" w:type="dxa"/>
          <w:bottom w:w="45" w:type="dxa"/>
          <w:right w:w="108" w:type="dxa"/>
        </w:tblCellMar>
      </w:tblPr>
      <w:tblGrid>
        <w:gridCol w:w="1155"/>
        <w:gridCol w:w="3390"/>
        <w:gridCol w:w="4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trHeight w:val="40" w:hRule="atLeast"/>
          <w:jc w:val="center"/>
        </w:trPr>
        <w:tc>
          <w:tcPr>
            <w:tcW w:w="1155" w:type="dxa"/>
            <w:vAlign w:val="center"/>
          </w:tcPr>
          <w:p>
            <w:pPr>
              <w:adjustRightInd w:val="0"/>
              <w:snapToGrid w:val="0"/>
              <w:jc w:val="center"/>
              <w:rPr>
                <w:b/>
                <w:bCs/>
                <w:color w:val="auto"/>
                <w:szCs w:val="21"/>
              </w:rPr>
            </w:pPr>
            <w:r>
              <w:rPr>
                <w:b/>
                <w:bCs/>
                <w:color w:val="auto"/>
                <w:szCs w:val="21"/>
              </w:rPr>
              <w:t>序号</w:t>
            </w:r>
          </w:p>
        </w:tc>
        <w:tc>
          <w:tcPr>
            <w:tcW w:w="3390" w:type="dxa"/>
            <w:vAlign w:val="center"/>
          </w:tcPr>
          <w:p>
            <w:pPr>
              <w:adjustRightInd w:val="0"/>
              <w:snapToGrid w:val="0"/>
              <w:jc w:val="center"/>
              <w:rPr>
                <w:b/>
                <w:bCs/>
                <w:color w:val="auto"/>
                <w:szCs w:val="21"/>
              </w:rPr>
            </w:pPr>
            <w:r>
              <w:rPr>
                <w:b/>
                <w:bCs/>
                <w:color w:val="auto"/>
                <w:szCs w:val="21"/>
              </w:rPr>
              <w:t>标准值项目</w:t>
            </w:r>
          </w:p>
        </w:tc>
        <w:tc>
          <w:tcPr>
            <w:tcW w:w="4403" w:type="dxa"/>
            <w:vAlign w:val="center"/>
          </w:tcPr>
          <w:p>
            <w:pPr>
              <w:adjustRightInd w:val="0"/>
              <w:snapToGrid w:val="0"/>
              <w:jc w:val="center"/>
              <w:rPr>
                <w:b/>
                <w:bCs/>
                <w:color w:val="auto"/>
                <w:szCs w:val="21"/>
              </w:rPr>
            </w:pPr>
            <w:r>
              <w:rPr>
                <w:b/>
                <w:bCs/>
                <w:color w:val="auto"/>
                <w:szCs w:val="21"/>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trHeight w:val="157" w:hRule="atLeast"/>
          <w:jc w:val="center"/>
        </w:trPr>
        <w:tc>
          <w:tcPr>
            <w:tcW w:w="1155" w:type="dxa"/>
            <w:vAlign w:val="center"/>
          </w:tcPr>
          <w:p>
            <w:pPr>
              <w:adjustRightInd w:val="0"/>
              <w:snapToGrid w:val="0"/>
              <w:jc w:val="center"/>
              <w:rPr>
                <w:b/>
                <w:bCs/>
                <w:color w:val="auto"/>
                <w:szCs w:val="21"/>
              </w:rPr>
            </w:pPr>
            <w:r>
              <w:rPr>
                <w:color w:val="auto"/>
                <w:szCs w:val="21"/>
              </w:rPr>
              <w:t>1</w:t>
            </w:r>
          </w:p>
        </w:tc>
        <w:tc>
          <w:tcPr>
            <w:tcW w:w="3390" w:type="dxa"/>
            <w:vAlign w:val="center"/>
          </w:tcPr>
          <w:p>
            <w:pPr>
              <w:adjustRightInd w:val="0"/>
              <w:snapToGrid w:val="0"/>
              <w:jc w:val="center"/>
              <w:rPr>
                <w:b/>
                <w:bCs/>
                <w:color w:val="auto"/>
                <w:szCs w:val="21"/>
              </w:rPr>
            </w:pPr>
            <w:r>
              <w:rPr>
                <w:color w:val="auto"/>
                <w:szCs w:val="21"/>
              </w:rPr>
              <w:t>水温（℃）</w:t>
            </w:r>
          </w:p>
        </w:tc>
        <w:tc>
          <w:tcPr>
            <w:tcW w:w="4403" w:type="dxa"/>
            <w:vAlign w:val="center"/>
          </w:tcPr>
          <w:p>
            <w:pPr>
              <w:adjustRightInd w:val="0"/>
              <w:snapToGrid w:val="0"/>
              <w:jc w:val="center"/>
              <w:rPr>
                <w:color w:val="auto"/>
                <w:szCs w:val="21"/>
              </w:rPr>
            </w:pPr>
            <w:r>
              <w:rPr>
                <w:color w:val="auto"/>
                <w:szCs w:val="21"/>
              </w:rPr>
              <w:t>周平均最大温升≤1，周平均最大温降≤2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2</w:t>
            </w:r>
          </w:p>
        </w:tc>
        <w:tc>
          <w:tcPr>
            <w:tcW w:w="3390" w:type="dxa"/>
            <w:vAlign w:val="center"/>
          </w:tcPr>
          <w:p>
            <w:pPr>
              <w:adjustRightInd w:val="0"/>
              <w:snapToGrid w:val="0"/>
              <w:jc w:val="center"/>
              <w:rPr>
                <w:color w:val="auto"/>
                <w:szCs w:val="21"/>
              </w:rPr>
            </w:pPr>
            <w:r>
              <w:rPr>
                <w:color w:val="auto"/>
                <w:szCs w:val="21"/>
              </w:rPr>
              <w:t>pH</w:t>
            </w:r>
          </w:p>
        </w:tc>
        <w:tc>
          <w:tcPr>
            <w:tcW w:w="4403" w:type="dxa"/>
            <w:vAlign w:val="center"/>
          </w:tcPr>
          <w:p>
            <w:pPr>
              <w:adjustRightInd w:val="0"/>
              <w:snapToGrid w:val="0"/>
              <w:jc w:val="center"/>
              <w:rPr>
                <w:color w:val="auto"/>
                <w:szCs w:val="21"/>
              </w:rPr>
            </w:pPr>
            <w:r>
              <w:rPr>
                <w:color w:val="auto"/>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3</w:t>
            </w:r>
          </w:p>
        </w:tc>
        <w:tc>
          <w:tcPr>
            <w:tcW w:w="3390" w:type="dxa"/>
            <w:vAlign w:val="center"/>
          </w:tcPr>
          <w:p>
            <w:pPr>
              <w:adjustRightInd w:val="0"/>
              <w:snapToGrid w:val="0"/>
              <w:jc w:val="center"/>
              <w:rPr>
                <w:color w:val="auto"/>
                <w:szCs w:val="21"/>
              </w:rPr>
            </w:pPr>
            <w:r>
              <w:rPr>
                <w:color w:val="auto"/>
                <w:szCs w:val="21"/>
              </w:rPr>
              <w:t>SS（mg/L）</w:t>
            </w:r>
          </w:p>
        </w:tc>
        <w:tc>
          <w:tcPr>
            <w:tcW w:w="4403" w:type="dxa"/>
            <w:vAlign w:val="center"/>
          </w:tcPr>
          <w:p>
            <w:pPr>
              <w:adjustRightInd w:val="0"/>
              <w:snapToGrid w:val="0"/>
              <w:jc w:val="center"/>
              <w:rPr>
                <w:color w:val="auto"/>
                <w:szCs w:val="21"/>
              </w:rPr>
            </w:pPr>
            <w:r>
              <w:rPr>
                <w:color w:val="auto"/>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4</w:t>
            </w:r>
          </w:p>
        </w:tc>
        <w:tc>
          <w:tcPr>
            <w:tcW w:w="3390" w:type="dxa"/>
            <w:vAlign w:val="center"/>
          </w:tcPr>
          <w:p>
            <w:pPr>
              <w:adjustRightInd w:val="0"/>
              <w:snapToGrid w:val="0"/>
              <w:jc w:val="center"/>
              <w:rPr>
                <w:color w:val="auto"/>
                <w:szCs w:val="21"/>
              </w:rPr>
            </w:pPr>
            <w:r>
              <w:rPr>
                <w:color w:val="auto"/>
                <w:szCs w:val="21"/>
              </w:rPr>
              <w:t>化学需氧量（mg/L）</w:t>
            </w:r>
          </w:p>
        </w:tc>
        <w:tc>
          <w:tcPr>
            <w:tcW w:w="4403" w:type="dxa"/>
            <w:vAlign w:val="center"/>
          </w:tcPr>
          <w:p>
            <w:pPr>
              <w:adjustRightInd w:val="0"/>
              <w:snapToGrid w:val="0"/>
              <w:jc w:val="center"/>
              <w:rPr>
                <w:color w:val="auto"/>
                <w:szCs w:val="21"/>
              </w:rPr>
            </w:pPr>
            <w:r>
              <w:rPr>
                <w:color w:val="auto"/>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trHeight w:val="90" w:hRule="atLeast"/>
          <w:jc w:val="center"/>
        </w:trPr>
        <w:tc>
          <w:tcPr>
            <w:tcW w:w="1155" w:type="dxa"/>
            <w:vAlign w:val="center"/>
          </w:tcPr>
          <w:p>
            <w:pPr>
              <w:adjustRightInd w:val="0"/>
              <w:snapToGrid w:val="0"/>
              <w:jc w:val="center"/>
              <w:rPr>
                <w:color w:val="auto"/>
                <w:szCs w:val="21"/>
              </w:rPr>
            </w:pPr>
            <w:r>
              <w:rPr>
                <w:color w:val="auto"/>
                <w:szCs w:val="21"/>
              </w:rPr>
              <w:t>5</w:t>
            </w:r>
          </w:p>
        </w:tc>
        <w:tc>
          <w:tcPr>
            <w:tcW w:w="3390" w:type="dxa"/>
            <w:vAlign w:val="center"/>
          </w:tcPr>
          <w:p>
            <w:pPr>
              <w:adjustRightInd w:val="0"/>
              <w:snapToGrid w:val="0"/>
              <w:jc w:val="center"/>
              <w:rPr>
                <w:color w:val="auto"/>
                <w:szCs w:val="21"/>
              </w:rPr>
            </w:pPr>
            <w:r>
              <w:rPr>
                <w:color w:val="auto"/>
                <w:szCs w:val="21"/>
              </w:rPr>
              <w:t>五日生化需氧量（mg/L）</w:t>
            </w:r>
          </w:p>
        </w:tc>
        <w:tc>
          <w:tcPr>
            <w:tcW w:w="4403" w:type="dxa"/>
            <w:vAlign w:val="center"/>
          </w:tcPr>
          <w:p>
            <w:pPr>
              <w:adjustRightInd w:val="0"/>
              <w:snapToGrid w:val="0"/>
              <w:jc w:val="center"/>
              <w:rPr>
                <w:color w:val="auto"/>
                <w:szCs w:val="21"/>
              </w:rPr>
            </w:pPr>
            <w:r>
              <w:rPr>
                <w:color w:val="auto"/>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6</w:t>
            </w:r>
          </w:p>
        </w:tc>
        <w:tc>
          <w:tcPr>
            <w:tcW w:w="3390" w:type="dxa"/>
            <w:vAlign w:val="center"/>
          </w:tcPr>
          <w:p>
            <w:pPr>
              <w:adjustRightInd w:val="0"/>
              <w:snapToGrid w:val="0"/>
              <w:jc w:val="center"/>
              <w:rPr>
                <w:color w:val="auto"/>
                <w:szCs w:val="21"/>
              </w:rPr>
            </w:pPr>
            <w:r>
              <w:rPr>
                <w:color w:val="auto"/>
                <w:szCs w:val="21"/>
              </w:rPr>
              <w:t>氨氮（NH</w:t>
            </w:r>
            <w:r>
              <w:rPr>
                <w:color w:val="auto"/>
                <w:szCs w:val="21"/>
                <w:vertAlign w:val="subscript"/>
              </w:rPr>
              <w:t>3</w:t>
            </w:r>
            <w:r>
              <w:rPr>
                <w:color w:val="auto"/>
                <w:szCs w:val="21"/>
              </w:rPr>
              <w:t>-N）（mg/L）</w:t>
            </w:r>
          </w:p>
        </w:tc>
        <w:tc>
          <w:tcPr>
            <w:tcW w:w="4403" w:type="dxa"/>
            <w:vAlign w:val="center"/>
          </w:tcPr>
          <w:p>
            <w:pPr>
              <w:adjustRightInd w:val="0"/>
              <w:snapToGrid w:val="0"/>
              <w:jc w:val="center"/>
              <w:rPr>
                <w:color w:val="auto"/>
                <w:szCs w:val="21"/>
              </w:rPr>
            </w:pPr>
            <w:r>
              <w:rPr>
                <w:color w:val="auto"/>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7</w:t>
            </w:r>
          </w:p>
        </w:tc>
        <w:tc>
          <w:tcPr>
            <w:tcW w:w="3390" w:type="dxa"/>
            <w:vAlign w:val="center"/>
          </w:tcPr>
          <w:p>
            <w:pPr>
              <w:adjustRightInd w:val="0"/>
              <w:snapToGrid w:val="0"/>
              <w:jc w:val="center"/>
              <w:rPr>
                <w:color w:val="auto"/>
                <w:szCs w:val="21"/>
              </w:rPr>
            </w:pPr>
            <w:r>
              <w:rPr>
                <w:color w:val="auto"/>
                <w:szCs w:val="21"/>
              </w:rPr>
              <w:t>总磷（以P计）（mg/L）</w:t>
            </w:r>
          </w:p>
        </w:tc>
        <w:tc>
          <w:tcPr>
            <w:tcW w:w="4403" w:type="dxa"/>
            <w:vAlign w:val="center"/>
          </w:tcPr>
          <w:p>
            <w:pPr>
              <w:adjustRightInd w:val="0"/>
              <w:snapToGrid w:val="0"/>
              <w:jc w:val="center"/>
              <w:rPr>
                <w:color w:val="auto"/>
                <w:szCs w:val="21"/>
              </w:rPr>
            </w:pPr>
            <w:r>
              <w:rPr>
                <w:color w:val="auto"/>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8</w:t>
            </w:r>
          </w:p>
        </w:tc>
        <w:tc>
          <w:tcPr>
            <w:tcW w:w="3390" w:type="dxa"/>
            <w:vAlign w:val="center"/>
          </w:tcPr>
          <w:p>
            <w:pPr>
              <w:adjustRightInd w:val="0"/>
              <w:snapToGrid w:val="0"/>
              <w:jc w:val="center"/>
              <w:rPr>
                <w:color w:val="auto"/>
                <w:szCs w:val="21"/>
              </w:rPr>
            </w:pPr>
            <w:r>
              <w:rPr>
                <w:color w:val="auto"/>
                <w:szCs w:val="21"/>
              </w:rPr>
              <w:t>溶解氧</w:t>
            </w:r>
          </w:p>
        </w:tc>
        <w:tc>
          <w:tcPr>
            <w:tcW w:w="4403" w:type="dxa"/>
            <w:vAlign w:val="center"/>
          </w:tcPr>
          <w:p>
            <w:pPr>
              <w:adjustRightInd w:val="0"/>
              <w:snapToGrid w:val="0"/>
              <w:jc w:val="center"/>
              <w:rPr>
                <w:color w:val="auto"/>
                <w:szCs w:val="21"/>
              </w:rPr>
            </w:pPr>
            <w:r>
              <w:rPr>
                <w:color w:val="auto"/>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9</w:t>
            </w:r>
          </w:p>
        </w:tc>
        <w:tc>
          <w:tcPr>
            <w:tcW w:w="3390" w:type="dxa"/>
            <w:vAlign w:val="center"/>
          </w:tcPr>
          <w:p>
            <w:pPr>
              <w:adjustRightInd w:val="0"/>
              <w:snapToGrid w:val="0"/>
              <w:jc w:val="center"/>
              <w:rPr>
                <w:color w:val="auto"/>
                <w:szCs w:val="21"/>
              </w:rPr>
            </w:pPr>
            <w:r>
              <w:rPr>
                <w:color w:val="auto"/>
                <w:szCs w:val="21"/>
              </w:rPr>
              <w:t>氟化物（mg/L）</w:t>
            </w:r>
          </w:p>
        </w:tc>
        <w:tc>
          <w:tcPr>
            <w:tcW w:w="4403" w:type="dxa"/>
            <w:vAlign w:val="center"/>
          </w:tcPr>
          <w:p>
            <w:pPr>
              <w:adjustRightInd w:val="0"/>
              <w:snapToGrid w:val="0"/>
              <w:jc w:val="center"/>
              <w:rPr>
                <w:color w:val="auto"/>
                <w:szCs w:val="21"/>
              </w:rPr>
            </w:pPr>
            <w:r>
              <w:rPr>
                <w:color w:val="auto"/>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10</w:t>
            </w:r>
          </w:p>
        </w:tc>
        <w:tc>
          <w:tcPr>
            <w:tcW w:w="3390" w:type="dxa"/>
            <w:vAlign w:val="center"/>
          </w:tcPr>
          <w:p>
            <w:pPr>
              <w:adjustRightInd w:val="0"/>
              <w:snapToGrid w:val="0"/>
              <w:jc w:val="center"/>
              <w:rPr>
                <w:color w:val="auto"/>
                <w:szCs w:val="21"/>
              </w:rPr>
            </w:pPr>
            <w:r>
              <w:rPr>
                <w:color w:val="auto"/>
                <w:szCs w:val="21"/>
              </w:rPr>
              <w:t>石油类（mg/L）</w:t>
            </w:r>
          </w:p>
        </w:tc>
        <w:tc>
          <w:tcPr>
            <w:tcW w:w="4403" w:type="dxa"/>
            <w:vAlign w:val="center"/>
          </w:tcPr>
          <w:p>
            <w:pPr>
              <w:adjustRightInd w:val="0"/>
              <w:snapToGrid w:val="0"/>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11</w:t>
            </w:r>
          </w:p>
        </w:tc>
        <w:tc>
          <w:tcPr>
            <w:tcW w:w="3390" w:type="dxa"/>
            <w:vAlign w:val="center"/>
          </w:tcPr>
          <w:p>
            <w:pPr>
              <w:adjustRightInd w:val="0"/>
              <w:snapToGrid w:val="0"/>
              <w:jc w:val="center"/>
              <w:rPr>
                <w:color w:val="auto"/>
                <w:szCs w:val="21"/>
              </w:rPr>
            </w:pPr>
            <w:r>
              <w:rPr>
                <w:color w:val="auto"/>
                <w:szCs w:val="21"/>
              </w:rPr>
              <w:t>六价铬（mg/L）</w:t>
            </w:r>
          </w:p>
        </w:tc>
        <w:tc>
          <w:tcPr>
            <w:tcW w:w="4403" w:type="dxa"/>
            <w:vAlign w:val="center"/>
          </w:tcPr>
          <w:p>
            <w:pPr>
              <w:adjustRightInd w:val="0"/>
              <w:snapToGrid w:val="0"/>
              <w:jc w:val="center"/>
              <w:rPr>
                <w:color w:val="auto"/>
                <w:szCs w:val="21"/>
              </w:rPr>
            </w:pPr>
            <w:r>
              <w:rPr>
                <w:color w:val="auto"/>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12</w:t>
            </w:r>
          </w:p>
        </w:tc>
        <w:tc>
          <w:tcPr>
            <w:tcW w:w="3390" w:type="dxa"/>
            <w:vAlign w:val="center"/>
          </w:tcPr>
          <w:p>
            <w:pPr>
              <w:adjustRightInd w:val="0"/>
              <w:snapToGrid w:val="0"/>
              <w:jc w:val="center"/>
              <w:rPr>
                <w:color w:val="auto"/>
                <w:szCs w:val="21"/>
              </w:rPr>
            </w:pPr>
            <w:r>
              <w:rPr>
                <w:color w:val="auto"/>
                <w:szCs w:val="21"/>
              </w:rPr>
              <w:t>镉（mg/L）</w:t>
            </w:r>
          </w:p>
        </w:tc>
        <w:tc>
          <w:tcPr>
            <w:tcW w:w="4403" w:type="dxa"/>
            <w:vAlign w:val="center"/>
          </w:tcPr>
          <w:p>
            <w:pPr>
              <w:adjustRightInd w:val="0"/>
              <w:snapToGrid w:val="0"/>
              <w:jc w:val="center"/>
              <w:rPr>
                <w:color w:val="auto"/>
                <w:szCs w:val="21"/>
              </w:rPr>
            </w:pPr>
            <w:r>
              <w:rPr>
                <w:color w:val="auto"/>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13</w:t>
            </w:r>
          </w:p>
        </w:tc>
        <w:tc>
          <w:tcPr>
            <w:tcW w:w="3390" w:type="dxa"/>
            <w:vAlign w:val="center"/>
          </w:tcPr>
          <w:p>
            <w:pPr>
              <w:adjustRightInd w:val="0"/>
              <w:snapToGrid w:val="0"/>
              <w:jc w:val="center"/>
              <w:rPr>
                <w:color w:val="auto"/>
                <w:szCs w:val="21"/>
              </w:rPr>
            </w:pPr>
            <w:r>
              <w:rPr>
                <w:color w:val="auto"/>
                <w:szCs w:val="21"/>
              </w:rPr>
              <w:t>锌（mg/L）</w:t>
            </w:r>
          </w:p>
        </w:tc>
        <w:tc>
          <w:tcPr>
            <w:tcW w:w="4403" w:type="dxa"/>
            <w:vAlign w:val="center"/>
          </w:tcPr>
          <w:p>
            <w:pPr>
              <w:adjustRightInd w:val="0"/>
              <w:snapToGrid w:val="0"/>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14</w:t>
            </w:r>
          </w:p>
        </w:tc>
        <w:tc>
          <w:tcPr>
            <w:tcW w:w="3390" w:type="dxa"/>
            <w:vAlign w:val="center"/>
          </w:tcPr>
          <w:p>
            <w:pPr>
              <w:adjustRightInd w:val="0"/>
              <w:snapToGrid w:val="0"/>
              <w:jc w:val="center"/>
              <w:rPr>
                <w:color w:val="auto"/>
                <w:szCs w:val="21"/>
              </w:rPr>
            </w:pPr>
            <w:r>
              <w:rPr>
                <w:color w:val="auto"/>
                <w:szCs w:val="21"/>
              </w:rPr>
              <w:t>铜（mg/L）</w:t>
            </w:r>
          </w:p>
        </w:tc>
        <w:tc>
          <w:tcPr>
            <w:tcW w:w="4403" w:type="dxa"/>
            <w:vAlign w:val="center"/>
          </w:tcPr>
          <w:p>
            <w:pPr>
              <w:adjustRightInd w:val="0"/>
              <w:snapToGrid w:val="0"/>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trHeight w:val="90" w:hRule="atLeast"/>
          <w:jc w:val="center"/>
        </w:trPr>
        <w:tc>
          <w:tcPr>
            <w:tcW w:w="1155" w:type="dxa"/>
            <w:vAlign w:val="center"/>
          </w:tcPr>
          <w:p>
            <w:pPr>
              <w:adjustRightInd w:val="0"/>
              <w:snapToGrid w:val="0"/>
              <w:jc w:val="center"/>
              <w:rPr>
                <w:color w:val="auto"/>
                <w:szCs w:val="21"/>
              </w:rPr>
            </w:pPr>
            <w:r>
              <w:rPr>
                <w:color w:val="auto"/>
                <w:szCs w:val="21"/>
              </w:rPr>
              <w:t>15</w:t>
            </w:r>
          </w:p>
        </w:tc>
        <w:tc>
          <w:tcPr>
            <w:tcW w:w="3390" w:type="dxa"/>
            <w:vAlign w:val="center"/>
          </w:tcPr>
          <w:p>
            <w:pPr>
              <w:adjustRightInd w:val="0"/>
              <w:snapToGrid w:val="0"/>
              <w:jc w:val="center"/>
              <w:rPr>
                <w:color w:val="auto"/>
                <w:szCs w:val="21"/>
              </w:rPr>
            </w:pPr>
            <w:r>
              <w:rPr>
                <w:color w:val="auto"/>
                <w:szCs w:val="21"/>
              </w:rPr>
              <w:t>铅（mg/L）</w:t>
            </w:r>
          </w:p>
        </w:tc>
        <w:tc>
          <w:tcPr>
            <w:tcW w:w="4403" w:type="dxa"/>
            <w:vAlign w:val="center"/>
          </w:tcPr>
          <w:p>
            <w:pPr>
              <w:adjustRightInd w:val="0"/>
              <w:snapToGrid w:val="0"/>
              <w:jc w:val="center"/>
              <w:rPr>
                <w:color w:val="auto"/>
                <w:szCs w:val="21"/>
              </w:rPr>
            </w:pPr>
            <w:r>
              <w:rPr>
                <w:color w:val="auto"/>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jc w:val="center"/>
        </w:trPr>
        <w:tc>
          <w:tcPr>
            <w:tcW w:w="1155" w:type="dxa"/>
            <w:vAlign w:val="center"/>
          </w:tcPr>
          <w:p>
            <w:pPr>
              <w:adjustRightInd w:val="0"/>
              <w:snapToGrid w:val="0"/>
              <w:jc w:val="center"/>
              <w:rPr>
                <w:color w:val="auto"/>
                <w:szCs w:val="21"/>
              </w:rPr>
            </w:pPr>
            <w:r>
              <w:rPr>
                <w:color w:val="auto"/>
                <w:szCs w:val="21"/>
              </w:rPr>
              <w:t>16</w:t>
            </w:r>
          </w:p>
        </w:tc>
        <w:tc>
          <w:tcPr>
            <w:tcW w:w="3390" w:type="dxa"/>
            <w:vAlign w:val="center"/>
          </w:tcPr>
          <w:p>
            <w:pPr>
              <w:adjustRightInd w:val="0"/>
              <w:snapToGrid w:val="0"/>
              <w:jc w:val="center"/>
              <w:rPr>
                <w:color w:val="auto"/>
                <w:szCs w:val="21"/>
              </w:rPr>
            </w:pPr>
            <w:r>
              <w:rPr>
                <w:color w:val="auto"/>
                <w:szCs w:val="21"/>
              </w:rPr>
              <w:t>铁（mg/L）</w:t>
            </w:r>
          </w:p>
        </w:tc>
        <w:tc>
          <w:tcPr>
            <w:tcW w:w="4403" w:type="dxa"/>
            <w:vAlign w:val="center"/>
          </w:tcPr>
          <w:p>
            <w:pPr>
              <w:adjustRightInd w:val="0"/>
              <w:snapToGrid w:val="0"/>
              <w:jc w:val="center"/>
              <w:rPr>
                <w:color w:val="auto"/>
                <w:szCs w:val="21"/>
              </w:rPr>
            </w:pPr>
            <w:r>
              <w:rPr>
                <w:color w:val="auto"/>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108" w:type="dxa"/>
            <w:bottom w:w="45" w:type="dxa"/>
            <w:right w:w="108" w:type="dxa"/>
          </w:tblCellMar>
        </w:tblPrEx>
        <w:trPr>
          <w:cantSplit/>
          <w:trHeight w:val="98" w:hRule="atLeast"/>
          <w:jc w:val="center"/>
        </w:trPr>
        <w:tc>
          <w:tcPr>
            <w:tcW w:w="8948" w:type="dxa"/>
            <w:gridSpan w:val="3"/>
            <w:vAlign w:val="center"/>
          </w:tcPr>
          <w:p>
            <w:pPr>
              <w:adjustRightInd w:val="0"/>
              <w:snapToGrid w:val="0"/>
              <w:jc w:val="left"/>
              <w:rPr>
                <w:color w:val="auto"/>
                <w:szCs w:val="21"/>
              </w:rPr>
            </w:pPr>
            <w:r>
              <w:rPr>
                <w:color w:val="auto"/>
                <w:szCs w:val="21"/>
              </w:rPr>
              <w:t>备注：*SS参考执行国家环保部《环境质量报告书编制技术规定》的</w:t>
            </w:r>
            <w:r>
              <w:rPr>
                <w:rFonts w:hint="eastAsia"/>
                <w:color w:val="auto"/>
                <w:szCs w:val="21"/>
              </w:rPr>
              <w:t>二级标准1小时平均浓度限值</w:t>
            </w:r>
          </w:p>
        </w:tc>
      </w:tr>
    </w:tbl>
    <w:p>
      <w:pPr>
        <w:pStyle w:val="8"/>
        <w:numPr>
          <w:ilvl w:val="0"/>
          <w:numId w:val="0"/>
        </w:numPr>
        <w:tabs>
          <w:tab w:val="left" w:pos="360"/>
        </w:tabs>
        <w:snapToGrid w:val="0"/>
        <w:rPr>
          <w:color w:val="auto"/>
          <w:szCs w:val="24"/>
        </w:rPr>
      </w:pPr>
      <w:r>
        <w:rPr>
          <w:color w:val="auto"/>
          <w:szCs w:val="24"/>
        </w:rPr>
        <w:br w:type="page"/>
      </w:r>
      <w:r>
        <w:rPr>
          <w:color w:val="auto"/>
          <w:szCs w:val="24"/>
        </w:rPr>
        <w:t>2.4.1.2</w:t>
      </w:r>
      <w:r>
        <w:rPr>
          <w:rFonts w:hint="eastAsia"/>
          <w:color w:val="auto"/>
          <w:szCs w:val="24"/>
        </w:rPr>
        <w:t xml:space="preserve">  </w:t>
      </w:r>
      <w:r>
        <w:rPr>
          <w:color w:val="auto"/>
          <w:szCs w:val="24"/>
        </w:rPr>
        <w:t>地下水环境质量标准</w:t>
      </w:r>
    </w:p>
    <w:p>
      <w:pPr>
        <w:spacing w:line="360" w:lineRule="auto"/>
        <w:ind w:firstLine="480" w:firstLineChars="200"/>
        <w:rPr>
          <w:color w:val="auto"/>
          <w:sz w:val="24"/>
        </w:rPr>
      </w:pPr>
      <w:r>
        <w:rPr>
          <w:color w:val="auto"/>
          <w:sz w:val="24"/>
        </w:rPr>
        <w:t>本评价涉及的地下水执行《地下水质量标准》（GB/T14848-2017）</w:t>
      </w:r>
      <w:r>
        <w:rPr>
          <w:color w:val="auto"/>
          <w:sz w:val="24"/>
        </w:rPr>
        <w:fldChar w:fldCharType="begin"/>
      </w:r>
      <w:r>
        <w:rPr>
          <w:color w:val="auto"/>
          <w:sz w:val="24"/>
        </w:rPr>
        <w:instrText xml:space="preserve">= 3 \* ROMAN</w:instrText>
      </w:r>
      <w:r>
        <w:rPr>
          <w:color w:val="auto"/>
          <w:sz w:val="24"/>
        </w:rPr>
        <w:fldChar w:fldCharType="separate"/>
      </w:r>
      <w:r>
        <w:rPr>
          <w:color w:val="auto"/>
          <w:sz w:val="24"/>
        </w:rPr>
        <w:t>III</w:t>
      </w:r>
      <w:r>
        <w:rPr>
          <w:color w:val="auto"/>
          <w:sz w:val="24"/>
        </w:rPr>
        <w:fldChar w:fldCharType="end"/>
      </w:r>
      <w:r>
        <w:rPr>
          <w:color w:val="auto"/>
          <w:sz w:val="24"/>
        </w:rPr>
        <w:t>类标准，标准执行详见下表。</w:t>
      </w:r>
    </w:p>
    <w:p>
      <w:pPr>
        <w:widowControl/>
        <w:spacing w:line="360" w:lineRule="auto"/>
        <w:jc w:val="center"/>
        <w:rPr>
          <w:b/>
          <w:bCs/>
          <w:color w:val="auto"/>
          <w:szCs w:val="28"/>
        </w:rPr>
      </w:pPr>
      <w:bookmarkStart w:id="110" w:name="_Ref300067902"/>
      <w:r>
        <w:rPr>
          <w:b/>
          <w:bCs/>
          <w:color w:val="auto"/>
          <w:szCs w:val="28"/>
        </w:rPr>
        <w:t xml:space="preserve">表2.4-2 </w:t>
      </w:r>
      <w:bookmarkEnd w:id="110"/>
      <w:r>
        <w:rPr>
          <w:b/>
          <w:bCs/>
          <w:color w:val="auto"/>
          <w:szCs w:val="28"/>
        </w:rPr>
        <w:t xml:space="preserve"> 地下水质量</w:t>
      </w:r>
      <w:r>
        <w:rPr>
          <w:b/>
          <w:bCs/>
          <w:color w:val="auto"/>
          <w:szCs w:val="28"/>
        </w:rPr>
        <w:fldChar w:fldCharType="begin"/>
      </w:r>
      <w:r>
        <w:rPr>
          <w:b/>
          <w:bCs/>
          <w:color w:val="auto"/>
          <w:szCs w:val="28"/>
        </w:rPr>
        <w:instrText xml:space="preserve">= 3 \* ROMAN</w:instrText>
      </w:r>
      <w:r>
        <w:rPr>
          <w:b/>
          <w:bCs/>
          <w:color w:val="auto"/>
          <w:szCs w:val="28"/>
        </w:rPr>
        <w:fldChar w:fldCharType="separate"/>
      </w:r>
      <w:r>
        <w:rPr>
          <w:b/>
          <w:bCs/>
          <w:color w:val="auto"/>
          <w:szCs w:val="28"/>
        </w:rPr>
        <w:t>III</w:t>
      </w:r>
      <w:r>
        <w:rPr>
          <w:b/>
          <w:bCs/>
          <w:color w:val="auto"/>
          <w:szCs w:val="28"/>
        </w:rPr>
        <w:fldChar w:fldCharType="end"/>
      </w:r>
      <w:r>
        <w:rPr>
          <w:b/>
          <w:bCs/>
          <w:color w:val="auto"/>
          <w:szCs w:val="28"/>
        </w:rPr>
        <w:t>类标准限值（摘录）单位：mg/L，pH除外</w:t>
      </w:r>
    </w:p>
    <w:tbl>
      <w:tblPr>
        <w:tblStyle w:val="24"/>
        <w:tblW w:w="89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8"/>
        <w:gridCol w:w="2042"/>
        <w:gridCol w:w="2042"/>
        <w:gridCol w:w="2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jc w:val="center"/>
              <w:rPr>
                <w:b/>
                <w:bCs/>
                <w:color w:val="auto"/>
                <w:szCs w:val="21"/>
              </w:rPr>
            </w:pPr>
            <w:r>
              <w:rPr>
                <w:b/>
                <w:bCs/>
                <w:color w:val="auto"/>
                <w:szCs w:val="21"/>
              </w:rPr>
              <w:t>因子</w:t>
            </w:r>
          </w:p>
        </w:tc>
        <w:tc>
          <w:tcPr>
            <w:tcW w:w="2042" w:type="dxa"/>
            <w:vAlign w:val="center"/>
          </w:tcPr>
          <w:p>
            <w:pPr>
              <w:jc w:val="center"/>
              <w:rPr>
                <w:b/>
                <w:bCs/>
                <w:color w:val="auto"/>
                <w:szCs w:val="21"/>
              </w:rPr>
            </w:pPr>
            <w:r>
              <w:rPr>
                <w:b/>
                <w:bCs/>
                <w:color w:val="auto"/>
                <w:szCs w:val="21"/>
              </w:rPr>
              <w:t>标准值</w:t>
            </w:r>
          </w:p>
        </w:tc>
        <w:tc>
          <w:tcPr>
            <w:tcW w:w="2042" w:type="dxa"/>
            <w:vAlign w:val="center"/>
          </w:tcPr>
          <w:p>
            <w:pPr>
              <w:jc w:val="center"/>
              <w:rPr>
                <w:b/>
                <w:bCs/>
                <w:color w:val="auto"/>
                <w:szCs w:val="21"/>
              </w:rPr>
            </w:pPr>
            <w:r>
              <w:rPr>
                <w:b/>
                <w:bCs/>
                <w:color w:val="auto"/>
                <w:szCs w:val="21"/>
              </w:rPr>
              <w:t>因子</w:t>
            </w:r>
          </w:p>
        </w:tc>
        <w:tc>
          <w:tcPr>
            <w:tcW w:w="2042" w:type="dxa"/>
            <w:vAlign w:val="center"/>
          </w:tcPr>
          <w:p>
            <w:pPr>
              <w:jc w:val="center"/>
              <w:rPr>
                <w:b/>
                <w:bCs/>
                <w:color w:val="auto"/>
                <w:szCs w:val="21"/>
              </w:rPr>
            </w:pPr>
            <w:r>
              <w:rPr>
                <w:b/>
                <w:bCs/>
                <w:color w:val="auto"/>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钾</w:t>
            </w:r>
          </w:p>
        </w:tc>
        <w:tc>
          <w:tcPr>
            <w:tcW w:w="2042" w:type="dxa"/>
            <w:vAlign w:val="center"/>
          </w:tcPr>
          <w:p>
            <w:pPr>
              <w:widowControl/>
              <w:jc w:val="center"/>
              <w:textAlignment w:val="center"/>
              <w:rPr>
                <w:color w:val="auto"/>
                <w:szCs w:val="21"/>
              </w:rPr>
            </w:pPr>
            <w:r>
              <w:rPr>
                <w:color w:val="auto"/>
                <w:szCs w:val="21"/>
              </w:rPr>
              <w:t>—</w:t>
            </w:r>
          </w:p>
        </w:tc>
        <w:tc>
          <w:tcPr>
            <w:tcW w:w="2042" w:type="dxa"/>
            <w:vAlign w:val="center"/>
          </w:tcPr>
          <w:p>
            <w:pPr>
              <w:widowControl/>
              <w:jc w:val="center"/>
              <w:textAlignment w:val="center"/>
              <w:rPr>
                <w:color w:val="auto"/>
                <w:kern w:val="0"/>
                <w:szCs w:val="21"/>
                <w:lang w:bidi="ar"/>
              </w:rPr>
            </w:pPr>
            <w:r>
              <w:rPr>
                <w:color w:val="auto"/>
                <w:kern w:val="0"/>
                <w:szCs w:val="21"/>
                <w:lang w:bidi="ar"/>
              </w:rPr>
              <w:t>氟化物</w:t>
            </w:r>
          </w:p>
        </w:tc>
        <w:tc>
          <w:tcPr>
            <w:tcW w:w="2042" w:type="dxa"/>
            <w:vAlign w:val="center"/>
          </w:tcPr>
          <w:p>
            <w:pPr>
              <w:widowControl/>
              <w:jc w:val="center"/>
              <w:textAlignment w:val="center"/>
              <w:rPr>
                <w:color w:val="auto"/>
                <w:szCs w:val="21"/>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钠</w:t>
            </w:r>
          </w:p>
        </w:tc>
        <w:tc>
          <w:tcPr>
            <w:tcW w:w="2042" w:type="dxa"/>
            <w:vAlign w:val="center"/>
          </w:tcPr>
          <w:p>
            <w:pPr>
              <w:widowControl/>
              <w:jc w:val="center"/>
              <w:textAlignment w:val="center"/>
              <w:rPr>
                <w:color w:val="auto"/>
                <w:szCs w:val="21"/>
              </w:rPr>
            </w:pPr>
            <w:r>
              <w:rPr>
                <w:color w:val="auto"/>
                <w:szCs w:val="21"/>
              </w:rPr>
              <w:t>≤200</w:t>
            </w:r>
          </w:p>
        </w:tc>
        <w:tc>
          <w:tcPr>
            <w:tcW w:w="2042" w:type="dxa"/>
            <w:vAlign w:val="center"/>
          </w:tcPr>
          <w:p>
            <w:pPr>
              <w:widowControl/>
              <w:jc w:val="center"/>
              <w:textAlignment w:val="center"/>
              <w:rPr>
                <w:color w:val="auto"/>
                <w:kern w:val="0"/>
                <w:szCs w:val="21"/>
                <w:lang w:bidi="ar"/>
              </w:rPr>
            </w:pPr>
            <w:r>
              <w:rPr>
                <w:color w:val="auto"/>
                <w:kern w:val="0"/>
                <w:szCs w:val="21"/>
                <w:lang w:bidi="ar"/>
              </w:rPr>
              <w:t>镉</w:t>
            </w:r>
          </w:p>
        </w:tc>
        <w:tc>
          <w:tcPr>
            <w:tcW w:w="2042" w:type="dxa"/>
            <w:vAlign w:val="center"/>
          </w:tcPr>
          <w:p>
            <w:pPr>
              <w:widowControl/>
              <w:jc w:val="center"/>
              <w:textAlignment w:val="center"/>
              <w:rPr>
                <w:color w:val="auto"/>
                <w:szCs w:val="21"/>
              </w:rPr>
            </w:pPr>
            <w:r>
              <w:rPr>
                <w:color w:val="auto"/>
                <w:kern w:val="0"/>
                <w:szCs w:val="21"/>
                <w:lang w:bidi="ar"/>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钙</w:t>
            </w:r>
          </w:p>
        </w:tc>
        <w:tc>
          <w:tcPr>
            <w:tcW w:w="2042" w:type="dxa"/>
            <w:vAlign w:val="center"/>
          </w:tcPr>
          <w:p>
            <w:pPr>
              <w:widowControl/>
              <w:jc w:val="center"/>
              <w:textAlignment w:val="center"/>
              <w:rPr>
                <w:color w:val="auto"/>
                <w:szCs w:val="21"/>
              </w:rPr>
            </w:pPr>
            <w:r>
              <w:rPr>
                <w:color w:val="auto"/>
                <w:szCs w:val="21"/>
              </w:rPr>
              <w:t>—</w:t>
            </w:r>
          </w:p>
        </w:tc>
        <w:tc>
          <w:tcPr>
            <w:tcW w:w="2042" w:type="dxa"/>
            <w:vAlign w:val="center"/>
          </w:tcPr>
          <w:p>
            <w:pPr>
              <w:widowControl/>
              <w:jc w:val="center"/>
              <w:textAlignment w:val="center"/>
              <w:rPr>
                <w:color w:val="auto"/>
                <w:kern w:val="0"/>
                <w:szCs w:val="21"/>
                <w:lang w:bidi="ar"/>
              </w:rPr>
            </w:pPr>
            <w:r>
              <w:rPr>
                <w:color w:val="auto"/>
                <w:szCs w:val="21"/>
              </w:rPr>
              <w:t>铁</w:t>
            </w:r>
          </w:p>
        </w:tc>
        <w:tc>
          <w:tcPr>
            <w:tcW w:w="2042" w:type="dxa"/>
            <w:vAlign w:val="center"/>
          </w:tcPr>
          <w:p>
            <w:pPr>
              <w:widowControl/>
              <w:jc w:val="center"/>
              <w:textAlignment w:val="center"/>
              <w:rPr>
                <w:color w:val="auto"/>
                <w:kern w:val="0"/>
                <w:szCs w:val="21"/>
                <w:lang w:bidi="ar"/>
              </w:rPr>
            </w:pPr>
            <w:r>
              <w:rPr>
                <w:color w:val="auto"/>
                <w:kern w:val="0"/>
                <w:szCs w:val="21"/>
                <w:lang w:bidi="ar"/>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镁</w:t>
            </w:r>
          </w:p>
        </w:tc>
        <w:tc>
          <w:tcPr>
            <w:tcW w:w="2042" w:type="dxa"/>
            <w:vAlign w:val="center"/>
          </w:tcPr>
          <w:p>
            <w:pPr>
              <w:widowControl/>
              <w:jc w:val="center"/>
              <w:textAlignment w:val="center"/>
              <w:rPr>
                <w:color w:val="auto"/>
                <w:szCs w:val="21"/>
              </w:rPr>
            </w:pPr>
            <w:r>
              <w:rPr>
                <w:color w:val="auto"/>
                <w:szCs w:val="21"/>
              </w:rPr>
              <w:t>—</w:t>
            </w:r>
          </w:p>
        </w:tc>
        <w:tc>
          <w:tcPr>
            <w:tcW w:w="2042" w:type="dxa"/>
            <w:vAlign w:val="center"/>
          </w:tcPr>
          <w:p>
            <w:pPr>
              <w:widowControl/>
              <w:jc w:val="center"/>
              <w:textAlignment w:val="center"/>
              <w:rPr>
                <w:color w:val="auto"/>
                <w:kern w:val="0"/>
                <w:szCs w:val="21"/>
                <w:lang w:bidi="ar"/>
              </w:rPr>
            </w:pPr>
            <w:r>
              <w:rPr>
                <w:color w:val="auto"/>
                <w:szCs w:val="21"/>
              </w:rPr>
              <w:t>锰</w:t>
            </w:r>
          </w:p>
        </w:tc>
        <w:tc>
          <w:tcPr>
            <w:tcW w:w="2042" w:type="dxa"/>
            <w:vAlign w:val="center"/>
          </w:tcPr>
          <w:p>
            <w:pPr>
              <w:widowControl/>
              <w:jc w:val="center"/>
              <w:textAlignment w:val="center"/>
              <w:rPr>
                <w:color w:val="auto"/>
                <w:kern w:val="0"/>
                <w:szCs w:val="21"/>
                <w:lang w:bidi="ar"/>
              </w:rPr>
            </w:pPr>
            <w:r>
              <w:rPr>
                <w:color w:val="auto"/>
                <w:kern w:val="0"/>
                <w:szCs w:val="21"/>
                <w:lang w:bidi="ar"/>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碳酸根</w:t>
            </w:r>
          </w:p>
        </w:tc>
        <w:tc>
          <w:tcPr>
            <w:tcW w:w="2042" w:type="dxa"/>
            <w:vAlign w:val="center"/>
          </w:tcPr>
          <w:p>
            <w:pPr>
              <w:widowControl/>
              <w:jc w:val="center"/>
              <w:textAlignment w:val="center"/>
              <w:rPr>
                <w:color w:val="auto"/>
                <w:szCs w:val="21"/>
              </w:rPr>
            </w:pPr>
            <w:r>
              <w:rPr>
                <w:color w:val="auto"/>
                <w:szCs w:val="21"/>
              </w:rPr>
              <w:t>—</w:t>
            </w:r>
          </w:p>
        </w:tc>
        <w:tc>
          <w:tcPr>
            <w:tcW w:w="2042" w:type="dxa"/>
            <w:vAlign w:val="center"/>
          </w:tcPr>
          <w:p>
            <w:pPr>
              <w:widowControl/>
              <w:jc w:val="center"/>
              <w:textAlignment w:val="center"/>
              <w:rPr>
                <w:color w:val="auto"/>
                <w:kern w:val="0"/>
                <w:szCs w:val="21"/>
                <w:lang w:bidi="ar"/>
              </w:rPr>
            </w:pPr>
            <w:r>
              <w:rPr>
                <w:color w:val="auto"/>
                <w:kern w:val="0"/>
                <w:szCs w:val="21"/>
                <w:lang w:bidi="ar"/>
              </w:rPr>
              <w:t>溶解性总固体</w:t>
            </w:r>
          </w:p>
        </w:tc>
        <w:tc>
          <w:tcPr>
            <w:tcW w:w="2042" w:type="dxa"/>
            <w:vAlign w:val="center"/>
          </w:tcPr>
          <w:p>
            <w:pPr>
              <w:widowControl/>
              <w:jc w:val="center"/>
              <w:textAlignment w:val="center"/>
              <w:rPr>
                <w:color w:val="auto"/>
                <w:szCs w:val="21"/>
              </w:rPr>
            </w:pPr>
            <w:r>
              <w:rPr>
                <w:color w:val="auto"/>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碳酸氢根</w:t>
            </w:r>
          </w:p>
        </w:tc>
        <w:tc>
          <w:tcPr>
            <w:tcW w:w="2042" w:type="dxa"/>
            <w:vAlign w:val="center"/>
          </w:tcPr>
          <w:p>
            <w:pPr>
              <w:widowControl/>
              <w:jc w:val="center"/>
              <w:textAlignment w:val="center"/>
              <w:rPr>
                <w:color w:val="auto"/>
                <w:szCs w:val="21"/>
              </w:rPr>
            </w:pPr>
            <w:r>
              <w:rPr>
                <w:color w:val="auto"/>
                <w:szCs w:val="21"/>
              </w:rPr>
              <w:t>—</w:t>
            </w:r>
          </w:p>
        </w:tc>
        <w:tc>
          <w:tcPr>
            <w:tcW w:w="2042" w:type="dxa"/>
            <w:vAlign w:val="center"/>
          </w:tcPr>
          <w:p>
            <w:pPr>
              <w:widowControl/>
              <w:jc w:val="center"/>
              <w:textAlignment w:val="center"/>
              <w:rPr>
                <w:color w:val="auto"/>
                <w:szCs w:val="21"/>
              </w:rPr>
            </w:pPr>
            <w:r>
              <w:rPr>
                <w:color w:val="auto"/>
                <w:kern w:val="0"/>
                <w:szCs w:val="21"/>
                <w:lang w:bidi="ar"/>
              </w:rPr>
              <w:t>高锰酸盐指数</w:t>
            </w:r>
          </w:p>
        </w:tc>
        <w:tc>
          <w:tcPr>
            <w:tcW w:w="2042" w:type="dxa"/>
            <w:vAlign w:val="center"/>
          </w:tcPr>
          <w:p>
            <w:pPr>
              <w:widowControl/>
              <w:jc w:val="center"/>
              <w:textAlignment w:val="center"/>
              <w:rPr>
                <w:color w:val="auto"/>
                <w:kern w:val="0"/>
                <w:szCs w:val="21"/>
                <w:lang w:bidi="ar"/>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jc w:val="center"/>
              <w:rPr>
                <w:color w:val="auto"/>
                <w:szCs w:val="21"/>
              </w:rPr>
            </w:pPr>
            <w:r>
              <w:rPr>
                <w:color w:val="auto"/>
                <w:szCs w:val="21"/>
              </w:rPr>
              <w:t>pH值（无量纲）</w:t>
            </w:r>
          </w:p>
        </w:tc>
        <w:tc>
          <w:tcPr>
            <w:tcW w:w="2042" w:type="dxa"/>
            <w:vAlign w:val="center"/>
          </w:tcPr>
          <w:p>
            <w:pPr>
              <w:jc w:val="center"/>
              <w:rPr>
                <w:color w:val="auto"/>
                <w:szCs w:val="21"/>
              </w:rPr>
            </w:pPr>
            <w:r>
              <w:rPr>
                <w:color w:val="auto"/>
                <w:szCs w:val="21"/>
              </w:rPr>
              <w:t>6.5≤pH≤8.5</w:t>
            </w:r>
          </w:p>
        </w:tc>
        <w:tc>
          <w:tcPr>
            <w:tcW w:w="2042" w:type="dxa"/>
            <w:vAlign w:val="center"/>
          </w:tcPr>
          <w:p>
            <w:pPr>
              <w:jc w:val="center"/>
              <w:rPr>
                <w:color w:val="auto"/>
                <w:szCs w:val="21"/>
              </w:rPr>
            </w:pPr>
            <w:r>
              <w:rPr>
                <w:color w:val="auto"/>
                <w:kern w:val="0"/>
                <w:szCs w:val="21"/>
                <w:lang w:bidi="ar"/>
              </w:rPr>
              <w:t>硫酸盐</w:t>
            </w:r>
          </w:p>
        </w:tc>
        <w:tc>
          <w:tcPr>
            <w:tcW w:w="2042" w:type="dxa"/>
            <w:vAlign w:val="center"/>
          </w:tcPr>
          <w:p>
            <w:pPr>
              <w:jc w:val="center"/>
              <w:rPr>
                <w:color w:val="auto"/>
                <w:kern w:val="0"/>
                <w:szCs w:val="21"/>
                <w:lang w:bidi="ar"/>
              </w:rPr>
            </w:pPr>
            <w:r>
              <w:rPr>
                <w:color w:val="auto"/>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氨氮</w:t>
            </w:r>
          </w:p>
        </w:tc>
        <w:tc>
          <w:tcPr>
            <w:tcW w:w="2042" w:type="dxa"/>
            <w:vAlign w:val="center"/>
          </w:tcPr>
          <w:p>
            <w:pPr>
              <w:widowControl/>
              <w:jc w:val="center"/>
              <w:textAlignment w:val="center"/>
              <w:rPr>
                <w:color w:val="auto"/>
                <w:kern w:val="0"/>
                <w:szCs w:val="21"/>
                <w:lang w:bidi="ar"/>
              </w:rPr>
            </w:pPr>
            <w:r>
              <w:rPr>
                <w:color w:val="auto"/>
                <w:szCs w:val="21"/>
              </w:rPr>
              <w:t>≤0</w:t>
            </w:r>
            <w:r>
              <w:rPr>
                <w:color w:val="auto"/>
                <w:kern w:val="0"/>
                <w:szCs w:val="21"/>
                <w:lang w:bidi="ar"/>
              </w:rPr>
              <w:t>.50</w:t>
            </w:r>
          </w:p>
        </w:tc>
        <w:tc>
          <w:tcPr>
            <w:tcW w:w="2042" w:type="dxa"/>
            <w:vAlign w:val="center"/>
          </w:tcPr>
          <w:p>
            <w:pPr>
              <w:widowControl/>
              <w:jc w:val="center"/>
              <w:textAlignment w:val="center"/>
              <w:rPr>
                <w:color w:val="auto"/>
                <w:szCs w:val="21"/>
              </w:rPr>
            </w:pPr>
            <w:r>
              <w:rPr>
                <w:color w:val="auto"/>
                <w:kern w:val="0"/>
                <w:szCs w:val="21"/>
                <w:lang w:bidi="ar"/>
              </w:rPr>
              <w:t>氯化物</w:t>
            </w:r>
          </w:p>
        </w:tc>
        <w:tc>
          <w:tcPr>
            <w:tcW w:w="2042" w:type="dxa"/>
            <w:vAlign w:val="center"/>
          </w:tcPr>
          <w:p>
            <w:pPr>
              <w:widowControl/>
              <w:jc w:val="center"/>
              <w:textAlignment w:val="center"/>
              <w:rPr>
                <w:color w:val="auto"/>
                <w:kern w:val="0"/>
                <w:szCs w:val="21"/>
                <w:lang w:bidi="ar"/>
              </w:rPr>
            </w:pPr>
            <w:r>
              <w:rPr>
                <w:color w:val="auto"/>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jc w:val="center"/>
              <w:rPr>
                <w:color w:val="auto"/>
                <w:szCs w:val="21"/>
              </w:rPr>
            </w:pPr>
            <w:r>
              <w:rPr>
                <w:color w:val="auto"/>
                <w:szCs w:val="21"/>
              </w:rPr>
              <w:t>硝酸盐</w:t>
            </w:r>
          </w:p>
        </w:tc>
        <w:tc>
          <w:tcPr>
            <w:tcW w:w="2042" w:type="dxa"/>
            <w:vAlign w:val="center"/>
          </w:tcPr>
          <w:p>
            <w:pPr>
              <w:jc w:val="center"/>
              <w:rPr>
                <w:color w:val="auto"/>
                <w:szCs w:val="21"/>
              </w:rPr>
            </w:pPr>
            <w:r>
              <w:rPr>
                <w:color w:val="auto"/>
                <w:szCs w:val="21"/>
              </w:rPr>
              <w:t>≤20.0</w:t>
            </w:r>
          </w:p>
        </w:tc>
        <w:tc>
          <w:tcPr>
            <w:tcW w:w="2042" w:type="dxa"/>
            <w:vAlign w:val="center"/>
          </w:tcPr>
          <w:p>
            <w:pPr>
              <w:jc w:val="center"/>
              <w:rPr>
                <w:color w:val="auto"/>
                <w:kern w:val="0"/>
                <w:szCs w:val="21"/>
                <w:lang w:bidi="ar"/>
              </w:rPr>
            </w:pPr>
            <w:r>
              <w:rPr>
                <w:color w:val="auto"/>
                <w:szCs w:val="21"/>
              </w:rPr>
              <w:t>总大肠菌群（MPN/100mL）</w:t>
            </w:r>
          </w:p>
        </w:tc>
        <w:tc>
          <w:tcPr>
            <w:tcW w:w="2042" w:type="dxa"/>
            <w:vAlign w:val="center"/>
          </w:tcPr>
          <w:p>
            <w:pPr>
              <w:jc w:val="center"/>
              <w:rPr>
                <w:color w:val="auto"/>
                <w:szCs w:val="21"/>
              </w:rPr>
            </w:pPr>
            <w:r>
              <w:rPr>
                <w:color w:val="auto"/>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szCs w:val="21"/>
              </w:rPr>
            </w:pPr>
            <w:r>
              <w:rPr>
                <w:color w:val="auto"/>
                <w:kern w:val="0"/>
                <w:szCs w:val="21"/>
                <w:lang w:bidi="ar"/>
              </w:rPr>
              <w:t>亚硝酸盐</w:t>
            </w:r>
          </w:p>
        </w:tc>
        <w:tc>
          <w:tcPr>
            <w:tcW w:w="2042" w:type="dxa"/>
            <w:vAlign w:val="center"/>
          </w:tcPr>
          <w:p>
            <w:pPr>
              <w:widowControl/>
              <w:jc w:val="center"/>
              <w:textAlignment w:val="center"/>
              <w:rPr>
                <w:color w:val="auto"/>
                <w:kern w:val="0"/>
                <w:szCs w:val="21"/>
                <w:lang w:bidi="ar"/>
              </w:rPr>
            </w:pPr>
            <w:r>
              <w:rPr>
                <w:color w:val="auto"/>
                <w:szCs w:val="21"/>
              </w:rPr>
              <w:t>≤1.00</w:t>
            </w:r>
          </w:p>
        </w:tc>
        <w:tc>
          <w:tcPr>
            <w:tcW w:w="2042" w:type="dxa"/>
            <w:vAlign w:val="center"/>
          </w:tcPr>
          <w:p>
            <w:pPr>
              <w:widowControl/>
              <w:jc w:val="center"/>
              <w:textAlignment w:val="center"/>
              <w:rPr>
                <w:color w:val="auto"/>
                <w:szCs w:val="21"/>
              </w:rPr>
            </w:pPr>
            <w:r>
              <w:rPr>
                <w:color w:val="auto"/>
                <w:kern w:val="0"/>
                <w:szCs w:val="21"/>
                <w:lang w:bidi="ar"/>
              </w:rPr>
              <w:t>细菌总数（CFU/mL）</w:t>
            </w:r>
          </w:p>
        </w:tc>
        <w:tc>
          <w:tcPr>
            <w:tcW w:w="2042" w:type="dxa"/>
            <w:vAlign w:val="center"/>
          </w:tcPr>
          <w:p>
            <w:pPr>
              <w:widowControl/>
              <w:jc w:val="center"/>
              <w:textAlignment w:val="center"/>
              <w:rPr>
                <w:color w:val="auto"/>
                <w:kern w:val="0"/>
                <w:szCs w:val="21"/>
                <w:lang w:bidi="ar"/>
              </w:rPr>
            </w:pPr>
            <w:r>
              <w:rPr>
                <w:color w:val="auto"/>
                <w:kern w:val="0"/>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挥发性酚类</w:t>
            </w:r>
          </w:p>
        </w:tc>
        <w:tc>
          <w:tcPr>
            <w:tcW w:w="2042" w:type="dxa"/>
            <w:vAlign w:val="center"/>
          </w:tcPr>
          <w:p>
            <w:pPr>
              <w:widowControl/>
              <w:jc w:val="center"/>
              <w:textAlignment w:val="center"/>
              <w:rPr>
                <w:color w:val="auto"/>
                <w:szCs w:val="21"/>
              </w:rPr>
            </w:pPr>
            <w:r>
              <w:rPr>
                <w:color w:val="auto"/>
                <w:szCs w:val="21"/>
              </w:rPr>
              <w:t>≤0.002</w:t>
            </w:r>
          </w:p>
        </w:tc>
        <w:tc>
          <w:tcPr>
            <w:tcW w:w="2042" w:type="dxa"/>
            <w:vAlign w:val="center"/>
          </w:tcPr>
          <w:p>
            <w:pPr>
              <w:widowControl/>
              <w:jc w:val="center"/>
              <w:textAlignment w:val="center"/>
              <w:rPr>
                <w:color w:val="auto"/>
                <w:kern w:val="0"/>
                <w:szCs w:val="21"/>
                <w:lang w:bidi="ar"/>
              </w:rPr>
            </w:pPr>
            <w:r>
              <w:rPr>
                <w:color w:val="auto"/>
                <w:kern w:val="0"/>
                <w:szCs w:val="21"/>
                <w:lang w:bidi="ar"/>
              </w:rPr>
              <w:t>铜</w:t>
            </w:r>
          </w:p>
        </w:tc>
        <w:tc>
          <w:tcPr>
            <w:tcW w:w="2042" w:type="dxa"/>
            <w:vAlign w:val="center"/>
          </w:tcPr>
          <w:p>
            <w:pPr>
              <w:widowControl/>
              <w:jc w:val="center"/>
              <w:textAlignment w:val="center"/>
              <w:rPr>
                <w:color w:val="auto"/>
                <w:szCs w:val="21"/>
              </w:rPr>
            </w:pPr>
            <w:r>
              <w:rPr>
                <w:color w:val="auto"/>
                <w:kern w:val="0"/>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氰化物</w:t>
            </w:r>
          </w:p>
        </w:tc>
        <w:tc>
          <w:tcPr>
            <w:tcW w:w="2042" w:type="dxa"/>
            <w:vAlign w:val="center"/>
          </w:tcPr>
          <w:p>
            <w:pPr>
              <w:widowControl/>
              <w:jc w:val="center"/>
              <w:textAlignment w:val="center"/>
              <w:rPr>
                <w:color w:val="auto"/>
                <w:szCs w:val="21"/>
              </w:rPr>
            </w:pPr>
            <w:r>
              <w:rPr>
                <w:color w:val="auto"/>
                <w:kern w:val="0"/>
                <w:szCs w:val="21"/>
                <w:lang w:bidi="ar"/>
              </w:rPr>
              <w:t>≤0.05</w:t>
            </w:r>
          </w:p>
        </w:tc>
        <w:tc>
          <w:tcPr>
            <w:tcW w:w="2042" w:type="dxa"/>
            <w:vAlign w:val="center"/>
          </w:tcPr>
          <w:p>
            <w:pPr>
              <w:widowControl/>
              <w:jc w:val="center"/>
              <w:textAlignment w:val="center"/>
              <w:rPr>
                <w:color w:val="auto"/>
                <w:szCs w:val="21"/>
              </w:rPr>
            </w:pPr>
            <w:r>
              <w:rPr>
                <w:color w:val="auto"/>
                <w:kern w:val="0"/>
                <w:szCs w:val="21"/>
                <w:lang w:bidi="ar"/>
              </w:rPr>
              <w:t>锌</w:t>
            </w:r>
          </w:p>
        </w:tc>
        <w:tc>
          <w:tcPr>
            <w:tcW w:w="2042" w:type="dxa"/>
            <w:vAlign w:val="center"/>
          </w:tcPr>
          <w:p>
            <w:pPr>
              <w:widowControl/>
              <w:jc w:val="center"/>
              <w:textAlignment w:val="center"/>
              <w:rPr>
                <w:color w:val="auto"/>
                <w:kern w:val="0"/>
                <w:szCs w:val="21"/>
                <w:lang w:bidi="ar"/>
              </w:rPr>
            </w:pPr>
            <w:r>
              <w:rPr>
                <w:color w:val="auto"/>
                <w:kern w:val="0"/>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砷</w:t>
            </w:r>
          </w:p>
        </w:tc>
        <w:tc>
          <w:tcPr>
            <w:tcW w:w="2042" w:type="dxa"/>
            <w:vAlign w:val="center"/>
          </w:tcPr>
          <w:p>
            <w:pPr>
              <w:widowControl/>
              <w:jc w:val="center"/>
              <w:textAlignment w:val="center"/>
              <w:rPr>
                <w:color w:val="auto"/>
                <w:szCs w:val="21"/>
              </w:rPr>
            </w:pPr>
            <w:r>
              <w:rPr>
                <w:color w:val="auto"/>
                <w:kern w:val="0"/>
                <w:szCs w:val="21"/>
                <w:lang w:bidi="ar"/>
              </w:rPr>
              <w:t>≤0.01</w:t>
            </w:r>
          </w:p>
        </w:tc>
        <w:tc>
          <w:tcPr>
            <w:tcW w:w="2042" w:type="dxa"/>
            <w:vAlign w:val="center"/>
          </w:tcPr>
          <w:p>
            <w:pPr>
              <w:widowControl/>
              <w:jc w:val="center"/>
              <w:textAlignment w:val="center"/>
              <w:rPr>
                <w:color w:val="auto"/>
                <w:szCs w:val="21"/>
              </w:rPr>
            </w:pPr>
            <w:r>
              <w:rPr>
                <w:color w:val="auto"/>
                <w:szCs w:val="21"/>
              </w:rPr>
              <w:t>铝</w:t>
            </w:r>
          </w:p>
        </w:tc>
        <w:tc>
          <w:tcPr>
            <w:tcW w:w="2042" w:type="dxa"/>
            <w:vAlign w:val="center"/>
          </w:tcPr>
          <w:p>
            <w:pPr>
              <w:widowControl/>
              <w:jc w:val="center"/>
              <w:textAlignment w:val="center"/>
              <w:rPr>
                <w:color w:val="auto"/>
                <w:kern w:val="0"/>
                <w:szCs w:val="21"/>
                <w:lang w:bidi="ar"/>
              </w:rPr>
            </w:pPr>
            <w:r>
              <w:rPr>
                <w:color w:val="auto"/>
                <w:kern w:val="0"/>
                <w:szCs w:val="21"/>
                <w:lang w:bidi="ar"/>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汞</w:t>
            </w:r>
          </w:p>
        </w:tc>
        <w:tc>
          <w:tcPr>
            <w:tcW w:w="2042" w:type="dxa"/>
            <w:vAlign w:val="center"/>
          </w:tcPr>
          <w:p>
            <w:pPr>
              <w:widowControl/>
              <w:jc w:val="center"/>
              <w:textAlignment w:val="center"/>
              <w:rPr>
                <w:color w:val="auto"/>
                <w:szCs w:val="21"/>
              </w:rPr>
            </w:pPr>
            <w:r>
              <w:rPr>
                <w:color w:val="auto"/>
                <w:kern w:val="0"/>
                <w:szCs w:val="21"/>
                <w:lang w:bidi="ar"/>
              </w:rPr>
              <w:t>≤0.001</w:t>
            </w:r>
          </w:p>
        </w:tc>
        <w:tc>
          <w:tcPr>
            <w:tcW w:w="2042" w:type="dxa"/>
            <w:vAlign w:val="center"/>
          </w:tcPr>
          <w:p>
            <w:pPr>
              <w:widowControl/>
              <w:jc w:val="center"/>
              <w:textAlignment w:val="center"/>
              <w:rPr>
                <w:color w:val="auto"/>
                <w:szCs w:val="21"/>
              </w:rPr>
            </w:pPr>
            <w:r>
              <w:rPr>
                <w:color w:val="auto"/>
                <w:szCs w:val="21"/>
              </w:rPr>
              <w:t>苯</w:t>
            </w:r>
          </w:p>
        </w:tc>
        <w:tc>
          <w:tcPr>
            <w:tcW w:w="2042" w:type="dxa"/>
            <w:vAlign w:val="center"/>
          </w:tcPr>
          <w:p>
            <w:pPr>
              <w:widowControl/>
              <w:jc w:val="center"/>
              <w:textAlignment w:val="center"/>
              <w:rPr>
                <w:color w:val="auto"/>
                <w:kern w:val="0"/>
                <w:szCs w:val="21"/>
                <w:lang w:bidi="ar"/>
              </w:rPr>
            </w:pPr>
            <w:r>
              <w:rPr>
                <w:color w:val="auto"/>
                <w:kern w:val="0"/>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铬（六价）</w:t>
            </w:r>
          </w:p>
        </w:tc>
        <w:tc>
          <w:tcPr>
            <w:tcW w:w="2042" w:type="dxa"/>
            <w:vAlign w:val="center"/>
          </w:tcPr>
          <w:p>
            <w:pPr>
              <w:widowControl/>
              <w:jc w:val="center"/>
              <w:textAlignment w:val="center"/>
              <w:rPr>
                <w:color w:val="auto"/>
                <w:szCs w:val="21"/>
              </w:rPr>
            </w:pPr>
            <w:r>
              <w:rPr>
                <w:color w:val="auto"/>
                <w:kern w:val="0"/>
                <w:szCs w:val="21"/>
                <w:lang w:bidi="ar"/>
              </w:rPr>
              <w:t>≤0.05</w:t>
            </w:r>
          </w:p>
        </w:tc>
        <w:tc>
          <w:tcPr>
            <w:tcW w:w="2042" w:type="dxa"/>
            <w:vAlign w:val="center"/>
          </w:tcPr>
          <w:p>
            <w:pPr>
              <w:widowControl/>
              <w:jc w:val="center"/>
              <w:textAlignment w:val="center"/>
              <w:rPr>
                <w:color w:val="auto"/>
                <w:szCs w:val="21"/>
              </w:rPr>
            </w:pPr>
            <w:r>
              <w:rPr>
                <w:color w:val="auto"/>
                <w:szCs w:val="21"/>
              </w:rPr>
              <w:t>甲苯</w:t>
            </w:r>
          </w:p>
        </w:tc>
        <w:tc>
          <w:tcPr>
            <w:tcW w:w="2042" w:type="dxa"/>
            <w:vAlign w:val="center"/>
          </w:tcPr>
          <w:p>
            <w:pPr>
              <w:widowControl/>
              <w:jc w:val="center"/>
              <w:textAlignment w:val="center"/>
              <w:rPr>
                <w:color w:val="auto"/>
                <w:kern w:val="0"/>
                <w:szCs w:val="21"/>
                <w:lang w:bidi="ar"/>
              </w:rPr>
            </w:pPr>
            <w:r>
              <w:rPr>
                <w:color w:val="auto"/>
                <w:kern w:val="0"/>
                <w:szCs w:val="21"/>
                <w:lang w:bidi="ar"/>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总硬度</w:t>
            </w:r>
          </w:p>
        </w:tc>
        <w:tc>
          <w:tcPr>
            <w:tcW w:w="2042" w:type="dxa"/>
            <w:vAlign w:val="center"/>
          </w:tcPr>
          <w:p>
            <w:pPr>
              <w:widowControl/>
              <w:jc w:val="center"/>
              <w:textAlignment w:val="center"/>
              <w:rPr>
                <w:color w:val="auto"/>
                <w:szCs w:val="21"/>
              </w:rPr>
            </w:pPr>
            <w:r>
              <w:rPr>
                <w:color w:val="auto"/>
                <w:szCs w:val="21"/>
              </w:rPr>
              <w:t>≤450</w:t>
            </w:r>
          </w:p>
        </w:tc>
        <w:tc>
          <w:tcPr>
            <w:tcW w:w="2042" w:type="dxa"/>
            <w:vAlign w:val="center"/>
          </w:tcPr>
          <w:p>
            <w:pPr>
              <w:widowControl/>
              <w:jc w:val="center"/>
              <w:textAlignment w:val="center"/>
              <w:rPr>
                <w:color w:val="auto"/>
                <w:szCs w:val="21"/>
              </w:rPr>
            </w:pPr>
            <w:r>
              <w:rPr>
                <w:color w:val="auto"/>
                <w:szCs w:val="21"/>
              </w:rPr>
              <w:t>二甲苯（总量）（μg/L）</w:t>
            </w:r>
          </w:p>
        </w:tc>
        <w:tc>
          <w:tcPr>
            <w:tcW w:w="2042" w:type="dxa"/>
            <w:vAlign w:val="center"/>
          </w:tcPr>
          <w:p>
            <w:pPr>
              <w:widowControl/>
              <w:jc w:val="center"/>
              <w:textAlignment w:val="center"/>
              <w:rPr>
                <w:color w:val="auto"/>
                <w:kern w:val="0"/>
                <w:szCs w:val="21"/>
                <w:lang w:bidi="ar"/>
              </w:rPr>
            </w:pPr>
            <w:r>
              <w:rPr>
                <w:color w:val="auto"/>
                <w:kern w:val="0"/>
                <w:szCs w:val="21"/>
                <w:lang w:bidi="ar"/>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8" w:type="dxa"/>
            <w:vAlign w:val="center"/>
          </w:tcPr>
          <w:p>
            <w:pPr>
              <w:widowControl/>
              <w:jc w:val="center"/>
              <w:textAlignment w:val="center"/>
              <w:rPr>
                <w:color w:val="auto"/>
                <w:kern w:val="0"/>
                <w:szCs w:val="21"/>
                <w:lang w:bidi="ar"/>
              </w:rPr>
            </w:pPr>
            <w:r>
              <w:rPr>
                <w:color w:val="auto"/>
                <w:kern w:val="0"/>
                <w:szCs w:val="21"/>
                <w:lang w:bidi="ar"/>
              </w:rPr>
              <w:t>铅</w:t>
            </w:r>
          </w:p>
        </w:tc>
        <w:tc>
          <w:tcPr>
            <w:tcW w:w="2042" w:type="dxa"/>
            <w:vAlign w:val="center"/>
          </w:tcPr>
          <w:p>
            <w:pPr>
              <w:widowControl/>
              <w:jc w:val="center"/>
              <w:textAlignment w:val="center"/>
              <w:rPr>
                <w:color w:val="auto"/>
                <w:szCs w:val="21"/>
              </w:rPr>
            </w:pPr>
            <w:r>
              <w:rPr>
                <w:color w:val="auto"/>
                <w:kern w:val="0"/>
                <w:szCs w:val="21"/>
                <w:lang w:bidi="ar"/>
              </w:rPr>
              <w:t>≤0.01</w:t>
            </w:r>
          </w:p>
        </w:tc>
        <w:tc>
          <w:tcPr>
            <w:tcW w:w="2042" w:type="dxa"/>
            <w:vAlign w:val="center"/>
          </w:tcPr>
          <w:p>
            <w:pPr>
              <w:widowControl/>
              <w:jc w:val="center"/>
              <w:textAlignment w:val="center"/>
              <w:rPr>
                <w:color w:val="auto"/>
                <w:kern w:val="0"/>
                <w:szCs w:val="21"/>
                <w:lang w:bidi="ar"/>
              </w:rPr>
            </w:pPr>
            <w:r>
              <w:rPr>
                <w:color w:val="auto"/>
                <w:szCs w:val="21"/>
              </w:rPr>
              <w:t>苯并[a]芘（μg/L）</w:t>
            </w:r>
          </w:p>
        </w:tc>
        <w:tc>
          <w:tcPr>
            <w:tcW w:w="2042" w:type="dxa"/>
            <w:vAlign w:val="center"/>
          </w:tcPr>
          <w:p>
            <w:pPr>
              <w:widowControl/>
              <w:jc w:val="center"/>
              <w:textAlignment w:val="center"/>
              <w:rPr>
                <w:color w:val="auto"/>
                <w:szCs w:val="21"/>
              </w:rPr>
            </w:pPr>
            <w:r>
              <w:rPr>
                <w:color w:val="auto"/>
                <w:kern w:val="0"/>
                <w:szCs w:val="21"/>
                <w:lang w:bidi="ar"/>
              </w:rPr>
              <w:t>≤0.01</w:t>
            </w:r>
          </w:p>
        </w:tc>
      </w:tr>
    </w:tbl>
    <w:p>
      <w:pPr>
        <w:pStyle w:val="8"/>
        <w:numPr>
          <w:ilvl w:val="0"/>
          <w:numId w:val="0"/>
        </w:numPr>
        <w:tabs>
          <w:tab w:val="left" w:pos="360"/>
        </w:tabs>
        <w:snapToGrid w:val="0"/>
        <w:rPr>
          <w:color w:val="auto"/>
          <w:szCs w:val="24"/>
        </w:rPr>
      </w:pPr>
      <w:r>
        <w:rPr>
          <w:color w:val="auto"/>
          <w:szCs w:val="24"/>
        </w:rPr>
        <w:t>2.4.1.3</w:t>
      </w:r>
      <w:r>
        <w:rPr>
          <w:rFonts w:hint="eastAsia"/>
          <w:color w:val="auto"/>
          <w:szCs w:val="24"/>
        </w:rPr>
        <w:t xml:space="preserve">  </w:t>
      </w:r>
      <w:r>
        <w:rPr>
          <w:color w:val="auto"/>
          <w:szCs w:val="24"/>
        </w:rPr>
        <w:t>环境空气质量标准</w:t>
      </w:r>
    </w:p>
    <w:p>
      <w:pPr>
        <w:spacing w:line="360" w:lineRule="auto"/>
        <w:ind w:firstLine="480" w:firstLineChars="200"/>
        <w:rPr>
          <w:color w:val="auto"/>
          <w:sz w:val="24"/>
        </w:rPr>
      </w:pPr>
      <w:r>
        <w:rPr>
          <w:color w:val="auto"/>
          <w:sz w:val="24"/>
        </w:rPr>
        <w:t>本项目所在地属于环境空气二类功能区，常规项目SO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10</w:t>
      </w:r>
      <w:r>
        <w:rPr>
          <w:color w:val="auto"/>
          <w:sz w:val="24"/>
        </w:rPr>
        <w:t>、PM</w:t>
      </w:r>
      <w:r>
        <w:rPr>
          <w:color w:val="auto"/>
          <w:sz w:val="24"/>
          <w:vertAlign w:val="subscript"/>
        </w:rPr>
        <w:t>2.5</w:t>
      </w:r>
      <w:r>
        <w:rPr>
          <w:color w:val="auto"/>
          <w:sz w:val="24"/>
        </w:rPr>
        <w:t>、CO、臭氧、TSP、苯并[a]芘执行《环境空气质量标准》（GB3095-2012）及其修改单</w:t>
      </w:r>
      <w:r>
        <w:rPr>
          <w:rFonts w:hint="eastAsia"/>
          <w:color w:val="auto"/>
          <w:sz w:val="24"/>
        </w:rPr>
        <w:t>（</w:t>
      </w:r>
      <w:r>
        <w:rPr>
          <w:color w:val="auto"/>
          <w:sz w:val="24"/>
        </w:rPr>
        <w:t>生态环境部公告2018年第29号</w:t>
      </w:r>
      <w:r>
        <w:rPr>
          <w:rFonts w:hint="eastAsia"/>
          <w:color w:val="auto"/>
          <w:sz w:val="24"/>
        </w:rPr>
        <w:t>）中的</w:t>
      </w:r>
      <w:r>
        <w:rPr>
          <w:color w:val="auto"/>
          <w:sz w:val="24"/>
        </w:rPr>
        <w:t>二级标准限值；</w:t>
      </w:r>
      <w:r>
        <w:rPr>
          <w:rFonts w:hint="eastAsia"/>
          <w:color w:val="auto"/>
          <w:sz w:val="24"/>
        </w:rPr>
        <w:t>TVOC执行《环境影响评价技术导则 大气环境》（HJ 2.2-2018）中附录D标准限值；</w:t>
      </w:r>
      <w:r>
        <w:rPr>
          <w:color w:val="auto"/>
          <w:sz w:val="24"/>
        </w:rPr>
        <w:t>非甲烷总烃浓度质量标准值参考</w:t>
      </w:r>
      <w:r>
        <w:rPr>
          <w:rFonts w:hint="eastAsia"/>
          <w:color w:val="auto"/>
          <w:sz w:val="24"/>
        </w:rPr>
        <w:t>河北省地方标准</w:t>
      </w:r>
      <w:r>
        <w:rPr>
          <w:color w:val="auto"/>
          <w:sz w:val="24"/>
        </w:rPr>
        <w:t>《</w:t>
      </w:r>
      <w:r>
        <w:rPr>
          <w:rFonts w:hint="eastAsia"/>
          <w:color w:val="auto"/>
          <w:sz w:val="24"/>
        </w:rPr>
        <w:t>环境空气质量 非甲烷总烃限值</w:t>
      </w:r>
      <w:r>
        <w:rPr>
          <w:color w:val="auto"/>
          <w:sz w:val="24"/>
        </w:rPr>
        <w:t>》（</w:t>
      </w:r>
      <w:r>
        <w:rPr>
          <w:rFonts w:hint="eastAsia"/>
          <w:color w:val="auto"/>
          <w:sz w:val="24"/>
        </w:rPr>
        <w:t>DB13/1577-2012</w:t>
      </w:r>
      <w:r>
        <w:rPr>
          <w:color w:val="auto"/>
          <w:sz w:val="24"/>
        </w:rPr>
        <w:t>）中的</w:t>
      </w:r>
      <w:r>
        <w:rPr>
          <w:rFonts w:hint="eastAsia"/>
          <w:color w:val="auto"/>
          <w:sz w:val="24"/>
        </w:rPr>
        <w:t>二级标准1小时平均浓度限值</w:t>
      </w:r>
      <w:r>
        <w:rPr>
          <w:color w:val="auto"/>
          <w:sz w:val="24"/>
        </w:rPr>
        <w:t>：2mg/m</w:t>
      </w:r>
      <w:r>
        <w:rPr>
          <w:color w:val="auto"/>
          <w:sz w:val="24"/>
          <w:vertAlign w:val="superscript"/>
        </w:rPr>
        <w:t>3</w:t>
      </w:r>
      <w:r>
        <w:rPr>
          <w:color w:val="auto"/>
          <w:sz w:val="24"/>
        </w:rPr>
        <w:t>。</w:t>
      </w:r>
    </w:p>
    <w:p>
      <w:pPr>
        <w:widowControl/>
        <w:jc w:val="center"/>
        <w:rPr>
          <w:color w:val="auto"/>
        </w:rPr>
      </w:pPr>
      <w:bookmarkStart w:id="111" w:name="_Ref355354742"/>
      <w:r>
        <w:rPr>
          <w:b/>
          <w:bCs/>
          <w:color w:val="auto"/>
          <w:szCs w:val="28"/>
        </w:rPr>
        <w:t xml:space="preserve">表2.4-3 </w:t>
      </w:r>
      <w:bookmarkEnd w:id="111"/>
      <w:r>
        <w:rPr>
          <w:b/>
          <w:bCs/>
          <w:color w:val="auto"/>
          <w:szCs w:val="28"/>
        </w:rPr>
        <w:t xml:space="preserve"> 环境空气质量评价执行标准（摘录）</w:t>
      </w:r>
    </w:p>
    <w:tbl>
      <w:tblPr>
        <w:tblStyle w:val="23"/>
        <w:tblW w:w="894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6"/>
        <w:gridCol w:w="2184"/>
        <w:gridCol w:w="1331"/>
        <w:gridCol w:w="37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b/>
                <w:color w:val="auto"/>
                <w:szCs w:val="21"/>
              </w:rPr>
            </w:pPr>
            <w:r>
              <w:rPr>
                <w:b/>
                <w:color w:val="auto"/>
                <w:szCs w:val="21"/>
              </w:rPr>
              <w:t>项目</w:t>
            </w:r>
          </w:p>
        </w:tc>
        <w:tc>
          <w:tcPr>
            <w:tcW w:w="3515" w:type="dxa"/>
            <w:gridSpan w:val="2"/>
            <w:vAlign w:val="center"/>
          </w:tcPr>
          <w:p>
            <w:pPr>
              <w:adjustRightInd w:val="0"/>
              <w:snapToGrid w:val="0"/>
              <w:jc w:val="center"/>
              <w:rPr>
                <w:b/>
                <w:color w:val="auto"/>
                <w:szCs w:val="21"/>
              </w:rPr>
            </w:pPr>
            <w:r>
              <w:rPr>
                <w:b/>
                <w:color w:val="auto"/>
                <w:szCs w:val="21"/>
              </w:rPr>
              <w:t>标准</w:t>
            </w:r>
          </w:p>
        </w:tc>
        <w:tc>
          <w:tcPr>
            <w:tcW w:w="3727" w:type="dxa"/>
            <w:vMerge w:val="restart"/>
            <w:tcMar>
              <w:top w:w="28" w:type="dxa"/>
              <w:bottom w:w="28" w:type="dxa"/>
            </w:tcMar>
            <w:vAlign w:val="center"/>
          </w:tcPr>
          <w:p>
            <w:pPr>
              <w:adjustRightInd w:val="0"/>
              <w:snapToGrid w:val="0"/>
              <w:jc w:val="center"/>
              <w:rPr>
                <w:b/>
                <w:color w:val="auto"/>
                <w:szCs w:val="21"/>
              </w:rPr>
            </w:pPr>
            <w:r>
              <w:rPr>
                <w:b/>
                <w:color w:val="auto"/>
                <w:szCs w:val="21"/>
              </w:rPr>
              <w:t>引用标准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ind w:firstLine="420" w:firstLineChars="200"/>
              <w:jc w:val="center"/>
              <w:rPr>
                <w:color w:val="auto"/>
                <w:szCs w:val="21"/>
              </w:rPr>
            </w:pPr>
          </w:p>
        </w:tc>
        <w:tc>
          <w:tcPr>
            <w:tcW w:w="2184" w:type="dxa"/>
            <w:vAlign w:val="center"/>
          </w:tcPr>
          <w:p>
            <w:pPr>
              <w:adjustRightInd w:val="0"/>
              <w:snapToGrid w:val="0"/>
              <w:jc w:val="center"/>
              <w:rPr>
                <w:b/>
                <w:color w:val="auto"/>
                <w:szCs w:val="21"/>
              </w:rPr>
            </w:pPr>
            <w:r>
              <w:rPr>
                <w:b/>
                <w:color w:val="auto"/>
                <w:szCs w:val="21"/>
              </w:rPr>
              <w:t>评价时段</w:t>
            </w:r>
          </w:p>
        </w:tc>
        <w:tc>
          <w:tcPr>
            <w:tcW w:w="1331" w:type="dxa"/>
            <w:vAlign w:val="center"/>
          </w:tcPr>
          <w:p>
            <w:pPr>
              <w:adjustRightInd w:val="0"/>
              <w:snapToGrid w:val="0"/>
              <w:jc w:val="center"/>
              <w:rPr>
                <w:b/>
                <w:color w:val="auto"/>
                <w:szCs w:val="21"/>
              </w:rPr>
            </w:pPr>
            <w:r>
              <w:rPr>
                <w:b/>
                <w:color w:val="auto"/>
                <w:szCs w:val="21"/>
              </w:rPr>
              <w:t>标准限值</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rPr>
            </w:pPr>
            <w:r>
              <w:rPr>
                <w:color w:val="auto"/>
                <w:szCs w:val="21"/>
              </w:rPr>
              <w:t>SO</w:t>
            </w:r>
            <w:r>
              <w:rPr>
                <w:color w:val="auto"/>
                <w:szCs w:val="21"/>
                <w:vertAlign w:val="subscript"/>
              </w:rPr>
              <w:t>2</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rFonts w:hint="eastAsia"/>
                <w:color w:val="auto"/>
                <w:szCs w:val="21"/>
              </w:rPr>
              <w:t>1小时平均</w:t>
            </w:r>
          </w:p>
        </w:tc>
        <w:tc>
          <w:tcPr>
            <w:tcW w:w="1331" w:type="dxa"/>
            <w:vAlign w:val="center"/>
          </w:tcPr>
          <w:p>
            <w:pPr>
              <w:adjustRightInd w:val="0"/>
              <w:snapToGrid w:val="0"/>
              <w:jc w:val="center"/>
              <w:rPr>
                <w:color w:val="auto"/>
                <w:szCs w:val="21"/>
              </w:rPr>
            </w:pPr>
            <w:r>
              <w:rPr>
                <w:rFonts w:hint="eastAsia"/>
                <w:color w:val="auto"/>
                <w:szCs w:val="21"/>
              </w:rPr>
              <w:t>500</w:t>
            </w:r>
          </w:p>
        </w:tc>
        <w:tc>
          <w:tcPr>
            <w:tcW w:w="3727" w:type="dxa"/>
            <w:vMerge w:val="restart"/>
            <w:tcMar>
              <w:top w:w="28" w:type="dxa"/>
              <w:bottom w:w="28" w:type="dxa"/>
            </w:tcMar>
            <w:vAlign w:val="center"/>
          </w:tcPr>
          <w:p>
            <w:pPr>
              <w:adjustRightInd w:val="0"/>
              <w:snapToGrid w:val="0"/>
              <w:jc w:val="center"/>
              <w:rPr>
                <w:color w:val="auto"/>
                <w:szCs w:val="21"/>
              </w:rPr>
            </w:pPr>
            <w:r>
              <w:rPr>
                <w:color w:val="auto"/>
                <w:szCs w:val="21"/>
              </w:rPr>
              <w:t>《环境空气质量标准》（GB3095-2012）二级标准及其修改单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150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60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vertAlign w:val="subscript"/>
              </w:rPr>
            </w:pPr>
            <w:r>
              <w:rPr>
                <w:color w:val="auto"/>
                <w:szCs w:val="21"/>
              </w:rPr>
              <w:t>NO</w:t>
            </w:r>
            <w:r>
              <w:rPr>
                <w:color w:val="auto"/>
                <w:szCs w:val="21"/>
                <w:vertAlign w:val="subscript"/>
              </w:rPr>
              <w:t>2</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rFonts w:hint="eastAsia"/>
                <w:color w:val="auto"/>
                <w:szCs w:val="21"/>
              </w:rPr>
              <w:t>1小时平均</w:t>
            </w:r>
          </w:p>
        </w:tc>
        <w:tc>
          <w:tcPr>
            <w:tcW w:w="1331" w:type="dxa"/>
            <w:vAlign w:val="center"/>
          </w:tcPr>
          <w:p>
            <w:pPr>
              <w:adjustRightInd w:val="0"/>
              <w:snapToGrid w:val="0"/>
              <w:jc w:val="center"/>
              <w:rPr>
                <w:color w:val="auto"/>
                <w:szCs w:val="21"/>
              </w:rPr>
            </w:pPr>
            <w:r>
              <w:rPr>
                <w:rFonts w:hint="eastAsia"/>
                <w:color w:val="auto"/>
                <w:szCs w:val="21"/>
              </w:rPr>
              <w:t>200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80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40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vertAlign w:val="subscript"/>
              </w:rPr>
            </w:pPr>
            <w:r>
              <w:rPr>
                <w:color w:val="auto"/>
                <w:szCs w:val="21"/>
              </w:rPr>
              <w:t>PM</w:t>
            </w:r>
            <w:r>
              <w:rPr>
                <w:color w:val="auto"/>
                <w:szCs w:val="21"/>
                <w:vertAlign w:val="subscript"/>
              </w:rPr>
              <w:t>10</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150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70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vertAlign w:val="subscript"/>
              </w:rPr>
            </w:pPr>
            <w:r>
              <w:rPr>
                <w:color w:val="auto"/>
                <w:szCs w:val="21"/>
              </w:rPr>
              <w:t>PM</w:t>
            </w:r>
            <w:r>
              <w:rPr>
                <w:color w:val="auto"/>
                <w:szCs w:val="21"/>
                <w:vertAlign w:val="subscript"/>
              </w:rPr>
              <w:t>2.5</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75</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35</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rPr>
            </w:pPr>
            <w:r>
              <w:rPr>
                <w:color w:val="auto"/>
                <w:szCs w:val="21"/>
              </w:rPr>
              <w:t>CO</w:t>
            </w:r>
          </w:p>
          <w:p>
            <w:pPr>
              <w:adjustRightInd w:val="0"/>
              <w:snapToGrid w:val="0"/>
              <w:jc w:val="center"/>
              <w:rPr>
                <w:color w:val="auto"/>
                <w:szCs w:val="21"/>
              </w:rPr>
            </w:pPr>
            <w:r>
              <w:rPr>
                <w:color w:val="auto"/>
                <w:szCs w:val="21"/>
              </w:rPr>
              <w:t>（mg/m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color w:val="auto"/>
                <w:kern w:val="18"/>
                <w:szCs w:val="21"/>
              </w:rPr>
              <w:t>1小时平均</w:t>
            </w:r>
          </w:p>
        </w:tc>
        <w:tc>
          <w:tcPr>
            <w:tcW w:w="1331" w:type="dxa"/>
            <w:vAlign w:val="center"/>
          </w:tcPr>
          <w:p>
            <w:pPr>
              <w:adjustRightInd w:val="0"/>
              <w:snapToGrid w:val="0"/>
              <w:jc w:val="center"/>
              <w:rPr>
                <w:color w:val="auto"/>
                <w:szCs w:val="21"/>
              </w:rPr>
            </w:pPr>
            <w:r>
              <w:rPr>
                <w:rFonts w:hint="eastAsia"/>
                <w:color w:val="auto"/>
                <w:szCs w:val="21"/>
              </w:rPr>
              <w:t>10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4</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restart"/>
            <w:vAlign w:val="center"/>
          </w:tcPr>
          <w:p>
            <w:pPr>
              <w:adjustRightInd w:val="0"/>
              <w:snapToGrid w:val="0"/>
              <w:jc w:val="center"/>
              <w:rPr>
                <w:color w:val="auto"/>
                <w:szCs w:val="21"/>
                <w:vertAlign w:val="subscript"/>
              </w:rPr>
            </w:pPr>
            <w:r>
              <w:rPr>
                <w:color w:val="auto"/>
                <w:szCs w:val="21"/>
              </w:rPr>
              <w:t>O</w:t>
            </w:r>
            <w:r>
              <w:rPr>
                <w:color w:val="auto"/>
                <w:szCs w:val="21"/>
                <w:vertAlign w:val="subscript"/>
              </w:rPr>
              <w:t>3</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rFonts w:hint="eastAsia"/>
                <w:color w:val="auto"/>
                <w:szCs w:val="21"/>
              </w:rPr>
              <w:t>1小时平均</w:t>
            </w:r>
          </w:p>
        </w:tc>
        <w:tc>
          <w:tcPr>
            <w:tcW w:w="1331" w:type="dxa"/>
            <w:vAlign w:val="center"/>
          </w:tcPr>
          <w:p>
            <w:pPr>
              <w:adjustRightInd w:val="0"/>
              <w:snapToGrid w:val="0"/>
              <w:jc w:val="center"/>
              <w:rPr>
                <w:color w:val="auto"/>
                <w:szCs w:val="21"/>
              </w:rPr>
            </w:pPr>
            <w:r>
              <w:rPr>
                <w:color w:val="auto"/>
                <w:kern w:val="18"/>
                <w:szCs w:val="21"/>
              </w:rPr>
              <w:t>200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日最大8小时平均值</w:t>
            </w:r>
          </w:p>
        </w:tc>
        <w:tc>
          <w:tcPr>
            <w:tcW w:w="1331" w:type="dxa"/>
            <w:vAlign w:val="center"/>
          </w:tcPr>
          <w:p>
            <w:pPr>
              <w:adjustRightInd w:val="0"/>
              <w:snapToGrid w:val="0"/>
              <w:jc w:val="center"/>
              <w:rPr>
                <w:color w:val="auto"/>
                <w:szCs w:val="21"/>
              </w:rPr>
            </w:pPr>
            <w:r>
              <w:rPr>
                <w:color w:val="auto"/>
                <w:szCs w:val="21"/>
              </w:rPr>
              <w:t>160</w:t>
            </w:r>
          </w:p>
        </w:tc>
        <w:tc>
          <w:tcPr>
            <w:tcW w:w="3727" w:type="dxa"/>
            <w:vMerge w:val="continue"/>
            <w:tcMar>
              <w:top w:w="28" w:type="dxa"/>
              <w:bottom w:w="28" w:type="dxa"/>
            </w:tcMar>
            <w:vAlign w:val="center"/>
          </w:tcPr>
          <w:p>
            <w:pPr>
              <w:adjustRightInd w:val="0"/>
              <w:snapToGrid w:val="0"/>
              <w:ind w:firstLine="420" w:firstLineChars="20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06" w:type="dxa"/>
            <w:vMerge w:val="restart"/>
            <w:vAlign w:val="center"/>
          </w:tcPr>
          <w:p>
            <w:pPr>
              <w:adjustRightInd w:val="0"/>
              <w:snapToGrid w:val="0"/>
              <w:jc w:val="center"/>
              <w:rPr>
                <w:color w:val="auto"/>
                <w:szCs w:val="21"/>
              </w:rPr>
            </w:pPr>
            <w:r>
              <w:rPr>
                <w:color w:val="auto"/>
                <w:szCs w:val="21"/>
              </w:rPr>
              <w:t>TSP</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200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06" w:type="dxa"/>
            <w:vMerge w:val="continue"/>
            <w:vAlign w:val="center"/>
          </w:tcPr>
          <w:p>
            <w:pPr>
              <w:adjustRightInd w:val="0"/>
              <w:snapToGrid w:val="0"/>
              <w:jc w:val="center"/>
              <w:rPr>
                <w:color w:val="auto"/>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300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06" w:type="dxa"/>
            <w:vMerge w:val="restart"/>
            <w:vAlign w:val="center"/>
          </w:tcPr>
          <w:p>
            <w:pPr>
              <w:adjustRightInd w:val="0"/>
              <w:snapToGrid w:val="0"/>
              <w:jc w:val="center"/>
              <w:rPr>
                <w:color w:val="auto"/>
                <w:kern w:val="0"/>
                <w:szCs w:val="21"/>
                <w:vertAlign w:val="subscript"/>
              </w:rPr>
            </w:pPr>
            <w:r>
              <w:rPr>
                <w:color w:val="auto"/>
                <w:kern w:val="0"/>
                <w:szCs w:val="21"/>
              </w:rPr>
              <w:t>NO</w:t>
            </w:r>
            <w:r>
              <w:rPr>
                <w:color w:val="auto"/>
                <w:kern w:val="0"/>
                <w:szCs w:val="21"/>
                <w:vertAlign w:val="subscript"/>
              </w:rPr>
              <w:t>X</w:t>
            </w:r>
          </w:p>
          <w:p>
            <w:pPr>
              <w:adjustRightInd w:val="0"/>
              <w:snapToGrid w:val="0"/>
              <w:jc w:val="center"/>
              <w:rPr>
                <w:color w:val="auto"/>
              </w:rPr>
            </w:pPr>
            <w:r>
              <w:rPr>
                <w:color w:val="auto"/>
                <w:szCs w:val="21"/>
              </w:rPr>
              <w:t>（µg/m</w:t>
            </w:r>
            <w:r>
              <w:rPr>
                <w:color w:val="auto"/>
                <w:szCs w:val="21"/>
                <w:vertAlign w:val="superscript"/>
              </w:rPr>
              <w:t>3</w:t>
            </w:r>
            <w:r>
              <w:rPr>
                <w:color w:val="auto"/>
                <w:szCs w:val="21"/>
              </w:rPr>
              <w:t>）</w:t>
            </w:r>
          </w:p>
        </w:tc>
        <w:tc>
          <w:tcPr>
            <w:tcW w:w="2184" w:type="dxa"/>
            <w:vAlign w:val="center"/>
          </w:tcPr>
          <w:p>
            <w:pPr>
              <w:jc w:val="center"/>
              <w:rPr>
                <w:color w:val="auto"/>
                <w:szCs w:val="21"/>
              </w:rPr>
            </w:pPr>
            <w:r>
              <w:rPr>
                <w:color w:val="auto"/>
                <w:kern w:val="0"/>
                <w:szCs w:val="21"/>
              </w:rPr>
              <w:t>1小时平均</w:t>
            </w:r>
          </w:p>
        </w:tc>
        <w:tc>
          <w:tcPr>
            <w:tcW w:w="1331" w:type="dxa"/>
            <w:vAlign w:val="center"/>
          </w:tcPr>
          <w:p>
            <w:pPr>
              <w:jc w:val="center"/>
              <w:rPr>
                <w:color w:val="auto"/>
                <w:szCs w:val="21"/>
              </w:rPr>
            </w:pPr>
            <w:r>
              <w:rPr>
                <w:color w:val="auto"/>
                <w:kern w:val="0"/>
                <w:szCs w:val="21"/>
              </w:rPr>
              <w:t>250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06" w:type="dxa"/>
            <w:vMerge w:val="continue"/>
            <w:vAlign w:val="center"/>
          </w:tcPr>
          <w:p>
            <w:pPr>
              <w:adjustRightInd w:val="0"/>
              <w:snapToGrid w:val="0"/>
              <w:jc w:val="center"/>
              <w:rPr>
                <w:color w:val="auto"/>
              </w:rPr>
            </w:pPr>
          </w:p>
        </w:tc>
        <w:tc>
          <w:tcPr>
            <w:tcW w:w="2184" w:type="dxa"/>
            <w:vAlign w:val="center"/>
          </w:tcPr>
          <w:p>
            <w:pPr>
              <w:jc w:val="center"/>
              <w:rPr>
                <w:color w:val="auto"/>
                <w:szCs w:val="21"/>
              </w:rPr>
            </w:pPr>
            <w:r>
              <w:rPr>
                <w:color w:val="auto"/>
                <w:kern w:val="0"/>
                <w:szCs w:val="21"/>
              </w:rPr>
              <w:t>24小时平均</w:t>
            </w:r>
          </w:p>
        </w:tc>
        <w:tc>
          <w:tcPr>
            <w:tcW w:w="1331" w:type="dxa"/>
            <w:vAlign w:val="center"/>
          </w:tcPr>
          <w:p>
            <w:pPr>
              <w:jc w:val="center"/>
              <w:rPr>
                <w:color w:val="auto"/>
                <w:szCs w:val="21"/>
              </w:rPr>
            </w:pPr>
            <w:r>
              <w:rPr>
                <w:color w:val="auto"/>
                <w:kern w:val="0"/>
                <w:szCs w:val="21"/>
              </w:rPr>
              <w:t>100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06" w:type="dxa"/>
            <w:vMerge w:val="continue"/>
            <w:vAlign w:val="center"/>
          </w:tcPr>
          <w:p>
            <w:pPr>
              <w:adjustRightInd w:val="0"/>
              <w:snapToGrid w:val="0"/>
              <w:jc w:val="center"/>
              <w:rPr>
                <w:color w:val="auto"/>
              </w:rPr>
            </w:pPr>
          </w:p>
        </w:tc>
        <w:tc>
          <w:tcPr>
            <w:tcW w:w="2184" w:type="dxa"/>
            <w:vAlign w:val="center"/>
          </w:tcPr>
          <w:p>
            <w:pPr>
              <w:jc w:val="center"/>
              <w:rPr>
                <w:color w:val="auto"/>
                <w:szCs w:val="21"/>
              </w:rPr>
            </w:pPr>
            <w:r>
              <w:rPr>
                <w:color w:val="auto"/>
                <w:kern w:val="0"/>
                <w:szCs w:val="21"/>
              </w:rPr>
              <w:t>年平均</w:t>
            </w:r>
          </w:p>
        </w:tc>
        <w:tc>
          <w:tcPr>
            <w:tcW w:w="1331" w:type="dxa"/>
            <w:vAlign w:val="center"/>
          </w:tcPr>
          <w:p>
            <w:pPr>
              <w:jc w:val="center"/>
              <w:rPr>
                <w:color w:val="auto"/>
                <w:szCs w:val="21"/>
              </w:rPr>
            </w:pPr>
            <w:r>
              <w:rPr>
                <w:color w:val="auto"/>
                <w:kern w:val="0"/>
                <w:szCs w:val="21"/>
              </w:rPr>
              <w:t>50</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1706" w:type="dxa"/>
            <w:vMerge w:val="restart"/>
            <w:vAlign w:val="center"/>
          </w:tcPr>
          <w:p>
            <w:pPr>
              <w:adjustRightInd w:val="0"/>
              <w:snapToGrid w:val="0"/>
              <w:jc w:val="center"/>
              <w:rPr>
                <w:color w:val="auto"/>
                <w:szCs w:val="21"/>
              </w:rPr>
            </w:pPr>
            <w:r>
              <w:rPr>
                <w:color w:val="auto"/>
                <w:szCs w:val="21"/>
              </w:rPr>
              <w:t>苯并[a]芘（BaP）</w:t>
            </w:r>
          </w:p>
          <w:p>
            <w:pPr>
              <w:adjustRightInd w:val="0"/>
              <w:snapToGrid w:val="0"/>
              <w:jc w:val="center"/>
              <w:rPr>
                <w:color w:val="auto"/>
                <w:szCs w:val="21"/>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color w:val="auto"/>
                <w:szCs w:val="21"/>
              </w:rPr>
              <w:t>24小时平均</w:t>
            </w:r>
          </w:p>
        </w:tc>
        <w:tc>
          <w:tcPr>
            <w:tcW w:w="1331" w:type="dxa"/>
            <w:vAlign w:val="center"/>
          </w:tcPr>
          <w:p>
            <w:pPr>
              <w:adjustRightInd w:val="0"/>
              <w:snapToGrid w:val="0"/>
              <w:jc w:val="center"/>
              <w:rPr>
                <w:color w:val="auto"/>
                <w:szCs w:val="21"/>
              </w:rPr>
            </w:pPr>
            <w:r>
              <w:rPr>
                <w:color w:val="auto"/>
                <w:szCs w:val="21"/>
              </w:rPr>
              <w:t>0.0025</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1706" w:type="dxa"/>
            <w:vMerge w:val="continue"/>
            <w:vAlign w:val="center"/>
          </w:tcPr>
          <w:p>
            <w:pPr>
              <w:adjustRightInd w:val="0"/>
              <w:snapToGrid w:val="0"/>
              <w:jc w:val="center"/>
              <w:rPr>
                <w:color w:val="auto"/>
                <w:szCs w:val="21"/>
              </w:rPr>
            </w:pPr>
          </w:p>
        </w:tc>
        <w:tc>
          <w:tcPr>
            <w:tcW w:w="2184" w:type="dxa"/>
            <w:vAlign w:val="center"/>
          </w:tcPr>
          <w:p>
            <w:pPr>
              <w:adjustRightInd w:val="0"/>
              <w:snapToGrid w:val="0"/>
              <w:jc w:val="center"/>
              <w:rPr>
                <w:color w:val="auto"/>
                <w:szCs w:val="21"/>
              </w:rPr>
            </w:pPr>
            <w:r>
              <w:rPr>
                <w:color w:val="auto"/>
                <w:szCs w:val="21"/>
              </w:rPr>
              <w:t>年平均</w:t>
            </w:r>
          </w:p>
        </w:tc>
        <w:tc>
          <w:tcPr>
            <w:tcW w:w="1331" w:type="dxa"/>
            <w:vAlign w:val="center"/>
          </w:tcPr>
          <w:p>
            <w:pPr>
              <w:adjustRightInd w:val="0"/>
              <w:snapToGrid w:val="0"/>
              <w:jc w:val="center"/>
              <w:rPr>
                <w:color w:val="auto"/>
                <w:szCs w:val="21"/>
              </w:rPr>
            </w:pPr>
            <w:r>
              <w:rPr>
                <w:color w:val="auto"/>
                <w:szCs w:val="21"/>
              </w:rPr>
              <w:t>0.001</w:t>
            </w:r>
          </w:p>
        </w:tc>
        <w:tc>
          <w:tcPr>
            <w:tcW w:w="3727" w:type="dxa"/>
            <w:vMerge w:val="continue"/>
            <w:tcMar>
              <w:top w:w="28" w:type="dxa"/>
              <w:bottom w:w="28" w:type="dxa"/>
            </w:tcMar>
            <w:vAlign w:val="center"/>
          </w:tcPr>
          <w:p>
            <w:pPr>
              <w:adjustRightInd w:val="0"/>
              <w:snapToGrid w:val="0"/>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06" w:type="dxa"/>
            <w:vAlign w:val="center"/>
          </w:tcPr>
          <w:p>
            <w:pPr>
              <w:adjustRightInd w:val="0"/>
              <w:snapToGrid w:val="0"/>
              <w:jc w:val="center"/>
              <w:rPr>
                <w:color w:val="auto"/>
                <w:kern w:val="0"/>
                <w:szCs w:val="21"/>
                <w:lang w:bidi="ar"/>
              </w:rPr>
            </w:pPr>
            <w:r>
              <w:rPr>
                <w:color w:val="auto"/>
                <w:kern w:val="0"/>
                <w:szCs w:val="21"/>
                <w:lang w:bidi="ar"/>
              </w:rPr>
              <w:t>非甲烷总烃</w:t>
            </w:r>
          </w:p>
          <w:p>
            <w:pPr>
              <w:adjustRightInd w:val="0"/>
              <w:snapToGrid w:val="0"/>
              <w:jc w:val="center"/>
              <w:rPr>
                <w:color w:val="auto"/>
                <w:szCs w:val="21"/>
              </w:rPr>
            </w:pPr>
            <w:r>
              <w:rPr>
                <w:color w:val="auto"/>
                <w:kern w:val="0"/>
                <w:szCs w:val="21"/>
                <w:lang w:bidi="ar"/>
              </w:rPr>
              <w:t>（</w:t>
            </w:r>
            <w:r>
              <w:rPr>
                <w:color w:val="auto"/>
                <w:szCs w:val="21"/>
              </w:rPr>
              <w:t>mg/m</w:t>
            </w:r>
            <w:r>
              <w:rPr>
                <w:color w:val="auto"/>
                <w:szCs w:val="21"/>
                <w:vertAlign w:val="superscript"/>
              </w:rPr>
              <w:t>3</w:t>
            </w:r>
            <w:r>
              <w:rPr>
                <w:color w:val="auto"/>
                <w:kern w:val="0"/>
                <w:szCs w:val="21"/>
                <w:lang w:bidi="ar"/>
              </w:rPr>
              <w:t>）</w:t>
            </w:r>
          </w:p>
        </w:tc>
        <w:tc>
          <w:tcPr>
            <w:tcW w:w="2184" w:type="dxa"/>
            <w:vAlign w:val="center"/>
          </w:tcPr>
          <w:p>
            <w:pPr>
              <w:adjustRightInd w:val="0"/>
              <w:snapToGrid w:val="0"/>
              <w:jc w:val="center"/>
              <w:rPr>
                <w:color w:val="auto"/>
                <w:szCs w:val="21"/>
              </w:rPr>
            </w:pPr>
            <w:r>
              <w:rPr>
                <w:color w:val="auto"/>
                <w:szCs w:val="21"/>
              </w:rPr>
              <w:t>1h平均</w:t>
            </w:r>
          </w:p>
        </w:tc>
        <w:tc>
          <w:tcPr>
            <w:tcW w:w="1331" w:type="dxa"/>
            <w:vAlign w:val="center"/>
          </w:tcPr>
          <w:p>
            <w:pPr>
              <w:adjustRightInd w:val="0"/>
              <w:snapToGrid w:val="0"/>
              <w:jc w:val="center"/>
              <w:rPr>
                <w:color w:val="auto"/>
                <w:szCs w:val="21"/>
              </w:rPr>
            </w:pPr>
            <w:r>
              <w:rPr>
                <w:color w:val="auto"/>
                <w:szCs w:val="21"/>
              </w:rPr>
              <w:t>2</w:t>
            </w:r>
          </w:p>
        </w:tc>
        <w:tc>
          <w:tcPr>
            <w:tcW w:w="3727" w:type="dxa"/>
            <w:tcMar>
              <w:top w:w="28" w:type="dxa"/>
              <w:bottom w:w="28" w:type="dxa"/>
            </w:tcMar>
            <w:vAlign w:val="center"/>
          </w:tcPr>
          <w:p>
            <w:pPr>
              <w:adjustRightInd w:val="0"/>
              <w:snapToGrid w:val="0"/>
              <w:jc w:val="center"/>
              <w:rPr>
                <w:color w:val="auto"/>
                <w:kern w:val="0"/>
                <w:szCs w:val="21"/>
                <w:lang w:bidi="ar"/>
              </w:rPr>
            </w:pPr>
            <w:r>
              <w:rPr>
                <w:color w:val="auto"/>
                <w:kern w:val="0"/>
                <w:szCs w:val="21"/>
                <w:lang w:bidi="ar"/>
              </w:rPr>
              <w:t>《</w:t>
            </w:r>
            <w:r>
              <w:rPr>
                <w:rFonts w:hint="eastAsia"/>
                <w:color w:val="auto"/>
                <w:kern w:val="0"/>
                <w:szCs w:val="21"/>
                <w:lang w:bidi="ar"/>
              </w:rPr>
              <w:t>环境空气质量 非甲烷总烃限值</w:t>
            </w:r>
            <w:r>
              <w:rPr>
                <w:color w:val="auto"/>
                <w:kern w:val="0"/>
                <w:szCs w:val="21"/>
                <w:lang w:bidi="ar"/>
              </w:rPr>
              <w:t>》</w:t>
            </w:r>
          </w:p>
          <w:p>
            <w:pPr>
              <w:adjustRightInd w:val="0"/>
              <w:snapToGrid w:val="0"/>
              <w:jc w:val="center"/>
              <w:rPr>
                <w:color w:val="auto"/>
                <w:szCs w:val="21"/>
              </w:rPr>
            </w:pPr>
            <w:r>
              <w:rPr>
                <w:color w:val="auto"/>
                <w:szCs w:val="21"/>
              </w:rPr>
              <w:t>（</w:t>
            </w:r>
            <w:r>
              <w:rPr>
                <w:rFonts w:hint="eastAsia"/>
                <w:color w:val="auto"/>
                <w:szCs w:val="21"/>
              </w:rPr>
              <w:t>DB13/1577-2012</w:t>
            </w:r>
            <w:r>
              <w:rPr>
                <w:color w:val="auto"/>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1706" w:type="dxa"/>
            <w:vAlign w:val="center"/>
          </w:tcPr>
          <w:p>
            <w:pPr>
              <w:adjustRightInd w:val="0"/>
              <w:snapToGrid w:val="0"/>
              <w:jc w:val="center"/>
              <w:rPr>
                <w:color w:val="auto"/>
                <w:kern w:val="0"/>
                <w:szCs w:val="21"/>
                <w:lang w:bidi="ar"/>
              </w:rPr>
            </w:pPr>
            <w:r>
              <w:rPr>
                <w:rFonts w:hint="eastAsia"/>
                <w:color w:val="auto"/>
                <w:kern w:val="0"/>
                <w:szCs w:val="21"/>
                <w:lang w:bidi="ar"/>
              </w:rPr>
              <w:t>TVOC</w:t>
            </w:r>
          </w:p>
          <w:p>
            <w:pPr>
              <w:adjustRightInd w:val="0"/>
              <w:snapToGrid w:val="0"/>
              <w:jc w:val="center"/>
              <w:rPr>
                <w:color w:val="auto"/>
                <w:kern w:val="0"/>
                <w:szCs w:val="21"/>
                <w:lang w:bidi="ar"/>
              </w:rPr>
            </w:pPr>
            <w:r>
              <w:rPr>
                <w:color w:val="auto"/>
                <w:szCs w:val="21"/>
              </w:rPr>
              <w:t>（µg/m</w:t>
            </w:r>
            <w:r>
              <w:rPr>
                <w:color w:val="auto"/>
                <w:szCs w:val="21"/>
                <w:vertAlign w:val="superscript"/>
              </w:rPr>
              <w:t>3</w:t>
            </w:r>
            <w:r>
              <w:rPr>
                <w:color w:val="auto"/>
                <w:szCs w:val="21"/>
              </w:rPr>
              <w:t>）</w:t>
            </w:r>
          </w:p>
        </w:tc>
        <w:tc>
          <w:tcPr>
            <w:tcW w:w="2184" w:type="dxa"/>
            <w:vAlign w:val="center"/>
          </w:tcPr>
          <w:p>
            <w:pPr>
              <w:adjustRightInd w:val="0"/>
              <w:snapToGrid w:val="0"/>
              <w:jc w:val="center"/>
              <w:rPr>
                <w:color w:val="auto"/>
                <w:szCs w:val="21"/>
              </w:rPr>
            </w:pPr>
            <w:r>
              <w:rPr>
                <w:rFonts w:hint="eastAsia"/>
                <w:color w:val="auto"/>
                <w:szCs w:val="21"/>
              </w:rPr>
              <w:t>8h平均</w:t>
            </w:r>
          </w:p>
        </w:tc>
        <w:tc>
          <w:tcPr>
            <w:tcW w:w="1331" w:type="dxa"/>
            <w:vAlign w:val="center"/>
          </w:tcPr>
          <w:p>
            <w:pPr>
              <w:adjustRightInd w:val="0"/>
              <w:snapToGrid w:val="0"/>
              <w:jc w:val="center"/>
              <w:rPr>
                <w:color w:val="auto"/>
                <w:szCs w:val="21"/>
              </w:rPr>
            </w:pPr>
            <w:r>
              <w:rPr>
                <w:rFonts w:hint="eastAsia"/>
                <w:color w:val="auto"/>
                <w:szCs w:val="21"/>
              </w:rPr>
              <w:t>600</w:t>
            </w:r>
          </w:p>
        </w:tc>
        <w:tc>
          <w:tcPr>
            <w:tcW w:w="3727" w:type="dxa"/>
            <w:tcMar>
              <w:top w:w="28" w:type="dxa"/>
              <w:bottom w:w="28" w:type="dxa"/>
            </w:tcMar>
            <w:vAlign w:val="center"/>
          </w:tcPr>
          <w:p>
            <w:pPr>
              <w:adjustRightInd w:val="0"/>
              <w:snapToGrid w:val="0"/>
              <w:jc w:val="center"/>
              <w:rPr>
                <w:color w:val="auto"/>
                <w:kern w:val="0"/>
                <w:szCs w:val="21"/>
                <w:lang w:bidi="ar"/>
              </w:rPr>
            </w:pPr>
            <w:r>
              <w:rPr>
                <w:color w:val="auto"/>
                <w:kern w:val="0"/>
                <w:szCs w:val="21"/>
                <w:lang w:bidi="ar"/>
              </w:rPr>
              <w:t>《环境影响评价技术导则 大气环境》（HJ 2.2-2018）</w:t>
            </w:r>
            <w:r>
              <w:rPr>
                <w:rFonts w:hint="eastAsia"/>
                <w:color w:val="auto"/>
                <w:kern w:val="0"/>
                <w:szCs w:val="21"/>
                <w:lang w:bidi="ar"/>
              </w:rPr>
              <w:t>附录D</w:t>
            </w:r>
          </w:p>
        </w:tc>
      </w:tr>
    </w:tbl>
    <w:p>
      <w:pPr>
        <w:pStyle w:val="8"/>
        <w:numPr>
          <w:ilvl w:val="0"/>
          <w:numId w:val="0"/>
        </w:numPr>
        <w:tabs>
          <w:tab w:val="left" w:pos="360"/>
        </w:tabs>
        <w:snapToGrid w:val="0"/>
        <w:rPr>
          <w:color w:val="auto"/>
          <w:szCs w:val="24"/>
        </w:rPr>
      </w:pPr>
      <w:r>
        <w:rPr>
          <w:color w:val="auto"/>
          <w:szCs w:val="24"/>
        </w:rPr>
        <w:t>2.4.1.4</w:t>
      </w:r>
      <w:r>
        <w:rPr>
          <w:rFonts w:hint="eastAsia"/>
          <w:color w:val="auto"/>
          <w:szCs w:val="24"/>
        </w:rPr>
        <w:t xml:space="preserve">  </w:t>
      </w:r>
      <w:r>
        <w:rPr>
          <w:color w:val="auto"/>
          <w:szCs w:val="24"/>
        </w:rPr>
        <w:t>声环境质量标准</w:t>
      </w:r>
    </w:p>
    <w:p>
      <w:pPr>
        <w:spacing w:line="360" w:lineRule="auto"/>
        <w:ind w:firstLine="480"/>
        <w:jc w:val="left"/>
        <w:rPr>
          <w:color w:val="auto"/>
          <w:sz w:val="24"/>
        </w:rPr>
      </w:pPr>
      <w:r>
        <w:rPr>
          <w:color w:val="auto"/>
          <w:sz w:val="24"/>
        </w:rPr>
        <w:t>本项目位于</w:t>
      </w:r>
      <w:r>
        <w:rPr>
          <w:color w:val="auto"/>
          <w:kern w:val="0"/>
          <w:sz w:val="24"/>
        </w:rPr>
        <w:t>清远市清城区石角镇界牌新村石角工业园内</w:t>
      </w:r>
      <w:r>
        <w:rPr>
          <w:color w:val="auto"/>
          <w:sz w:val="24"/>
        </w:rPr>
        <w:t>，属3类声环境功能区，执行《声环境质量标准》(GB3096-2008)中的3类环境噪声限值。</w:t>
      </w:r>
    </w:p>
    <w:p>
      <w:pPr>
        <w:widowControl/>
        <w:spacing w:line="360" w:lineRule="auto"/>
        <w:jc w:val="center"/>
        <w:rPr>
          <w:b/>
          <w:bCs/>
          <w:color w:val="auto"/>
          <w:szCs w:val="28"/>
        </w:rPr>
      </w:pPr>
      <w:bookmarkStart w:id="112" w:name="_Ref299633830"/>
      <w:r>
        <w:rPr>
          <w:b/>
          <w:bCs/>
          <w:color w:val="auto"/>
          <w:szCs w:val="28"/>
        </w:rPr>
        <w:t>表2.4</w:t>
      </w:r>
      <w:r>
        <w:rPr>
          <w:b/>
          <w:bCs/>
          <w:color w:val="auto"/>
          <w:szCs w:val="28"/>
        </w:rPr>
        <w:noBreakHyphen/>
      </w:r>
      <w:bookmarkEnd w:id="112"/>
      <w:r>
        <w:rPr>
          <w:b/>
          <w:bCs/>
          <w:color w:val="auto"/>
          <w:szCs w:val="28"/>
        </w:rPr>
        <w:t>4  声环境质量标准（摘录）单位：Leq〔dB（A）〕</w:t>
      </w:r>
    </w:p>
    <w:tbl>
      <w:tblPr>
        <w:tblStyle w:val="23"/>
        <w:tblW w:w="885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2889"/>
        <w:gridCol w:w="3167"/>
        <w:gridCol w:w="28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889" w:type="dxa"/>
            <w:vMerge w:val="restart"/>
            <w:tcBorders>
              <w:tl2br w:val="single" w:color="auto" w:sz="6" w:space="0"/>
            </w:tcBorders>
            <w:vAlign w:val="center"/>
          </w:tcPr>
          <w:p>
            <w:pPr>
              <w:adjustRightInd w:val="0"/>
              <w:snapToGrid w:val="0"/>
              <w:spacing w:line="300" w:lineRule="auto"/>
              <w:ind w:firstLine="420"/>
              <w:jc w:val="center"/>
              <w:rPr>
                <w:color w:val="auto"/>
                <w:szCs w:val="21"/>
              </w:rPr>
            </w:pPr>
            <w:r>
              <w:rPr>
                <w:color w:val="auto"/>
                <w:szCs w:val="21"/>
              </w:rPr>
              <w:t xml:space="preserve">          时段</w:t>
            </w:r>
          </w:p>
          <w:p>
            <w:pPr>
              <w:adjustRightInd w:val="0"/>
              <w:snapToGrid w:val="0"/>
              <w:spacing w:line="300" w:lineRule="auto"/>
              <w:rPr>
                <w:color w:val="auto"/>
                <w:szCs w:val="21"/>
              </w:rPr>
            </w:pPr>
            <w:r>
              <w:rPr>
                <w:color w:val="auto"/>
                <w:szCs w:val="21"/>
              </w:rPr>
              <w:t>声环境功能类别</w:t>
            </w:r>
          </w:p>
        </w:tc>
        <w:tc>
          <w:tcPr>
            <w:tcW w:w="5969" w:type="dxa"/>
            <w:gridSpan w:val="2"/>
            <w:vAlign w:val="center"/>
          </w:tcPr>
          <w:p>
            <w:pPr>
              <w:adjustRightInd w:val="0"/>
              <w:snapToGrid w:val="0"/>
              <w:spacing w:line="300" w:lineRule="auto"/>
              <w:ind w:firstLine="420"/>
              <w:jc w:val="center"/>
              <w:rPr>
                <w:color w:val="auto"/>
                <w:szCs w:val="21"/>
              </w:rPr>
            </w:pPr>
            <w:r>
              <w:rPr>
                <w:color w:val="auto"/>
                <w:szCs w:val="21"/>
              </w:rPr>
              <w:t>环境噪声限值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889" w:type="dxa"/>
            <w:vMerge w:val="continue"/>
            <w:vAlign w:val="center"/>
          </w:tcPr>
          <w:p>
            <w:pPr>
              <w:adjustRightInd w:val="0"/>
              <w:snapToGrid w:val="0"/>
              <w:spacing w:line="300" w:lineRule="auto"/>
              <w:ind w:firstLine="420"/>
              <w:jc w:val="center"/>
              <w:rPr>
                <w:color w:val="auto"/>
                <w:szCs w:val="21"/>
              </w:rPr>
            </w:pPr>
          </w:p>
        </w:tc>
        <w:tc>
          <w:tcPr>
            <w:tcW w:w="3167" w:type="dxa"/>
            <w:vAlign w:val="center"/>
          </w:tcPr>
          <w:p>
            <w:pPr>
              <w:adjustRightInd w:val="0"/>
              <w:snapToGrid w:val="0"/>
              <w:spacing w:line="300" w:lineRule="auto"/>
              <w:ind w:firstLine="420"/>
              <w:jc w:val="center"/>
              <w:rPr>
                <w:color w:val="auto"/>
                <w:szCs w:val="21"/>
              </w:rPr>
            </w:pPr>
            <w:r>
              <w:rPr>
                <w:color w:val="auto"/>
                <w:szCs w:val="21"/>
              </w:rPr>
              <w:t>昼间</w:t>
            </w:r>
          </w:p>
        </w:tc>
        <w:tc>
          <w:tcPr>
            <w:tcW w:w="2802" w:type="dxa"/>
            <w:vAlign w:val="center"/>
          </w:tcPr>
          <w:p>
            <w:pPr>
              <w:adjustRightInd w:val="0"/>
              <w:snapToGrid w:val="0"/>
              <w:spacing w:line="300" w:lineRule="auto"/>
              <w:ind w:firstLine="420"/>
              <w:jc w:val="center"/>
              <w:rPr>
                <w:color w:val="auto"/>
                <w:szCs w:val="21"/>
              </w:rPr>
            </w:pPr>
            <w:r>
              <w:rPr>
                <w:color w:val="auto"/>
                <w:szCs w:val="21"/>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889" w:type="dxa"/>
            <w:vAlign w:val="center"/>
          </w:tcPr>
          <w:p>
            <w:pPr>
              <w:spacing w:line="300" w:lineRule="auto"/>
              <w:ind w:firstLine="199" w:firstLineChars="95"/>
              <w:jc w:val="center"/>
              <w:rPr>
                <w:color w:val="auto"/>
                <w:szCs w:val="21"/>
              </w:rPr>
            </w:pPr>
            <w:r>
              <w:rPr>
                <w:color w:val="auto"/>
                <w:szCs w:val="21"/>
              </w:rPr>
              <w:t>3类</w:t>
            </w:r>
          </w:p>
        </w:tc>
        <w:tc>
          <w:tcPr>
            <w:tcW w:w="3167" w:type="dxa"/>
            <w:vAlign w:val="center"/>
          </w:tcPr>
          <w:p>
            <w:pPr>
              <w:spacing w:line="300" w:lineRule="auto"/>
              <w:ind w:firstLine="420"/>
              <w:jc w:val="center"/>
              <w:rPr>
                <w:color w:val="auto"/>
                <w:szCs w:val="21"/>
              </w:rPr>
            </w:pPr>
            <w:r>
              <w:rPr>
                <w:color w:val="auto"/>
                <w:szCs w:val="21"/>
              </w:rPr>
              <w:t>65</w:t>
            </w:r>
          </w:p>
        </w:tc>
        <w:tc>
          <w:tcPr>
            <w:tcW w:w="2802" w:type="dxa"/>
            <w:vAlign w:val="center"/>
          </w:tcPr>
          <w:p>
            <w:pPr>
              <w:spacing w:line="300" w:lineRule="auto"/>
              <w:ind w:firstLine="420"/>
              <w:jc w:val="center"/>
              <w:rPr>
                <w:color w:val="auto"/>
                <w:szCs w:val="21"/>
              </w:rPr>
            </w:pPr>
            <w:r>
              <w:rPr>
                <w:color w:val="auto"/>
                <w:szCs w:val="21"/>
              </w:rPr>
              <w:t>55</w:t>
            </w:r>
          </w:p>
        </w:tc>
      </w:tr>
    </w:tbl>
    <w:p>
      <w:pPr>
        <w:pStyle w:val="8"/>
        <w:numPr>
          <w:ilvl w:val="0"/>
          <w:numId w:val="0"/>
        </w:numPr>
        <w:tabs>
          <w:tab w:val="left" w:pos="360"/>
        </w:tabs>
        <w:snapToGrid w:val="0"/>
        <w:rPr>
          <w:color w:val="auto"/>
          <w:szCs w:val="24"/>
        </w:rPr>
      </w:pPr>
      <w:r>
        <w:rPr>
          <w:color w:val="auto"/>
          <w:szCs w:val="24"/>
        </w:rPr>
        <w:t>2.4.1.5</w:t>
      </w:r>
      <w:r>
        <w:rPr>
          <w:rFonts w:hint="eastAsia"/>
          <w:color w:val="auto"/>
          <w:szCs w:val="24"/>
        </w:rPr>
        <w:t xml:space="preserve">  </w:t>
      </w:r>
      <w:r>
        <w:rPr>
          <w:color w:val="auto"/>
          <w:szCs w:val="24"/>
        </w:rPr>
        <w:t>土壤及底泥质量标准</w:t>
      </w:r>
    </w:p>
    <w:p>
      <w:pPr>
        <w:spacing w:line="360" w:lineRule="auto"/>
        <w:ind w:firstLine="480"/>
        <w:rPr>
          <w:rFonts w:hint="eastAsia"/>
          <w:b w:val="0"/>
          <w:bCs w:val="0"/>
          <w:color w:val="auto"/>
          <w:sz w:val="24"/>
        </w:rPr>
      </w:pPr>
      <w:bookmarkStart w:id="113" w:name="_Toc465089644"/>
      <w:bookmarkStart w:id="114" w:name="_Toc27195"/>
      <w:bookmarkStart w:id="115" w:name="_Toc14773"/>
      <w:bookmarkStart w:id="116" w:name="_Toc461434726"/>
      <w:bookmarkStart w:id="117" w:name="_Toc465156536"/>
      <w:r>
        <w:rPr>
          <w:color w:val="auto"/>
          <w:sz w:val="24"/>
        </w:rPr>
        <w:t>项目</w:t>
      </w:r>
      <w:r>
        <w:rPr>
          <w:rFonts w:hint="eastAsia"/>
          <w:color w:val="auto"/>
          <w:sz w:val="24"/>
          <w:lang w:val="en-US" w:eastAsia="zh-CN"/>
        </w:rPr>
        <w:t>厂界内土壤环境</w:t>
      </w:r>
      <w:r>
        <w:rPr>
          <w:b w:val="0"/>
          <w:bCs w:val="0"/>
          <w:color w:val="auto"/>
          <w:sz w:val="24"/>
        </w:rPr>
        <w:t>质量执行《土壤环境质量农用地土壤污染风险管控标准（试行）》(GB15618-2018)第二类用地筛选值和管制值</w:t>
      </w:r>
      <w:r>
        <w:rPr>
          <w:rFonts w:hint="eastAsia"/>
          <w:b w:val="0"/>
          <w:bCs w:val="0"/>
          <w:color w:val="auto"/>
          <w:sz w:val="24"/>
        </w:rPr>
        <w:t>。</w:t>
      </w:r>
    </w:p>
    <w:p>
      <w:pPr>
        <w:spacing w:line="360" w:lineRule="auto"/>
        <w:ind w:firstLine="480"/>
        <w:rPr>
          <w:color w:val="auto"/>
          <w:sz w:val="24"/>
        </w:rPr>
      </w:pPr>
      <w:r>
        <w:rPr>
          <w:rFonts w:hint="eastAsia"/>
          <w:color w:val="auto"/>
          <w:sz w:val="24"/>
          <w:lang w:val="en-US" w:eastAsia="zh-CN"/>
        </w:rPr>
        <w:t>项目周边非工业厂房与</w:t>
      </w:r>
      <w:r>
        <w:rPr>
          <w:color w:val="auto"/>
          <w:sz w:val="24"/>
        </w:rPr>
        <w:t>河流底泥</w:t>
      </w:r>
      <w:r>
        <w:rPr>
          <w:rFonts w:hint="eastAsia"/>
          <w:color w:val="auto"/>
          <w:sz w:val="24"/>
          <w:lang w:val="en-US" w:eastAsia="zh-CN"/>
        </w:rPr>
        <w:t>土壤</w:t>
      </w:r>
      <w:r>
        <w:rPr>
          <w:color w:val="auto"/>
          <w:sz w:val="24"/>
        </w:rPr>
        <w:t>环境质量</w:t>
      </w:r>
      <w:r>
        <w:rPr>
          <w:rFonts w:hint="eastAsia"/>
          <w:color w:val="auto"/>
          <w:sz w:val="24"/>
          <w:lang w:val="en-US" w:eastAsia="zh-CN"/>
        </w:rPr>
        <w:t>执行</w:t>
      </w:r>
      <w:r>
        <w:rPr>
          <w:color w:val="auto"/>
          <w:sz w:val="24"/>
        </w:rPr>
        <w:t>《土壤环境质量 农用地土壤污染风险管控标准（试行）》（GB 15618-2018）</w:t>
      </w:r>
      <w:r>
        <w:rPr>
          <w:rFonts w:hint="eastAsia"/>
          <w:color w:val="auto"/>
          <w:sz w:val="24"/>
          <w:lang w:val="en-US" w:eastAsia="zh-CN"/>
        </w:rPr>
        <w:t>中</w:t>
      </w:r>
      <w:r>
        <w:rPr>
          <w:color w:val="auto"/>
          <w:sz w:val="24"/>
        </w:rPr>
        <w:t>其他用地的风险筛选值</w:t>
      </w:r>
      <w:r>
        <w:rPr>
          <w:rFonts w:hint="eastAsia"/>
          <w:color w:val="auto"/>
          <w:sz w:val="24"/>
          <w:lang w:val="en-US" w:eastAsia="zh-CN"/>
        </w:rPr>
        <w:t>与管制值</w:t>
      </w:r>
      <w:r>
        <w:rPr>
          <w:color w:val="auto"/>
          <w:sz w:val="24"/>
        </w:rPr>
        <w:t>。。</w:t>
      </w:r>
    </w:p>
    <w:p>
      <w:pPr>
        <w:spacing w:line="360" w:lineRule="auto"/>
        <w:ind w:firstLine="480"/>
        <w:rPr>
          <w:color w:val="auto"/>
          <w:sz w:val="24"/>
        </w:rPr>
      </w:pPr>
      <w:r>
        <w:rPr>
          <w:color w:val="auto"/>
          <w:sz w:val="24"/>
        </w:rPr>
        <w:t>河流底泥由于没有现行标准值，参照执行《土壤环境质量 农用地土壤污染风险管控标准（试行）》（GB 15618-2018）中其他用地的风险筛选值。</w:t>
      </w:r>
    </w:p>
    <w:p>
      <w:pPr>
        <w:widowControl/>
        <w:jc w:val="center"/>
        <w:rPr>
          <w:b/>
          <w:bCs/>
          <w:color w:val="auto"/>
          <w:szCs w:val="28"/>
        </w:rPr>
      </w:pPr>
      <w:bookmarkStart w:id="118" w:name="_Toc2004"/>
      <w:r>
        <w:rPr>
          <w:b/>
          <w:bCs/>
          <w:color w:val="auto"/>
          <w:szCs w:val="28"/>
        </w:rPr>
        <w:t>表2.4-5</w:t>
      </w:r>
      <w:r>
        <w:rPr>
          <w:rFonts w:hint="eastAsia"/>
          <w:b/>
          <w:bCs/>
          <w:color w:val="auto"/>
          <w:szCs w:val="28"/>
        </w:rPr>
        <w:t xml:space="preserve">  农</w:t>
      </w:r>
      <w:r>
        <w:rPr>
          <w:b/>
          <w:bCs/>
          <w:color w:val="auto"/>
          <w:szCs w:val="28"/>
        </w:rPr>
        <w:t>用地土壤环境污染值 （单位：mg/kg，pH无量纲）</w:t>
      </w:r>
    </w:p>
    <w:tbl>
      <w:tblPr>
        <w:tblStyle w:val="23"/>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890"/>
        <w:gridCol w:w="1380"/>
        <w:gridCol w:w="1713"/>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tblHeader/>
          <w:jc w:val="center"/>
        </w:trPr>
        <w:tc>
          <w:tcPr>
            <w:tcW w:w="3983" w:type="dxa"/>
            <w:gridSpan w:val="3"/>
            <w:vMerge w:val="restart"/>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污染物项目</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风险筛选值</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风险管制值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tblHeader/>
          <w:jc w:val="center"/>
        </w:trPr>
        <w:tc>
          <w:tcPr>
            <w:tcW w:w="3983" w:type="dxa"/>
            <w:gridSpan w:val="3"/>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pH值</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pH值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tblHeader/>
          <w:jc w:val="center"/>
        </w:trPr>
        <w:tc>
          <w:tcPr>
            <w:tcW w:w="3983" w:type="dxa"/>
            <w:gridSpan w:val="3"/>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rFonts w:hint="eastAsia"/>
                <w:b w:val="0"/>
                <w:bCs w:val="0"/>
                <w:color w:val="auto"/>
                <w:sz w:val="21"/>
                <w:szCs w:val="21"/>
              </w:rPr>
              <w:t>pH≤5.5</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eastAsia"/>
                <w:b w:val="0"/>
                <w:bCs w:val="0"/>
                <w:color w:val="auto"/>
                <w:sz w:val="21"/>
                <w:szCs w:val="21"/>
              </w:rPr>
            </w:pPr>
            <w:r>
              <w:rPr>
                <w:rFonts w:hint="eastAsia"/>
                <w:b w:val="0"/>
                <w:bCs w:val="0"/>
                <w:color w:val="auto"/>
                <w:sz w:val="21"/>
                <w:szCs w:val="21"/>
              </w:rPr>
              <w:t>pH≤5.5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restart"/>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评价因子</w:t>
            </w: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镉</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0.3</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汞</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1.3</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b w:val="0"/>
                <w:bCs w:val="0"/>
                <w:color w:val="auto"/>
                <w:sz w:val="21"/>
                <w:szCs w:val="21"/>
                <w:lang w:val="en-US" w:eastAsia="zh-CN"/>
              </w:rPr>
            </w:pPr>
            <w:r>
              <w:rPr>
                <w:rFonts w:hint="eastAsia"/>
                <w:b w:val="0"/>
                <w:bCs w:val="0"/>
                <w:color w:val="auto"/>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砷</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40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b w:val="0"/>
                <w:bCs w:val="0"/>
                <w:color w:val="auto"/>
                <w:sz w:val="21"/>
                <w:szCs w:val="21"/>
                <w:lang w:val="en-US" w:eastAsia="zh-CN"/>
              </w:rPr>
            </w:pPr>
            <w:r>
              <w:rPr>
                <w:rFonts w:hint="eastAsia"/>
                <w:b w:val="0"/>
                <w:bCs w:val="0"/>
                <w:color w:val="auto"/>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铅</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70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b w:val="0"/>
                <w:bCs w:val="0"/>
                <w:color w:val="auto"/>
                <w:sz w:val="21"/>
                <w:szCs w:val="21"/>
                <w:lang w:val="en-US" w:eastAsia="zh-CN"/>
              </w:rPr>
            </w:pPr>
            <w:r>
              <w:rPr>
                <w:rFonts w:hint="eastAsia"/>
                <w:b w:val="0"/>
                <w:bCs w:val="0"/>
                <w:color w:val="auto"/>
                <w:sz w:val="21"/>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铬</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150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b w:val="0"/>
                <w:bCs w:val="0"/>
                <w:color w:val="auto"/>
                <w:sz w:val="21"/>
                <w:szCs w:val="21"/>
                <w:lang w:val="en-US" w:eastAsia="zh-CN"/>
              </w:rPr>
            </w:pPr>
            <w:r>
              <w:rPr>
                <w:rFonts w:hint="eastAsia"/>
                <w:b w:val="0"/>
                <w:bCs w:val="0"/>
                <w:color w:val="auto"/>
                <w:sz w:val="21"/>
                <w:szCs w:val="21"/>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1380"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铜</w:t>
            </w:r>
          </w:p>
        </w:tc>
        <w:tc>
          <w:tcPr>
            <w:tcW w:w="1713"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其他</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50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eastAsia"/>
                <w:b w:val="0"/>
                <w:bCs w:val="0"/>
                <w:color w:val="auto"/>
                <w:sz w:val="21"/>
                <w:szCs w:val="21"/>
                <w:lang w:val="en-US" w:eastAsia="zh-CN"/>
              </w:rPr>
            </w:pPr>
            <w:r>
              <w:rPr>
                <w:rFonts w:hint="eastAsia"/>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3093" w:type="dxa"/>
            <w:gridSpan w:val="2"/>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镍</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60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eastAsia"/>
                <w:b w:val="0"/>
                <w:bCs w:val="0"/>
                <w:color w:val="auto"/>
                <w:sz w:val="21"/>
                <w:szCs w:val="21"/>
                <w:lang w:val="en-US" w:eastAsia="zh-CN"/>
              </w:rPr>
            </w:pPr>
            <w:r>
              <w:rPr>
                <w:rFonts w:hint="eastAsia"/>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3093" w:type="dxa"/>
            <w:gridSpan w:val="2"/>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锌</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default" w:eastAsia="宋体"/>
                <w:b w:val="0"/>
                <w:bCs w:val="0"/>
                <w:color w:val="auto"/>
                <w:sz w:val="21"/>
                <w:szCs w:val="21"/>
                <w:lang w:val="en-US" w:eastAsia="zh-CN"/>
              </w:rPr>
            </w:pPr>
            <w:r>
              <w:rPr>
                <w:rFonts w:hint="eastAsia"/>
                <w:b w:val="0"/>
                <w:bCs w:val="0"/>
                <w:color w:val="auto"/>
                <w:sz w:val="21"/>
                <w:szCs w:val="21"/>
                <w:lang w:val="en-US" w:eastAsia="zh-CN"/>
              </w:rPr>
              <w:t>200</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eastAsia"/>
                <w:b w:val="0"/>
                <w:bCs w:val="0"/>
                <w:color w:val="auto"/>
                <w:sz w:val="21"/>
                <w:szCs w:val="21"/>
                <w:lang w:val="en-US" w:eastAsia="zh-CN"/>
              </w:rPr>
            </w:pPr>
            <w:r>
              <w:rPr>
                <w:rFonts w:hint="eastAsia"/>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cantSplit/>
          <w:trHeight w:val="227" w:hRule="atLeast"/>
          <w:jc w:val="center"/>
        </w:trPr>
        <w:tc>
          <w:tcPr>
            <w:tcW w:w="890" w:type="dxa"/>
            <w:vMerge w:val="continue"/>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p>
        </w:tc>
        <w:tc>
          <w:tcPr>
            <w:tcW w:w="3093" w:type="dxa"/>
            <w:gridSpan w:val="2"/>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b w:val="0"/>
                <w:bCs w:val="0"/>
                <w:color w:val="auto"/>
                <w:sz w:val="21"/>
                <w:szCs w:val="21"/>
              </w:rPr>
              <w:t>苯并[a]芘</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b w:val="0"/>
                <w:bCs w:val="0"/>
                <w:color w:val="auto"/>
                <w:sz w:val="21"/>
                <w:szCs w:val="21"/>
              </w:rPr>
            </w:pPr>
            <w:r>
              <w:rPr>
                <w:rFonts w:hint="eastAsia"/>
                <w:b w:val="0"/>
                <w:bCs w:val="0"/>
                <w:color w:val="auto"/>
                <w:sz w:val="21"/>
                <w:szCs w:val="21"/>
              </w:rPr>
              <w:t>0.55</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5" w:lineRule="atLeast"/>
              <w:ind w:left="0" w:leftChars="0" w:right="0" w:rightChars="0" w:firstLine="0" w:firstLineChars="0"/>
              <w:jc w:val="center"/>
              <w:textAlignment w:val="auto"/>
              <w:outlineLvl w:val="9"/>
              <w:rPr>
                <w:rFonts w:hint="eastAsia"/>
                <w:b w:val="0"/>
                <w:bCs w:val="0"/>
                <w:color w:val="auto"/>
                <w:sz w:val="21"/>
                <w:szCs w:val="21"/>
              </w:rPr>
            </w:pPr>
            <w:r>
              <w:rPr>
                <w:rFonts w:hint="eastAsia"/>
                <w:b w:val="0"/>
                <w:bCs w:val="0"/>
                <w:color w:val="auto"/>
                <w:sz w:val="21"/>
                <w:szCs w:val="21"/>
                <w:lang w:val="en-US" w:eastAsia="zh-CN"/>
              </w:rPr>
              <w:t>—</w:t>
            </w:r>
          </w:p>
        </w:tc>
      </w:tr>
    </w:tbl>
    <w:p>
      <w:pPr>
        <w:widowControl/>
        <w:jc w:val="center"/>
        <w:rPr>
          <w:b/>
          <w:bCs/>
          <w:color w:val="auto"/>
          <w:szCs w:val="28"/>
        </w:rPr>
      </w:pPr>
      <w:r>
        <w:rPr>
          <w:b/>
          <w:bCs/>
          <w:color w:val="auto"/>
          <w:szCs w:val="28"/>
        </w:rPr>
        <w:t>表2.4-</w:t>
      </w:r>
      <w:r>
        <w:rPr>
          <w:rFonts w:hint="eastAsia"/>
          <w:b/>
          <w:bCs/>
          <w:color w:val="auto"/>
          <w:szCs w:val="28"/>
          <w:lang w:val="en-US" w:eastAsia="zh-CN"/>
        </w:rPr>
        <w:t>6</w:t>
      </w:r>
      <w:r>
        <w:rPr>
          <w:rFonts w:hint="eastAsia"/>
          <w:b/>
          <w:bCs/>
          <w:color w:val="auto"/>
          <w:szCs w:val="28"/>
        </w:rPr>
        <w:t xml:space="preserve">  </w:t>
      </w:r>
      <w:r>
        <w:rPr>
          <w:rFonts w:hint="eastAsia"/>
          <w:b/>
          <w:bCs/>
          <w:color w:val="auto"/>
          <w:szCs w:val="28"/>
          <w:lang w:val="en-US" w:eastAsia="zh-CN"/>
        </w:rPr>
        <w:t>建设</w:t>
      </w:r>
      <w:r>
        <w:rPr>
          <w:b/>
          <w:bCs/>
          <w:color w:val="auto"/>
          <w:szCs w:val="28"/>
        </w:rPr>
        <w:t>用地土壤环境污染值 （单位：mg/kg）</w:t>
      </w:r>
    </w:p>
    <w:tbl>
      <w:tblPr>
        <w:tblStyle w:val="23"/>
        <w:tblW w:w="85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28"/>
        <w:gridCol w:w="2129"/>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127" w:type="dxa"/>
            <w:vMerge w:val="restart"/>
            <w:tcBorders>
              <w:tl2br w:val="nil"/>
              <w:tr2bl w:val="nil"/>
            </w:tcBorders>
            <w:vAlign w:val="center"/>
          </w:tcPr>
          <w:p>
            <w:pPr>
              <w:ind w:left="-168" w:leftChars="-80" w:right="-168" w:rightChars="-80"/>
              <w:jc w:val="center"/>
              <w:rPr>
                <w:b/>
                <w:bCs/>
                <w:color w:val="auto"/>
                <w:szCs w:val="21"/>
              </w:rPr>
            </w:pPr>
            <w:r>
              <w:rPr>
                <w:b/>
                <w:bCs/>
                <w:color w:val="auto"/>
                <w:szCs w:val="21"/>
              </w:rPr>
              <w:t>检测项目</w:t>
            </w:r>
          </w:p>
        </w:tc>
        <w:tc>
          <w:tcPr>
            <w:tcW w:w="2128" w:type="dxa"/>
            <w:vMerge w:val="restart"/>
            <w:tcBorders>
              <w:tl2br w:val="nil"/>
              <w:tr2bl w:val="nil"/>
            </w:tcBorders>
            <w:vAlign w:val="center"/>
          </w:tcPr>
          <w:p>
            <w:pPr>
              <w:ind w:left="-168" w:leftChars="-80" w:right="-168" w:rightChars="-80"/>
              <w:jc w:val="center"/>
              <w:rPr>
                <w:rFonts w:hint="default" w:eastAsia="宋体"/>
                <w:b/>
                <w:bCs/>
                <w:color w:val="auto"/>
                <w:szCs w:val="21"/>
                <w:lang w:val="en-US" w:eastAsia="zh-CN"/>
              </w:rPr>
            </w:pPr>
            <w:r>
              <w:rPr>
                <w:rFonts w:hint="eastAsia"/>
                <w:b/>
                <w:bCs/>
                <w:color w:val="auto"/>
                <w:szCs w:val="21"/>
                <w:lang w:val="en-US" w:eastAsia="zh-CN"/>
              </w:rPr>
              <w:t>CAS编号</w:t>
            </w:r>
          </w:p>
        </w:tc>
        <w:tc>
          <w:tcPr>
            <w:tcW w:w="2129" w:type="dxa"/>
            <w:tcBorders>
              <w:tl2br w:val="nil"/>
              <w:tr2bl w:val="nil"/>
            </w:tcBorders>
            <w:vAlign w:val="center"/>
          </w:tcPr>
          <w:p>
            <w:pPr>
              <w:ind w:left="-168" w:leftChars="-80" w:right="-168" w:rightChars="-80"/>
              <w:jc w:val="center"/>
              <w:rPr>
                <w:rFonts w:hint="eastAsia" w:eastAsia="宋体"/>
                <w:b/>
                <w:bCs/>
                <w:color w:val="auto"/>
                <w:szCs w:val="21"/>
                <w:lang w:val="en-US" w:eastAsia="zh-CN"/>
              </w:rPr>
            </w:pPr>
            <w:r>
              <w:rPr>
                <w:rFonts w:hint="eastAsia"/>
                <w:b/>
                <w:bCs/>
                <w:color w:val="auto"/>
                <w:szCs w:val="21"/>
                <w:lang w:val="en-US" w:eastAsia="zh-CN"/>
              </w:rPr>
              <w:t>筛选值</w:t>
            </w:r>
          </w:p>
        </w:tc>
        <w:tc>
          <w:tcPr>
            <w:tcW w:w="2133" w:type="dxa"/>
            <w:tcBorders>
              <w:tl2br w:val="nil"/>
              <w:tr2bl w:val="nil"/>
            </w:tcBorders>
            <w:vAlign w:val="center"/>
          </w:tcPr>
          <w:p>
            <w:pPr>
              <w:ind w:left="-168" w:leftChars="-80" w:right="-168" w:rightChars="-80"/>
              <w:jc w:val="center"/>
              <w:rPr>
                <w:rFonts w:hint="eastAsia" w:eastAsia="宋体"/>
                <w:b/>
                <w:bCs/>
                <w:color w:val="auto"/>
                <w:szCs w:val="21"/>
                <w:lang w:val="en-US" w:eastAsia="zh-CN"/>
              </w:rPr>
            </w:pPr>
            <w:r>
              <w:rPr>
                <w:rFonts w:hint="eastAsia"/>
                <w:b/>
                <w:bCs/>
                <w:color w:val="auto"/>
                <w:szCs w:val="21"/>
                <w:lang w:val="en-US" w:eastAsia="zh-CN"/>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trPr>
        <w:tc>
          <w:tcPr>
            <w:tcW w:w="2127" w:type="dxa"/>
            <w:vMerge w:val="continue"/>
            <w:tcBorders>
              <w:tl2br w:val="nil"/>
              <w:tr2bl w:val="nil"/>
            </w:tcBorders>
            <w:vAlign w:val="center"/>
          </w:tcPr>
          <w:p>
            <w:pPr>
              <w:ind w:left="-168" w:leftChars="-80" w:right="-168" w:rightChars="-80"/>
              <w:jc w:val="center"/>
              <w:rPr>
                <w:color w:val="auto"/>
                <w:szCs w:val="21"/>
              </w:rPr>
            </w:pPr>
          </w:p>
        </w:tc>
        <w:tc>
          <w:tcPr>
            <w:tcW w:w="2128" w:type="dxa"/>
            <w:vMerge w:val="continue"/>
            <w:tcBorders>
              <w:tl2br w:val="nil"/>
              <w:tr2bl w:val="nil"/>
            </w:tcBorders>
            <w:vAlign w:val="center"/>
          </w:tcPr>
          <w:p>
            <w:pPr>
              <w:ind w:left="-168" w:leftChars="-80" w:right="-168" w:rightChars="-80"/>
              <w:jc w:val="center"/>
              <w:rPr>
                <w:color w:val="auto"/>
                <w:szCs w:val="21"/>
              </w:rPr>
            </w:pPr>
          </w:p>
        </w:tc>
        <w:tc>
          <w:tcPr>
            <w:tcW w:w="2129" w:type="dxa"/>
            <w:tcBorders>
              <w:tl2br w:val="nil"/>
              <w:tr2bl w:val="nil"/>
            </w:tcBorders>
            <w:vAlign w:val="center"/>
          </w:tcPr>
          <w:p>
            <w:pPr>
              <w:ind w:left="-168" w:leftChars="-80" w:right="-168" w:rightChars="-80"/>
              <w:jc w:val="center"/>
              <w:rPr>
                <w:rFonts w:hint="default" w:eastAsia="宋体"/>
                <w:b/>
                <w:bCs/>
                <w:color w:val="auto"/>
                <w:szCs w:val="21"/>
                <w:lang w:val="en-US" w:eastAsia="zh-CN"/>
              </w:rPr>
            </w:pPr>
            <w:r>
              <w:rPr>
                <w:rFonts w:hint="eastAsia"/>
                <w:b/>
                <w:bCs/>
                <w:color w:val="auto"/>
                <w:szCs w:val="21"/>
                <w:lang w:val="en-US" w:eastAsia="zh-CN"/>
              </w:rPr>
              <w:t>第二类用地</w:t>
            </w:r>
          </w:p>
        </w:tc>
        <w:tc>
          <w:tcPr>
            <w:tcW w:w="2133" w:type="dxa"/>
            <w:tcBorders>
              <w:tl2br w:val="nil"/>
              <w:tr2bl w:val="nil"/>
            </w:tcBorders>
            <w:vAlign w:val="center"/>
          </w:tcPr>
          <w:p>
            <w:pPr>
              <w:ind w:left="-168" w:leftChars="-80" w:right="-168" w:rightChars="-80"/>
              <w:jc w:val="center"/>
              <w:rPr>
                <w:rFonts w:hint="default" w:eastAsia="宋体"/>
                <w:b/>
                <w:bCs/>
                <w:color w:val="auto"/>
                <w:szCs w:val="21"/>
                <w:lang w:val="en-US" w:eastAsia="zh-CN"/>
              </w:rPr>
            </w:pPr>
            <w:r>
              <w:rPr>
                <w:rFonts w:hint="eastAsia"/>
                <w:b/>
                <w:bCs/>
                <w:color w:val="auto"/>
                <w:szCs w:val="21"/>
                <w:lang w:val="en-US" w:eastAsia="zh-CN"/>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8517" w:type="dxa"/>
            <w:gridSpan w:val="4"/>
            <w:tcBorders>
              <w:tl2br w:val="nil"/>
              <w:tr2bl w:val="nil"/>
            </w:tcBorders>
            <w:vAlign w:val="center"/>
          </w:tcPr>
          <w:p>
            <w:pPr>
              <w:widowControl/>
              <w:ind w:left="-168" w:leftChars="-80" w:right="-168" w:rightChars="-80"/>
              <w:jc w:val="center"/>
              <w:textAlignment w:val="center"/>
              <w:rPr>
                <w:rFonts w:hint="default"/>
                <w:color w:val="auto"/>
                <w:szCs w:val="21"/>
                <w:lang w:val="en-US" w:eastAsia="zh-CN"/>
              </w:rPr>
            </w:pPr>
            <w:r>
              <w:rPr>
                <w:rFonts w:hint="eastAsia"/>
                <w:color w:val="auto"/>
                <w:szCs w:val="21"/>
                <w:lang w:val="en-US" w:eastAsia="zh-CN"/>
              </w:rPr>
              <w:t>石油烃类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rFonts w:hint="eastAsia"/>
                <w:color w:val="auto"/>
                <w:szCs w:val="21"/>
              </w:rPr>
              <w:t>石油烃（C</w:t>
            </w:r>
            <w:r>
              <w:rPr>
                <w:rFonts w:hint="eastAsia"/>
                <w:color w:val="auto"/>
                <w:szCs w:val="21"/>
                <w:vertAlign w:val="subscript"/>
              </w:rPr>
              <w:t>10</w:t>
            </w:r>
            <w:r>
              <w:rPr>
                <w:rFonts w:hint="eastAsia"/>
                <w:color w:val="auto"/>
                <w:szCs w:val="21"/>
              </w:rPr>
              <w:t>-C</w:t>
            </w:r>
            <w:r>
              <w:rPr>
                <w:rFonts w:hint="eastAsia"/>
                <w:color w:val="auto"/>
                <w:szCs w:val="21"/>
                <w:vertAlign w:val="subscript"/>
              </w:rPr>
              <w:t>40</w:t>
            </w:r>
            <w:r>
              <w:rPr>
                <w:rFonts w:hint="eastAsia"/>
                <w:color w:val="auto"/>
                <w:szCs w:val="21"/>
              </w:rPr>
              <w:t>）</w:t>
            </w:r>
          </w:p>
        </w:tc>
        <w:tc>
          <w:tcPr>
            <w:tcW w:w="2128" w:type="dxa"/>
            <w:tcBorders>
              <w:tl2br w:val="nil"/>
              <w:tr2bl w:val="nil"/>
            </w:tcBorders>
            <w:vAlign w:val="center"/>
          </w:tcPr>
          <w:p>
            <w:pPr>
              <w:jc w:val="center"/>
              <w:rPr>
                <w:rFonts w:hint="eastAsia" w:eastAsia="宋体"/>
                <w:color w:val="auto"/>
                <w:szCs w:val="21"/>
                <w:lang w:eastAsia="zh-CN"/>
              </w:rPr>
            </w:pPr>
            <w:r>
              <w:rPr>
                <w:rFonts w:hint="eastAsia"/>
                <w:color w:val="auto"/>
                <w:szCs w:val="21"/>
                <w:lang w:eastAsia="zh-CN"/>
              </w:rPr>
              <w:t>—</w:t>
            </w:r>
          </w:p>
        </w:tc>
        <w:tc>
          <w:tcPr>
            <w:tcW w:w="2129" w:type="dxa"/>
            <w:tcBorders>
              <w:tl2br w:val="nil"/>
              <w:tr2bl w:val="nil"/>
            </w:tcBorders>
            <w:vAlign w:val="center"/>
          </w:tcPr>
          <w:p>
            <w:pPr>
              <w:widowControl/>
              <w:ind w:left="-168" w:leftChars="-80" w:right="-168" w:rightChars="-8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4500</w:t>
            </w:r>
          </w:p>
        </w:tc>
        <w:tc>
          <w:tcPr>
            <w:tcW w:w="2133" w:type="dxa"/>
            <w:tcBorders>
              <w:tl2br w:val="nil"/>
              <w:tr2bl w:val="nil"/>
            </w:tcBorders>
            <w:vAlign w:val="center"/>
          </w:tcPr>
          <w:p>
            <w:pPr>
              <w:widowControl/>
              <w:ind w:left="-168" w:leftChars="-80" w:right="-168" w:rightChars="-8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8517" w:type="dxa"/>
            <w:gridSpan w:val="4"/>
            <w:tcBorders>
              <w:tl2br w:val="nil"/>
              <w:tr2bl w:val="nil"/>
            </w:tcBorders>
            <w:vAlign w:val="center"/>
          </w:tcPr>
          <w:p>
            <w:pPr>
              <w:widowControl/>
              <w:ind w:left="-168" w:leftChars="-80" w:right="-168" w:rightChars="-80"/>
              <w:jc w:val="center"/>
              <w:textAlignment w:val="center"/>
              <w:rPr>
                <w:rFonts w:hint="default"/>
                <w:color w:val="auto"/>
                <w:szCs w:val="21"/>
                <w:lang w:val="en-US" w:eastAsia="zh-CN"/>
              </w:rPr>
            </w:pPr>
            <w:r>
              <w:rPr>
                <w:rFonts w:hint="eastAsia"/>
                <w:color w:val="auto"/>
                <w:szCs w:val="21"/>
                <w:lang w:val="en-US" w:eastAsia="zh-CN"/>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7440-38-2</w:t>
            </w:r>
          </w:p>
        </w:tc>
        <w:tc>
          <w:tcPr>
            <w:tcW w:w="2129" w:type="dxa"/>
            <w:tcBorders>
              <w:tl2br w:val="nil"/>
              <w:tr2bl w:val="nil"/>
            </w:tcBorders>
            <w:vAlign w:val="center"/>
          </w:tcPr>
          <w:p>
            <w:pPr>
              <w:widowControl/>
              <w:ind w:left="-168" w:leftChars="-80" w:right="-168" w:rightChars="-80"/>
              <w:jc w:val="center"/>
              <w:textAlignment w:val="center"/>
              <w:rPr>
                <w:rFonts w:ascii="Times New Roman" w:hAnsi="Times New Roman" w:eastAsia="宋体" w:cs="Times New Roman"/>
                <w:color w:val="auto"/>
                <w:kern w:val="2"/>
                <w:sz w:val="21"/>
                <w:szCs w:val="21"/>
                <w:lang w:val="en-US" w:eastAsia="zh-CN" w:bidi="ar-SA"/>
              </w:rPr>
            </w:pPr>
            <w:r>
              <w:rPr>
                <w:color w:val="auto"/>
                <w:szCs w:val="21"/>
              </w:rPr>
              <w:t>60</w:t>
            </w:r>
          </w:p>
        </w:tc>
        <w:tc>
          <w:tcPr>
            <w:tcW w:w="2133" w:type="dxa"/>
            <w:tcBorders>
              <w:tl2br w:val="nil"/>
              <w:tr2bl w:val="nil"/>
            </w:tcBorders>
            <w:vAlign w:val="center"/>
          </w:tcPr>
          <w:p>
            <w:pPr>
              <w:widowControl/>
              <w:ind w:left="-168" w:leftChars="-80" w:right="-168" w:rightChars="-8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rFonts w:hint="eastAsia"/>
                <w:color w:val="auto"/>
                <w:szCs w:val="21"/>
              </w:rPr>
              <w:t>镉</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7440-43-9</w:t>
            </w:r>
          </w:p>
        </w:tc>
        <w:tc>
          <w:tcPr>
            <w:tcW w:w="2129" w:type="dxa"/>
            <w:tcBorders>
              <w:tl2br w:val="nil"/>
              <w:tr2bl w:val="nil"/>
            </w:tcBorders>
            <w:vAlign w:val="center"/>
          </w:tcPr>
          <w:p>
            <w:pPr>
              <w:widowControl/>
              <w:ind w:left="-105" w:leftChars="-50" w:right="-105" w:rightChars="-50"/>
              <w:jc w:val="center"/>
              <w:textAlignment w:val="center"/>
              <w:rPr>
                <w:rFonts w:hint="eastAsia" w:ascii="Times New Roman" w:hAnsi="Times New Roman" w:eastAsia="宋体" w:cs="Times New Roman"/>
                <w:color w:val="auto"/>
                <w:kern w:val="2"/>
                <w:sz w:val="21"/>
                <w:szCs w:val="21"/>
                <w:lang w:val="en-US" w:eastAsia="zh-CN" w:bidi="ar-SA"/>
              </w:rPr>
            </w:pPr>
            <w:r>
              <w:rPr>
                <w:color w:val="auto"/>
                <w:szCs w:val="21"/>
              </w:rPr>
              <w:t>65</w:t>
            </w:r>
          </w:p>
        </w:tc>
        <w:tc>
          <w:tcPr>
            <w:tcW w:w="2133" w:type="dxa"/>
            <w:tcBorders>
              <w:tl2br w:val="nil"/>
              <w:tr2bl w:val="nil"/>
            </w:tcBorders>
            <w:vAlign w:val="center"/>
          </w:tcPr>
          <w:p>
            <w:pPr>
              <w:widowControl/>
              <w:ind w:left="-105" w:leftChars="-50" w:right="-105" w:rightChars="-5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铬（六价）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18540-29-9</w:t>
            </w:r>
          </w:p>
        </w:tc>
        <w:tc>
          <w:tcPr>
            <w:tcW w:w="2129" w:type="dxa"/>
            <w:tcBorders>
              <w:tl2br w:val="nil"/>
              <w:tr2bl w:val="nil"/>
            </w:tcBorders>
            <w:vAlign w:val="center"/>
          </w:tcPr>
          <w:p>
            <w:pPr>
              <w:widowControl/>
              <w:ind w:left="-105" w:leftChars="-50" w:right="-105" w:rightChars="-50"/>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szCs w:val="21"/>
              </w:rPr>
              <w:t>5.7</w:t>
            </w:r>
          </w:p>
        </w:tc>
        <w:tc>
          <w:tcPr>
            <w:tcW w:w="2133" w:type="dxa"/>
            <w:tcBorders>
              <w:tl2br w:val="nil"/>
              <w:tr2bl w:val="nil"/>
            </w:tcBorders>
            <w:vAlign w:val="center"/>
          </w:tcPr>
          <w:p>
            <w:pPr>
              <w:widowControl/>
              <w:ind w:left="-105" w:leftChars="-50" w:right="-105" w:rightChars="-5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铜</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7440-50-8</w:t>
            </w:r>
          </w:p>
        </w:tc>
        <w:tc>
          <w:tcPr>
            <w:tcW w:w="2129" w:type="dxa"/>
            <w:tcBorders>
              <w:tl2br w:val="nil"/>
              <w:tr2bl w:val="nil"/>
            </w:tcBorders>
            <w:vAlign w:val="center"/>
          </w:tcPr>
          <w:p>
            <w:pPr>
              <w:widowControl/>
              <w:ind w:left="-105" w:leftChars="-50" w:right="-105" w:rightChars="-50"/>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szCs w:val="21"/>
              </w:rPr>
              <w:t>18000</w:t>
            </w:r>
          </w:p>
        </w:tc>
        <w:tc>
          <w:tcPr>
            <w:tcW w:w="2133" w:type="dxa"/>
            <w:tcBorders>
              <w:tl2br w:val="nil"/>
              <w:tr2bl w:val="nil"/>
            </w:tcBorders>
            <w:vAlign w:val="center"/>
          </w:tcPr>
          <w:p>
            <w:pPr>
              <w:widowControl/>
              <w:ind w:left="-105" w:leftChars="-50" w:right="-105" w:rightChars="-5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铅</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7439-92-1</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800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汞</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7439-97-6</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38</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127" w:type="dxa"/>
            <w:tcBorders>
              <w:tl2br w:val="nil"/>
              <w:tr2bl w:val="nil"/>
            </w:tcBorders>
            <w:vAlign w:val="center"/>
          </w:tcPr>
          <w:p>
            <w:pPr>
              <w:jc w:val="center"/>
              <w:rPr>
                <w:color w:val="auto"/>
                <w:szCs w:val="21"/>
              </w:rPr>
            </w:pPr>
            <w:r>
              <w:rPr>
                <w:color w:val="auto"/>
                <w:szCs w:val="21"/>
              </w:rPr>
              <w:t>镍</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7440-02-0</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900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8517" w:type="dxa"/>
            <w:gridSpan w:val="4"/>
            <w:tcBorders>
              <w:tl2br w:val="nil"/>
              <w:tr2bl w:val="nil"/>
            </w:tcBorders>
            <w:vAlign w:val="center"/>
          </w:tcPr>
          <w:p>
            <w:pPr>
              <w:ind w:left="-105" w:leftChars="-50" w:right="-105" w:rightChars="-50"/>
              <w:jc w:val="center"/>
              <w:rPr>
                <w:rFonts w:hint="default"/>
                <w:color w:val="auto"/>
                <w:szCs w:val="21"/>
                <w:lang w:val="en-US" w:eastAsia="zh-CN"/>
              </w:rPr>
            </w:pPr>
            <w:r>
              <w:rPr>
                <w:rFonts w:hint="eastAsia"/>
                <w:color w:val="auto"/>
                <w:szCs w:val="21"/>
                <w:lang w:val="en-US" w:eastAsia="zh-CN"/>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四氯化碳</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56-23-5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2.8</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氯仿</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67-66-3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0.9</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氯甲烷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74-87-3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37</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1,1-二氯乙烷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75-34-3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9</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1,2-二氯乙烷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107-06-2</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1,1-二氯乙烯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75-35-4</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66</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顺-1,2-二氯乙烯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156-59-2</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596</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反-1,2-二氯乙烯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156-60-5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54</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二氯甲烷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75-09-2</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616</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1,2-二氯丙烷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78-87-5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1,1,1,2-四氯乙烷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630-20-6</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1,1,2,2-四氯乙烷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79-34-5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6.8</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四氯</w:t>
            </w:r>
            <w:r>
              <w:rPr>
                <w:rFonts w:hint="eastAsia"/>
                <w:color w:val="auto"/>
                <w:szCs w:val="21"/>
              </w:rPr>
              <w:t>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127-18-4</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53</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1,1,1-三氯乙烷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71-55-6</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840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1,1,2-三氯乙烷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79-00-5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2.8</w:t>
            </w:r>
          </w:p>
        </w:tc>
        <w:tc>
          <w:tcPr>
            <w:tcW w:w="2133" w:type="dxa"/>
            <w:tcBorders>
              <w:tl2br w:val="nil"/>
              <w:tr2bl w:val="nil"/>
            </w:tcBorders>
            <w:vAlign w:val="center"/>
          </w:tcPr>
          <w:p>
            <w:pPr>
              <w:ind w:left="-105" w:leftChars="-50" w:right="-105" w:rightChars="-5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三氯乙烯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79-01-6</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2.8</w:t>
            </w:r>
          </w:p>
        </w:tc>
        <w:tc>
          <w:tcPr>
            <w:tcW w:w="2133" w:type="dxa"/>
            <w:tcBorders>
              <w:tl2br w:val="nil"/>
              <w:tr2bl w:val="nil"/>
            </w:tcBorders>
            <w:vAlign w:val="center"/>
          </w:tcPr>
          <w:p>
            <w:pPr>
              <w:ind w:left="-105" w:leftChars="-50" w:right="-105" w:rightChars="-5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1,2,3-三氯丙烷</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96-18-4</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0.5</w:t>
            </w:r>
          </w:p>
        </w:tc>
        <w:tc>
          <w:tcPr>
            <w:tcW w:w="2133" w:type="dxa"/>
            <w:tcBorders>
              <w:tl2br w:val="nil"/>
              <w:tr2bl w:val="nil"/>
            </w:tcBorders>
            <w:vAlign w:val="center"/>
          </w:tcPr>
          <w:p>
            <w:pPr>
              <w:ind w:left="-105" w:leftChars="-50" w:right="-105" w:rightChars="-5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75-01-4</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0.43</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71-43-2</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4</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氯苯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108-90-7</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270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1,2-二氯苯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95-50-1</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560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1,4-二氯苯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106-46-7</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乙苯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100-41-4</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28</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苯乙烯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100-42-5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1290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甲苯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108-88-3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1200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间二甲苯+对二甲苯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108-38-3，106-42-3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570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邻二甲苯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95-47-6</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640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8517" w:type="dxa"/>
            <w:gridSpan w:val="4"/>
            <w:tcBorders>
              <w:tl2br w:val="nil"/>
              <w:tr2bl w:val="nil"/>
            </w:tcBorders>
            <w:vAlign w:val="center"/>
          </w:tcPr>
          <w:p>
            <w:pPr>
              <w:ind w:left="-105" w:leftChars="-50" w:right="-105" w:rightChars="-50"/>
              <w:jc w:val="center"/>
              <w:rPr>
                <w:rFonts w:hint="default"/>
                <w:color w:val="auto"/>
                <w:szCs w:val="21"/>
                <w:lang w:val="en-US" w:eastAsia="zh-CN"/>
              </w:rPr>
            </w:pPr>
            <w:r>
              <w:rPr>
                <w:rFonts w:hint="eastAsia"/>
                <w:color w:val="auto"/>
                <w:szCs w:val="21"/>
                <w:lang w:val="en-US" w:eastAsia="zh-CN"/>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硝基苯</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98-95-3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76</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苯胺</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62-53-3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260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rFonts w:hint="eastAsia"/>
                <w:color w:val="auto"/>
                <w:szCs w:val="21"/>
              </w:rPr>
              <w:t>2-氯苯酚</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95-57-8</w:t>
            </w:r>
          </w:p>
        </w:tc>
        <w:tc>
          <w:tcPr>
            <w:tcW w:w="2129" w:type="dxa"/>
            <w:tcBorders>
              <w:tl2br w:val="nil"/>
              <w:tr2bl w:val="nil"/>
            </w:tcBorders>
            <w:vAlign w:val="center"/>
          </w:tcPr>
          <w:p>
            <w:pPr>
              <w:ind w:left="-105" w:leftChars="-50" w:right="-105" w:rightChars="-5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2256</w:t>
            </w:r>
          </w:p>
        </w:tc>
        <w:tc>
          <w:tcPr>
            <w:tcW w:w="2133" w:type="dxa"/>
            <w:tcBorders>
              <w:tl2br w:val="nil"/>
              <w:tr2bl w:val="nil"/>
            </w:tcBorders>
            <w:vAlign w:val="center"/>
          </w:tcPr>
          <w:p>
            <w:pPr>
              <w:ind w:left="-105" w:leftChars="-50" w:right="-105" w:rightChars="-5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苯并[a]蒽</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56-55-3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苯并[a]芘</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50-32-8</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苯并[</w:t>
            </w:r>
            <w:r>
              <w:rPr>
                <w:rFonts w:hint="eastAsia"/>
                <w:color w:val="auto"/>
                <w:szCs w:val="21"/>
              </w:rPr>
              <w:t>b</w:t>
            </w:r>
            <w:r>
              <w:rPr>
                <w:color w:val="auto"/>
                <w:szCs w:val="21"/>
              </w:rPr>
              <w:t>]荧蒽</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205-99-2</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苯并[k]荧蒽</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207-08-9</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151</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䓛</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218-01-9</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1293</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二苯并[a，h]蒽</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53-70-3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茚并[1,2,3-cd]芘</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193-39-5</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15</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127" w:type="dxa"/>
            <w:tcBorders>
              <w:tl2br w:val="nil"/>
              <w:tr2bl w:val="nil"/>
            </w:tcBorders>
            <w:vAlign w:val="center"/>
          </w:tcPr>
          <w:p>
            <w:pPr>
              <w:jc w:val="center"/>
              <w:rPr>
                <w:color w:val="auto"/>
                <w:szCs w:val="21"/>
              </w:rPr>
            </w:pPr>
            <w:r>
              <w:rPr>
                <w:color w:val="auto"/>
                <w:szCs w:val="21"/>
              </w:rPr>
              <w:t>萘</w:t>
            </w:r>
          </w:p>
        </w:tc>
        <w:tc>
          <w:tcPr>
            <w:tcW w:w="2128"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91-20-3</w:t>
            </w:r>
          </w:p>
        </w:tc>
        <w:tc>
          <w:tcPr>
            <w:tcW w:w="2129" w:type="dxa"/>
            <w:tcBorders>
              <w:tl2br w:val="nil"/>
              <w:tr2bl w:val="nil"/>
            </w:tcBorders>
            <w:vAlign w:val="center"/>
          </w:tcPr>
          <w:p>
            <w:pPr>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rPr>
              <w:t>70</w:t>
            </w:r>
          </w:p>
        </w:tc>
        <w:tc>
          <w:tcPr>
            <w:tcW w:w="2133" w:type="dxa"/>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700</w:t>
            </w:r>
          </w:p>
        </w:tc>
      </w:tr>
    </w:tbl>
    <w:p>
      <w:pPr>
        <w:keepNext/>
        <w:keepLines/>
        <w:spacing w:line="360" w:lineRule="auto"/>
        <w:jc w:val="left"/>
        <w:outlineLvl w:val="2"/>
        <w:rPr>
          <w:b/>
          <w:bCs/>
          <w:color w:val="auto"/>
          <w:sz w:val="28"/>
          <w:szCs w:val="28"/>
        </w:rPr>
      </w:pPr>
      <w:r>
        <w:rPr>
          <w:b/>
          <w:bCs/>
          <w:color w:val="auto"/>
          <w:sz w:val="28"/>
          <w:szCs w:val="28"/>
        </w:rPr>
        <w:t>2.4.2</w:t>
      </w:r>
      <w:r>
        <w:rPr>
          <w:rFonts w:hint="eastAsia"/>
          <w:b/>
          <w:bCs/>
          <w:color w:val="auto"/>
          <w:sz w:val="28"/>
          <w:szCs w:val="28"/>
        </w:rPr>
        <w:t xml:space="preserve">  </w:t>
      </w:r>
      <w:r>
        <w:rPr>
          <w:b/>
          <w:bCs/>
          <w:color w:val="auto"/>
          <w:sz w:val="28"/>
          <w:szCs w:val="28"/>
        </w:rPr>
        <w:t>污染物执行排放标准</w:t>
      </w:r>
      <w:bookmarkEnd w:id="113"/>
      <w:bookmarkEnd w:id="114"/>
      <w:bookmarkEnd w:id="115"/>
      <w:bookmarkEnd w:id="116"/>
      <w:bookmarkEnd w:id="117"/>
      <w:bookmarkEnd w:id="118"/>
    </w:p>
    <w:p>
      <w:pPr>
        <w:spacing w:line="360" w:lineRule="auto"/>
        <w:ind w:firstLine="590" w:firstLineChars="245"/>
        <w:rPr>
          <w:b/>
          <w:color w:val="auto"/>
          <w:sz w:val="24"/>
          <w:szCs w:val="20"/>
        </w:rPr>
      </w:pPr>
      <w:bookmarkStart w:id="119" w:name="_Toc248221424"/>
      <w:r>
        <w:rPr>
          <w:b/>
          <w:color w:val="auto"/>
          <w:sz w:val="24"/>
          <w:szCs w:val="20"/>
        </w:rPr>
        <w:t>1、水污染物排放标准</w:t>
      </w:r>
      <w:bookmarkEnd w:id="119"/>
    </w:p>
    <w:p>
      <w:pPr>
        <w:spacing w:line="360" w:lineRule="auto"/>
        <w:ind w:firstLine="540" w:firstLineChars="225"/>
        <w:rPr>
          <w:color w:val="auto"/>
          <w:sz w:val="24"/>
        </w:rPr>
      </w:pPr>
      <w:bookmarkStart w:id="120" w:name="_Toc248221425"/>
      <w:r>
        <w:rPr>
          <w:color w:val="auto"/>
          <w:sz w:val="24"/>
        </w:rPr>
        <w:t>本项目运营期产生的循环水经处理后全部回用，不外排。回用水执行《城市污水再生利用 工业用水水质》（GB/T19923-2005）中工艺与产品用水的相应标准，具体标准限值详见</w:t>
      </w:r>
      <w:r>
        <w:rPr>
          <w:rFonts w:hint="eastAsia"/>
          <w:color w:val="auto"/>
          <w:sz w:val="24"/>
        </w:rPr>
        <w:t>下表</w:t>
      </w:r>
      <w:r>
        <w:rPr>
          <w:color w:val="auto"/>
          <w:sz w:val="24"/>
        </w:rPr>
        <w:t>。</w:t>
      </w:r>
    </w:p>
    <w:p>
      <w:pPr>
        <w:widowControl/>
        <w:jc w:val="center"/>
        <w:rPr>
          <w:b/>
          <w:bCs/>
          <w:color w:val="auto"/>
          <w:szCs w:val="28"/>
        </w:rPr>
      </w:pPr>
      <w:r>
        <w:rPr>
          <w:b/>
          <w:bCs/>
          <w:color w:val="auto"/>
          <w:szCs w:val="28"/>
        </w:rPr>
        <w:t>表2.4-</w:t>
      </w:r>
      <w:r>
        <w:rPr>
          <w:rFonts w:hint="eastAsia"/>
          <w:b/>
          <w:bCs/>
          <w:color w:val="auto"/>
          <w:szCs w:val="28"/>
          <w:lang w:val="en-US" w:eastAsia="zh-CN"/>
        </w:rPr>
        <w:t>7</w:t>
      </w:r>
      <w:r>
        <w:rPr>
          <w:b/>
          <w:bCs/>
          <w:color w:val="auto"/>
          <w:szCs w:val="28"/>
        </w:rPr>
        <w:t xml:space="preserve">  回用水水质执行标准值  单位：mg/L，pH除外</w:t>
      </w:r>
    </w:p>
    <w:tbl>
      <w:tblPr>
        <w:tblStyle w:val="23"/>
        <w:tblW w:w="89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2276"/>
        <w:gridCol w:w="2373"/>
        <w:gridCol w:w="3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bCs/>
                <w:color w:val="auto"/>
                <w:szCs w:val="21"/>
              </w:rPr>
            </w:pPr>
            <w:r>
              <w:rPr>
                <w:bCs/>
                <w:color w:val="auto"/>
                <w:szCs w:val="21"/>
              </w:rPr>
              <w:t>序号</w:t>
            </w:r>
          </w:p>
        </w:tc>
        <w:tc>
          <w:tcPr>
            <w:tcW w:w="2276"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bCs/>
                <w:color w:val="auto"/>
                <w:szCs w:val="21"/>
              </w:rPr>
            </w:pPr>
            <w:r>
              <w:rPr>
                <w:bCs/>
                <w:color w:val="auto"/>
                <w:szCs w:val="21"/>
              </w:rPr>
              <w:t>污染物名称</w:t>
            </w:r>
          </w:p>
        </w:tc>
        <w:tc>
          <w:tcPr>
            <w:tcW w:w="2373"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bCs/>
                <w:color w:val="auto"/>
                <w:szCs w:val="21"/>
              </w:rPr>
            </w:pPr>
            <w:r>
              <w:rPr>
                <w:bCs/>
                <w:color w:val="auto"/>
                <w:szCs w:val="21"/>
              </w:rPr>
              <w:t>《城市污水再生利用 工业用水水质》</w:t>
            </w:r>
          </w:p>
        </w:tc>
        <w:tc>
          <w:tcPr>
            <w:tcW w:w="3690"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bCs/>
                <w:color w:val="auto"/>
                <w:szCs w:val="21"/>
              </w:rPr>
            </w:pPr>
            <w:r>
              <w:rPr>
                <w:bCs/>
                <w:color w:val="auto"/>
                <w:szCs w:val="21"/>
              </w:rPr>
              <w:t>1</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bCs/>
                <w:color w:val="auto"/>
                <w:szCs w:val="21"/>
              </w:rPr>
              <w:t>悬浮物</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bCs/>
                <w:color w:val="auto"/>
                <w:szCs w:val="21"/>
              </w:rPr>
              <w:t>--</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由于悬浮物没有水质标准，企业在回用时水质需要达到100mg/L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2</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bCs/>
                <w:color w:val="auto"/>
                <w:szCs w:val="21"/>
              </w:rPr>
              <w:t>pH值（无量纲）</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6.5~8.5</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3</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浊度（NTU）</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5</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4</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色度（度）</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30</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5</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BOD</w:t>
            </w:r>
            <w:r>
              <w:rPr>
                <w:rFonts w:hint="eastAsia"/>
                <w:bCs/>
                <w:color w:val="auto"/>
                <w:szCs w:val="21"/>
                <w:vertAlign w:val="subscript"/>
              </w:rPr>
              <w:t>5</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≤1</w:t>
            </w:r>
            <w:r>
              <w:rPr>
                <w:rFonts w:hint="eastAsia"/>
                <w:color w:val="auto"/>
                <w:szCs w:val="21"/>
              </w:rPr>
              <w:t>0</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6</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bCs/>
                <w:color w:val="auto"/>
                <w:szCs w:val="21"/>
              </w:rPr>
              <w:t>COD</w:t>
            </w:r>
            <w:r>
              <w:rPr>
                <w:bCs/>
                <w:color w:val="auto"/>
                <w:szCs w:val="21"/>
                <w:vertAlign w:val="subscript"/>
              </w:rPr>
              <w:t>Cr</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≤60</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7</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铁</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0.3</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8</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锰</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0.1</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9</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氯离子</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250</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color w:val="auto"/>
                <w:szCs w:val="21"/>
              </w:rPr>
              <w:t>10</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二氧化硅</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30</w:t>
            </w:r>
          </w:p>
        </w:tc>
        <w:tc>
          <w:tcPr>
            <w:tcW w:w="3690"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11</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bCs/>
                <w:color w:val="auto"/>
                <w:szCs w:val="21"/>
              </w:rPr>
              <w:t>总硬度（以CaCO</w:t>
            </w:r>
            <w:r>
              <w:rPr>
                <w:bCs/>
                <w:color w:val="auto"/>
                <w:szCs w:val="21"/>
                <w:vertAlign w:val="subscript"/>
              </w:rPr>
              <w:t>3</w:t>
            </w:r>
            <w:r>
              <w:rPr>
                <w:bCs/>
                <w:color w:val="auto"/>
                <w:szCs w:val="21"/>
              </w:rPr>
              <w:t>计）</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≤450</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12</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总碱度（</w:t>
            </w:r>
            <w:r>
              <w:rPr>
                <w:bCs/>
                <w:color w:val="auto"/>
                <w:szCs w:val="21"/>
              </w:rPr>
              <w:t>以CaCO</w:t>
            </w:r>
            <w:r>
              <w:rPr>
                <w:bCs/>
                <w:color w:val="auto"/>
                <w:szCs w:val="21"/>
                <w:vertAlign w:val="subscript"/>
              </w:rPr>
              <w:t>3</w:t>
            </w:r>
            <w:r>
              <w:rPr>
                <w:bCs/>
                <w:color w:val="auto"/>
                <w:szCs w:val="21"/>
              </w:rPr>
              <w:t>计</w:t>
            </w:r>
            <w:r>
              <w:rPr>
                <w:rFonts w:hint="eastAsia"/>
                <w:color w:val="auto"/>
                <w:szCs w:val="21"/>
              </w:rPr>
              <w:t>）</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350</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vAlign w:val="center"/>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13</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rFonts w:hint="eastAsia"/>
                <w:bCs/>
                <w:color w:val="auto"/>
                <w:szCs w:val="21"/>
              </w:rPr>
              <w:t>硫酸盐</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250</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14</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氨氮</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10</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15</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总磷</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w:t>
            </w:r>
            <w:r>
              <w:rPr>
                <w:rFonts w:hint="eastAsia"/>
                <w:color w:val="auto"/>
                <w:szCs w:val="21"/>
              </w:rPr>
              <w:t>1</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16</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bCs/>
                <w:color w:val="auto"/>
                <w:szCs w:val="21"/>
              </w:rPr>
              <w:t>总溶解性总固体</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color w:val="auto"/>
                <w:szCs w:val="21"/>
              </w:rPr>
              <w:t>≤1000</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4" w:type="dxa"/>
          </w:tcPr>
          <w:p>
            <w:pPr>
              <w:keepNext w:val="0"/>
              <w:keepLines w:val="0"/>
              <w:pageBreakBefore w:val="0"/>
              <w:widowControl w:val="0"/>
              <w:kinsoku/>
              <w:wordWrap/>
              <w:overflowPunct/>
              <w:topLinePunct w:val="0"/>
              <w:autoSpaceDE/>
              <w:autoSpaceDN/>
              <w:bidi w:val="0"/>
              <w:adjustRightInd w:val="0"/>
              <w:snapToGrid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17</w:t>
            </w:r>
          </w:p>
        </w:tc>
        <w:tc>
          <w:tcPr>
            <w:tcW w:w="2276"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bCs/>
                <w:color w:val="auto"/>
                <w:szCs w:val="21"/>
              </w:rPr>
            </w:pPr>
            <w:r>
              <w:rPr>
                <w:bCs/>
                <w:color w:val="auto"/>
                <w:szCs w:val="21"/>
              </w:rPr>
              <w:t>余氯</w:t>
            </w:r>
          </w:p>
        </w:tc>
        <w:tc>
          <w:tcPr>
            <w:tcW w:w="2373" w:type="dxa"/>
            <w:vAlign w:val="center"/>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ascii="Arial" w:hAnsi="Arial" w:cs="Arial"/>
                <w:color w:val="auto"/>
                <w:szCs w:val="21"/>
              </w:rPr>
              <w:t>≥</w:t>
            </w:r>
            <w:r>
              <w:rPr>
                <w:color w:val="auto"/>
                <w:szCs w:val="21"/>
              </w:rPr>
              <w:t>0.05</w:t>
            </w:r>
          </w:p>
        </w:tc>
        <w:tc>
          <w:tcPr>
            <w:tcW w:w="3690" w:type="dxa"/>
          </w:tcPr>
          <w:p>
            <w:pPr>
              <w:keepNext w:val="0"/>
              <w:keepLines w:val="0"/>
              <w:pageBreakBefore w:val="0"/>
              <w:widowControl w:val="0"/>
              <w:kinsoku/>
              <w:wordWrap/>
              <w:overflowPunct/>
              <w:topLinePunct w:val="0"/>
              <w:autoSpaceDE/>
              <w:autoSpaceDN/>
              <w:bidi w:val="0"/>
              <w:spacing w:line="300" w:lineRule="auto"/>
              <w:ind w:left="0" w:leftChars="0" w:right="0" w:rightChars="0" w:firstLine="0" w:firstLineChars="0"/>
              <w:jc w:val="center"/>
              <w:textAlignment w:val="auto"/>
              <w:outlineLvl w:val="9"/>
              <w:rPr>
                <w:color w:val="auto"/>
                <w:szCs w:val="21"/>
              </w:rPr>
            </w:pPr>
            <w:r>
              <w:rPr>
                <w:rFonts w:hint="eastAsia"/>
                <w:color w:val="auto"/>
                <w:szCs w:val="21"/>
              </w:rPr>
              <w:t>/</w:t>
            </w:r>
          </w:p>
        </w:tc>
      </w:tr>
    </w:tbl>
    <w:p>
      <w:pPr>
        <w:spacing w:line="360" w:lineRule="auto"/>
        <w:ind w:firstLine="480"/>
        <w:rPr>
          <w:color w:val="auto"/>
          <w:sz w:val="24"/>
        </w:rPr>
      </w:pPr>
      <w:r>
        <w:rPr>
          <w:color w:val="auto"/>
          <w:sz w:val="24"/>
        </w:rPr>
        <w:t>本项目位于清远市清城区石角镇界牌新村石角工业园内，属于石角污水处理厂纳污范围，因此本项目运营期产生的生活污水经</w:t>
      </w:r>
      <w:r>
        <w:rPr>
          <w:rFonts w:hint="eastAsia"/>
          <w:color w:val="auto"/>
          <w:sz w:val="24"/>
          <w:lang w:val="en-US" w:eastAsia="zh-CN"/>
        </w:rPr>
        <w:t>三级化粪池</w:t>
      </w:r>
      <w:r>
        <w:rPr>
          <w:color w:val="auto"/>
          <w:sz w:val="24"/>
        </w:rPr>
        <w:t>处理达到广东省地方标准《水污染物排放限值》（DB44/26-2001）第二时段三级标准及石角污水处理厂进水标准的较严者后，通过市政管网纳入石角污水处理厂集中处理，尾水排至沙埗溪。本项目运营期生活污水的排放标准如</w:t>
      </w:r>
      <w:r>
        <w:rPr>
          <w:rFonts w:hint="eastAsia"/>
          <w:color w:val="auto"/>
          <w:sz w:val="24"/>
        </w:rPr>
        <w:t>下表</w:t>
      </w:r>
      <w:r>
        <w:rPr>
          <w:color w:val="auto"/>
          <w:sz w:val="24"/>
        </w:rPr>
        <w:t>所示。</w:t>
      </w:r>
    </w:p>
    <w:p>
      <w:pPr>
        <w:widowControl/>
        <w:jc w:val="center"/>
        <w:rPr>
          <w:b/>
          <w:bCs/>
          <w:color w:val="auto"/>
          <w:szCs w:val="28"/>
        </w:rPr>
      </w:pPr>
      <w:r>
        <w:rPr>
          <w:b/>
          <w:bCs/>
          <w:color w:val="auto"/>
          <w:szCs w:val="28"/>
        </w:rPr>
        <w:t>表2.4</w:t>
      </w:r>
      <w:r>
        <w:rPr>
          <w:b/>
          <w:bCs/>
          <w:color w:val="auto"/>
          <w:szCs w:val="28"/>
        </w:rPr>
        <w:noBreakHyphen/>
      </w:r>
      <w:r>
        <w:rPr>
          <w:rFonts w:hint="eastAsia"/>
          <w:b/>
          <w:bCs/>
          <w:color w:val="auto"/>
          <w:szCs w:val="28"/>
          <w:lang w:val="en-US" w:eastAsia="zh-CN"/>
        </w:rPr>
        <w:t>8</w:t>
      </w:r>
      <w:r>
        <w:rPr>
          <w:b/>
          <w:bCs/>
          <w:color w:val="auto"/>
          <w:szCs w:val="28"/>
        </w:rPr>
        <w:t xml:space="preserve">  生活污水污染物排放执行标准（单位：mg/L，pH除外）</w:t>
      </w:r>
    </w:p>
    <w:tbl>
      <w:tblPr>
        <w:tblStyle w:val="2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2121"/>
        <w:gridCol w:w="3491"/>
        <w:gridCol w:w="2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项目</w:t>
            </w:r>
          </w:p>
        </w:tc>
        <w:tc>
          <w:tcPr>
            <w:tcW w:w="2121" w:type="dxa"/>
            <w:vAlign w:val="center"/>
          </w:tcPr>
          <w:p>
            <w:pPr>
              <w:adjustRightInd w:val="0"/>
              <w:snapToGrid w:val="0"/>
              <w:spacing w:line="300" w:lineRule="auto"/>
              <w:jc w:val="center"/>
              <w:rPr>
                <w:b w:val="0"/>
                <w:bCs/>
                <w:color w:val="auto"/>
                <w:szCs w:val="21"/>
              </w:rPr>
            </w:pPr>
            <w:r>
              <w:rPr>
                <w:b w:val="0"/>
                <w:bCs/>
                <w:color w:val="auto"/>
                <w:szCs w:val="21"/>
              </w:rPr>
              <w:t>石角污水处理厂进水标准</w:t>
            </w:r>
          </w:p>
        </w:tc>
        <w:tc>
          <w:tcPr>
            <w:tcW w:w="3491" w:type="dxa"/>
            <w:vAlign w:val="center"/>
          </w:tcPr>
          <w:p>
            <w:pPr>
              <w:adjustRightInd w:val="0"/>
              <w:snapToGrid w:val="0"/>
              <w:spacing w:line="300" w:lineRule="auto"/>
              <w:jc w:val="center"/>
              <w:rPr>
                <w:b w:val="0"/>
                <w:bCs/>
                <w:color w:val="auto"/>
                <w:szCs w:val="21"/>
              </w:rPr>
            </w:pPr>
            <w:r>
              <w:rPr>
                <w:b w:val="0"/>
                <w:bCs/>
                <w:color w:val="auto"/>
                <w:szCs w:val="21"/>
              </w:rPr>
              <w:t>《水污染物排放限值》（DB44/26-2001）第二时段三级标准</w:t>
            </w:r>
          </w:p>
        </w:tc>
        <w:tc>
          <w:tcPr>
            <w:tcW w:w="2269" w:type="dxa"/>
            <w:vAlign w:val="center"/>
          </w:tcPr>
          <w:p>
            <w:pPr>
              <w:adjustRightInd w:val="0"/>
              <w:snapToGrid w:val="0"/>
              <w:spacing w:line="300" w:lineRule="auto"/>
              <w:jc w:val="center"/>
              <w:rPr>
                <w:b w:val="0"/>
                <w:bCs/>
                <w:color w:val="auto"/>
                <w:szCs w:val="21"/>
              </w:rPr>
            </w:pPr>
            <w:r>
              <w:rPr>
                <w:b w:val="0"/>
                <w:bCs/>
                <w:color w:val="auto"/>
                <w:szCs w:val="21"/>
              </w:rPr>
              <w:t>本项目生活污水执行标准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pH</w:t>
            </w:r>
          </w:p>
        </w:tc>
        <w:tc>
          <w:tcPr>
            <w:tcW w:w="2121" w:type="dxa"/>
            <w:vAlign w:val="center"/>
          </w:tcPr>
          <w:p>
            <w:pPr>
              <w:spacing w:line="300" w:lineRule="auto"/>
              <w:jc w:val="center"/>
              <w:rPr>
                <w:b w:val="0"/>
                <w:bCs/>
                <w:color w:val="auto"/>
                <w:szCs w:val="21"/>
              </w:rPr>
            </w:pPr>
            <w:r>
              <w:rPr>
                <w:b w:val="0"/>
                <w:bCs/>
                <w:color w:val="auto"/>
                <w:szCs w:val="21"/>
              </w:rPr>
              <w:t>-</w:t>
            </w:r>
          </w:p>
        </w:tc>
        <w:tc>
          <w:tcPr>
            <w:tcW w:w="3491" w:type="dxa"/>
            <w:vAlign w:val="center"/>
          </w:tcPr>
          <w:p>
            <w:pPr>
              <w:spacing w:line="300" w:lineRule="auto"/>
              <w:jc w:val="center"/>
              <w:rPr>
                <w:b w:val="0"/>
                <w:bCs/>
                <w:color w:val="auto"/>
                <w:szCs w:val="21"/>
              </w:rPr>
            </w:pPr>
            <w:r>
              <w:rPr>
                <w:b w:val="0"/>
                <w:bCs/>
                <w:color w:val="auto"/>
                <w:szCs w:val="21"/>
              </w:rPr>
              <w:t>6-9</w:t>
            </w:r>
          </w:p>
        </w:tc>
        <w:tc>
          <w:tcPr>
            <w:tcW w:w="2269" w:type="dxa"/>
            <w:vAlign w:val="center"/>
          </w:tcPr>
          <w:p>
            <w:pPr>
              <w:spacing w:line="300" w:lineRule="auto"/>
              <w:jc w:val="center"/>
              <w:rPr>
                <w:b w:val="0"/>
                <w:bCs/>
                <w:color w:val="auto"/>
                <w:szCs w:val="21"/>
              </w:rPr>
            </w:pPr>
            <w:r>
              <w:rPr>
                <w:b w:val="0"/>
                <w:bCs/>
                <w:color w:val="auto"/>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COD</w:t>
            </w:r>
          </w:p>
        </w:tc>
        <w:tc>
          <w:tcPr>
            <w:tcW w:w="2121" w:type="dxa"/>
            <w:vAlign w:val="center"/>
          </w:tcPr>
          <w:p>
            <w:pPr>
              <w:spacing w:line="300" w:lineRule="auto"/>
              <w:jc w:val="center"/>
              <w:rPr>
                <w:b w:val="0"/>
                <w:bCs/>
                <w:color w:val="auto"/>
                <w:szCs w:val="21"/>
              </w:rPr>
            </w:pPr>
            <w:r>
              <w:rPr>
                <w:b w:val="0"/>
                <w:bCs/>
                <w:color w:val="auto"/>
                <w:szCs w:val="21"/>
              </w:rPr>
              <w:t>375</w:t>
            </w:r>
          </w:p>
        </w:tc>
        <w:tc>
          <w:tcPr>
            <w:tcW w:w="3491" w:type="dxa"/>
            <w:vAlign w:val="center"/>
          </w:tcPr>
          <w:p>
            <w:pPr>
              <w:spacing w:line="300" w:lineRule="auto"/>
              <w:jc w:val="center"/>
              <w:rPr>
                <w:b w:val="0"/>
                <w:bCs/>
                <w:color w:val="auto"/>
                <w:szCs w:val="21"/>
              </w:rPr>
            </w:pPr>
            <w:r>
              <w:rPr>
                <w:b w:val="0"/>
                <w:bCs/>
                <w:color w:val="auto"/>
                <w:szCs w:val="21"/>
              </w:rPr>
              <w:t>500</w:t>
            </w:r>
          </w:p>
        </w:tc>
        <w:tc>
          <w:tcPr>
            <w:tcW w:w="2269" w:type="dxa"/>
            <w:vAlign w:val="center"/>
          </w:tcPr>
          <w:p>
            <w:pPr>
              <w:spacing w:line="300" w:lineRule="auto"/>
              <w:jc w:val="center"/>
              <w:rPr>
                <w:b w:val="0"/>
                <w:bCs/>
                <w:color w:val="auto"/>
                <w:szCs w:val="21"/>
              </w:rPr>
            </w:pPr>
            <w:r>
              <w:rPr>
                <w:b w:val="0"/>
                <w:bCs/>
                <w:color w:val="auto"/>
                <w:szCs w:val="21"/>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BOD</w:t>
            </w:r>
            <w:r>
              <w:rPr>
                <w:b w:val="0"/>
                <w:bCs/>
                <w:color w:val="auto"/>
                <w:szCs w:val="21"/>
                <w:vertAlign w:val="subscript"/>
              </w:rPr>
              <w:t>5</w:t>
            </w:r>
          </w:p>
        </w:tc>
        <w:tc>
          <w:tcPr>
            <w:tcW w:w="2121" w:type="dxa"/>
            <w:vAlign w:val="center"/>
          </w:tcPr>
          <w:p>
            <w:pPr>
              <w:spacing w:line="300" w:lineRule="auto"/>
              <w:jc w:val="center"/>
              <w:rPr>
                <w:b w:val="0"/>
                <w:bCs/>
                <w:color w:val="auto"/>
                <w:szCs w:val="21"/>
              </w:rPr>
            </w:pPr>
            <w:r>
              <w:rPr>
                <w:b w:val="0"/>
                <w:bCs/>
                <w:color w:val="auto"/>
                <w:szCs w:val="21"/>
              </w:rPr>
              <w:t>196</w:t>
            </w:r>
          </w:p>
        </w:tc>
        <w:tc>
          <w:tcPr>
            <w:tcW w:w="3491" w:type="dxa"/>
            <w:vAlign w:val="center"/>
          </w:tcPr>
          <w:p>
            <w:pPr>
              <w:spacing w:line="300" w:lineRule="auto"/>
              <w:jc w:val="center"/>
              <w:rPr>
                <w:b w:val="0"/>
                <w:bCs/>
                <w:color w:val="auto"/>
                <w:szCs w:val="21"/>
              </w:rPr>
            </w:pPr>
            <w:r>
              <w:rPr>
                <w:b w:val="0"/>
                <w:bCs/>
                <w:color w:val="auto"/>
                <w:szCs w:val="21"/>
              </w:rPr>
              <w:t>300</w:t>
            </w:r>
          </w:p>
        </w:tc>
        <w:tc>
          <w:tcPr>
            <w:tcW w:w="2269" w:type="dxa"/>
            <w:vAlign w:val="center"/>
          </w:tcPr>
          <w:p>
            <w:pPr>
              <w:spacing w:line="300" w:lineRule="auto"/>
              <w:jc w:val="center"/>
              <w:rPr>
                <w:b w:val="0"/>
                <w:bCs/>
                <w:color w:val="auto"/>
                <w:szCs w:val="21"/>
              </w:rPr>
            </w:pPr>
            <w:r>
              <w:rPr>
                <w:b w:val="0"/>
                <w:bCs/>
                <w:color w:val="auto"/>
                <w:szCs w:val="21"/>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悬浮物</w:t>
            </w:r>
          </w:p>
        </w:tc>
        <w:tc>
          <w:tcPr>
            <w:tcW w:w="2121" w:type="dxa"/>
            <w:vAlign w:val="center"/>
          </w:tcPr>
          <w:p>
            <w:pPr>
              <w:spacing w:line="300" w:lineRule="auto"/>
              <w:jc w:val="center"/>
              <w:rPr>
                <w:b w:val="0"/>
                <w:bCs/>
                <w:color w:val="auto"/>
                <w:szCs w:val="21"/>
              </w:rPr>
            </w:pPr>
            <w:r>
              <w:rPr>
                <w:b w:val="0"/>
                <w:bCs/>
                <w:color w:val="auto"/>
                <w:szCs w:val="21"/>
              </w:rPr>
              <w:t>-</w:t>
            </w:r>
          </w:p>
        </w:tc>
        <w:tc>
          <w:tcPr>
            <w:tcW w:w="3491" w:type="dxa"/>
            <w:vAlign w:val="center"/>
          </w:tcPr>
          <w:p>
            <w:pPr>
              <w:spacing w:line="300" w:lineRule="auto"/>
              <w:jc w:val="center"/>
              <w:rPr>
                <w:b w:val="0"/>
                <w:bCs/>
                <w:color w:val="auto"/>
                <w:szCs w:val="21"/>
              </w:rPr>
            </w:pPr>
            <w:r>
              <w:rPr>
                <w:b w:val="0"/>
                <w:bCs/>
                <w:color w:val="auto"/>
                <w:szCs w:val="21"/>
              </w:rPr>
              <w:t>400</w:t>
            </w:r>
          </w:p>
        </w:tc>
        <w:tc>
          <w:tcPr>
            <w:tcW w:w="2269" w:type="dxa"/>
            <w:vAlign w:val="center"/>
          </w:tcPr>
          <w:p>
            <w:pPr>
              <w:spacing w:line="300" w:lineRule="auto"/>
              <w:jc w:val="center"/>
              <w:rPr>
                <w:b w:val="0"/>
                <w:bCs/>
                <w:color w:val="auto"/>
                <w:szCs w:val="21"/>
              </w:rPr>
            </w:pPr>
            <w:r>
              <w:rPr>
                <w:b w:val="0"/>
                <w:bCs/>
                <w:color w:val="auto"/>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氨氮</w:t>
            </w:r>
          </w:p>
        </w:tc>
        <w:tc>
          <w:tcPr>
            <w:tcW w:w="2121" w:type="dxa"/>
            <w:vAlign w:val="center"/>
          </w:tcPr>
          <w:p>
            <w:pPr>
              <w:spacing w:line="300" w:lineRule="auto"/>
              <w:jc w:val="center"/>
              <w:rPr>
                <w:b w:val="0"/>
                <w:bCs/>
                <w:color w:val="auto"/>
                <w:szCs w:val="21"/>
              </w:rPr>
            </w:pPr>
            <w:r>
              <w:rPr>
                <w:b w:val="0"/>
                <w:bCs/>
                <w:color w:val="auto"/>
                <w:szCs w:val="21"/>
              </w:rPr>
              <w:t>41</w:t>
            </w:r>
          </w:p>
        </w:tc>
        <w:tc>
          <w:tcPr>
            <w:tcW w:w="3491" w:type="dxa"/>
            <w:vAlign w:val="center"/>
          </w:tcPr>
          <w:p>
            <w:pPr>
              <w:spacing w:line="300" w:lineRule="auto"/>
              <w:jc w:val="center"/>
              <w:rPr>
                <w:b w:val="0"/>
                <w:bCs/>
                <w:color w:val="auto"/>
                <w:szCs w:val="21"/>
              </w:rPr>
            </w:pPr>
            <w:r>
              <w:rPr>
                <w:b w:val="0"/>
                <w:bCs/>
                <w:color w:val="auto"/>
                <w:szCs w:val="21"/>
              </w:rPr>
              <w:t>-</w:t>
            </w:r>
          </w:p>
        </w:tc>
        <w:tc>
          <w:tcPr>
            <w:tcW w:w="2269" w:type="dxa"/>
            <w:vAlign w:val="center"/>
          </w:tcPr>
          <w:p>
            <w:pPr>
              <w:spacing w:line="300" w:lineRule="auto"/>
              <w:jc w:val="center"/>
              <w:rPr>
                <w:b w:val="0"/>
                <w:bCs/>
                <w:color w:val="auto"/>
                <w:szCs w:val="21"/>
              </w:rPr>
            </w:pPr>
            <w:r>
              <w:rPr>
                <w:b w:val="0"/>
                <w:bCs/>
                <w:color w:val="auto"/>
                <w:szCs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动植物油</w:t>
            </w:r>
          </w:p>
        </w:tc>
        <w:tc>
          <w:tcPr>
            <w:tcW w:w="2121" w:type="dxa"/>
            <w:vAlign w:val="center"/>
          </w:tcPr>
          <w:p>
            <w:pPr>
              <w:spacing w:line="300" w:lineRule="auto"/>
              <w:jc w:val="center"/>
              <w:rPr>
                <w:b w:val="0"/>
                <w:bCs/>
                <w:color w:val="auto"/>
                <w:szCs w:val="21"/>
              </w:rPr>
            </w:pPr>
            <w:r>
              <w:rPr>
                <w:b w:val="0"/>
                <w:bCs/>
                <w:color w:val="auto"/>
                <w:szCs w:val="21"/>
              </w:rPr>
              <w:t>-</w:t>
            </w:r>
          </w:p>
        </w:tc>
        <w:tc>
          <w:tcPr>
            <w:tcW w:w="3491" w:type="dxa"/>
            <w:vAlign w:val="center"/>
          </w:tcPr>
          <w:p>
            <w:pPr>
              <w:spacing w:line="300" w:lineRule="auto"/>
              <w:jc w:val="center"/>
              <w:rPr>
                <w:b w:val="0"/>
                <w:bCs/>
                <w:color w:val="auto"/>
                <w:szCs w:val="21"/>
              </w:rPr>
            </w:pPr>
            <w:r>
              <w:rPr>
                <w:b w:val="0"/>
                <w:bCs/>
                <w:color w:val="auto"/>
                <w:szCs w:val="21"/>
              </w:rPr>
              <w:t>100</w:t>
            </w:r>
          </w:p>
        </w:tc>
        <w:tc>
          <w:tcPr>
            <w:tcW w:w="2269" w:type="dxa"/>
            <w:vAlign w:val="center"/>
          </w:tcPr>
          <w:p>
            <w:pPr>
              <w:spacing w:line="300" w:lineRule="auto"/>
              <w:jc w:val="center"/>
              <w:rPr>
                <w:rFonts w:hint="eastAsia" w:eastAsia="宋体"/>
                <w:b w:val="0"/>
                <w:bCs/>
                <w:color w:val="auto"/>
                <w:szCs w:val="21"/>
                <w:lang w:eastAsia="zh-CN"/>
              </w:rPr>
            </w:pPr>
            <w:r>
              <w:rPr>
                <w:rFonts w:hint="eastAsia"/>
                <w:b w:val="0"/>
                <w:bCs/>
                <w:color w:val="auto"/>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9" w:type="dxa"/>
            <w:vAlign w:val="center"/>
          </w:tcPr>
          <w:p>
            <w:pPr>
              <w:adjustRightInd w:val="0"/>
              <w:snapToGrid w:val="0"/>
              <w:spacing w:line="300" w:lineRule="auto"/>
              <w:jc w:val="center"/>
              <w:rPr>
                <w:b w:val="0"/>
                <w:bCs/>
                <w:color w:val="auto"/>
                <w:szCs w:val="21"/>
              </w:rPr>
            </w:pPr>
            <w:r>
              <w:rPr>
                <w:b w:val="0"/>
                <w:bCs/>
                <w:color w:val="auto"/>
                <w:szCs w:val="21"/>
              </w:rPr>
              <w:t>总磷</w:t>
            </w:r>
          </w:p>
        </w:tc>
        <w:tc>
          <w:tcPr>
            <w:tcW w:w="2121" w:type="dxa"/>
            <w:vAlign w:val="center"/>
          </w:tcPr>
          <w:p>
            <w:pPr>
              <w:spacing w:line="300" w:lineRule="auto"/>
              <w:jc w:val="center"/>
              <w:rPr>
                <w:b w:val="0"/>
                <w:bCs/>
                <w:color w:val="auto"/>
                <w:szCs w:val="21"/>
              </w:rPr>
            </w:pPr>
            <w:r>
              <w:rPr>
                <w:b w:val="0"/>
                <w:bCs/>
                <w:color w:val="auto"/>
                <w:szCs w:val="21"/>
              </w:rPr>
              <w:t>5</w:t>
            </w:r>
          </w:p>
        </w:tc>
        <w:tc>
          <w:tcPr>
            <w:tcW w:w="3491" w:type="dxa"/>
            <w:vAlign w:val="center"/>
          </w:tcPr>
          <w:p>
            <w:pPr>
              <w:spacing w:line="300" w:lineRule="auto"/>
              <w:jc w:val="center"/>
              <w:rPr>
                <w:b w:val="0"/>
                <w:bCs/>
                <w:color w:val="auto"/>
                <w:szCs w:val="21"/>
              </w:rPr>
            </w:pPr>
            <w:r>
              <w:rPr>
                <w:b w:val="0"/>
                <w:bCs/>
                <w:color w:val="auto"/>
                <w:szCs w:val="21"/>
              </w:rPr>
              <w:t>-</w:t>
            </w:r>
          </w:p>
        </w:tc>
        <w:tc>
          <w:tcPr>
            <w:tcW w:w="2269" w:type="dxa"/>
            <w:vAlign w:val="center"/>
          </w:tcPr>
          <w:p>
            <w:pPr>
              <w:spacing w:line="300" w:lineRule="auto"/>
              <w:jc w:val="center"/>
              <w:rPr>
                <w:b w:val="0"/>
                <w:bCs/>
                <w:color w:val="auto"/>
                <w:szCs w:val="21"/>
              </w:rPr>
            </w:pPr>
            <w:r>
              <w:rPr>
                <w:b w:val="0"/>
                <w:bCs/>
                <w:color w:val="auto"/>
                <w:szCs w:val="21"/>
              </w:rPr>
              <w:t>5</w:t>
            </w:r>
          </w:p>
        </w:tc>
      </w:tr>
    </w:tbl>
    <w:p>
      <w:pPr>
        <w:spacing w:before="159" w:beforeLines="50" w:line="360" w:lineRule="auto"/>
        <w:ind w:firstLine="472" w:firstLineChars="196"/>
        <w:rPr>
          <w:b/>
          <w:color w:val="auto"/>
          <w:sz w:val="24"/>
          <w:szCs w:val="20"/>
        </w:rPr>
      </w:pPr>
      <w:r>
        <w:rPr>
          <w:b/>
          <w:color w:val="auto"/>
          <w:sz w:val="24"/>
          <w:szCs w:val="20"/>
        </w:rPr>
        <w:t>2、大气污染物排放标准</w:t>
      </w:r>
      <w:bookmarkEnd w:id="120"/>
      <w:bookmarkStart w:id="121" w:name="_Toc248221426"/>
    </w:p>
    <w:p>
      <w:pPr>
        <w:spacing w:before="159" w:beforeLines="50" w:line="360" w:lineRule="auto"/>
        <w:ind w:firstLine="470" w:firstLineChars="196"/>
        <w:rPr>
          <w:color w:val="auto"/>
          <w:sz w:val="24"/>
        </w:rPr>
      </w:pPr>
      <w:r>
        <w:rPr>
          <w:rFonts w:hint="eastAsia"/>
          <w:color w:val="auto"/>
          <w:sz w:val="24"/>
        </w:rPr>
        <w:t>（1）</w:t>
      </w:r>
      <w:r>
        <w:rPr>
          <w:color w:val="auto"/>
          <w:sz w:val="24"/>
        </w:rPr>
        <w:t>项目生产过程中产生的废气主要</w:t>
      </w:r>
      <w:r>
        <w:rPr>
          <w:rFonts w:hint="eastAsia"/>
          <w:color w:val="auto"/>
          <w:sz w:val="24"/>
        </w:rPr>
        <w:t>包括湿式破碎生产线产生的粉尘废气（颗粒物）、卷材生产线产生的废气（颗粒物、苯并[a]芘、</w:t>
      </w:r>
      <w:r>
        <w:rPr>
          <w:color w:val="auto"/>
          <w:sz w:val="24"/>
        </w:rPr>
        <w:t>沥青烟</w:t>
      </w:r>
      <w:r>
        <w:rPr>
          <w:rFonts w:hint="eastAsia"/>
          <w:color w:val="auto"/>
          <w:sz w:val="24"/>
        </w:rPr>
        <w:t>、</w:t>
      </w:r>
      <w:r>
        <w:rPr>
          <w:color w:val="auto"/>
          <w:sz w:val="24"/>
        </w:rPr>
        <w:t>非甲烷总烃</w:t>
      </w:r>
      <w:r>
        <w:rPr>
          <w:rFonts w:hint="eastAsia"/>
          <w:color w:val="auto"/>
          <w:sz w:val="24"/>
        </w:rPr>
        <w:t>）和铲车尾气（</w:t>
      </w:r>
      <w:r>
        <w:rPr>
          <w:bCs/>
          <w:color w:val="auto"/>
          <w:sz w:val="24"/>
        </w:rPr>
        <w:t>氮氧化物</w:t>
      </w:r>
      <w:r>
        <w:rPr>
          <w:rStyle w:val="59"/>
          <w:color w:val="auto"/>
          <w:sz w:val="24"/>
          <w:szCs w:val="24"/>
          <w:lang w:bidi="ar"/>
        </w:rPr>
        <w:t>、</w:t>
      </w:r>
      <w:r>
        <w:rPr>
          <w:rFonts w:hint="eastAsia"/>
          <w:color w:val="auto"/>
          <w:kern w:val="0"/>
          <w:sz w:val="24"/>
          <w:lang w:bidi="ar"/>
        </w:rPr>
        <w:t>一氧化碳</w:t>
      </w:r>
      <w:r>
        <w:rPr>
          <w:color w:val="auto"/>
          <w:kern w:val="0"/>
          <w:sz w:val="24"/>
          <w:lang w:bidi="ar"/>
        </w:rPr>
        <w:t>、</w:t>
      </w:r>
      <w:r>
        <w:rPr>
          <w:rFonts w:hint="eastAsia"/>
          <w:bCs/>
          <w:color w:val="auto"/>
          <w:sz w:val="24"/>
        </w:rPr>
        <w:t>碳氢化合物</w:t>
      </w:r>
      <w:r>
        <w:rPr>
          <w:rFonts w:hint="eastAsia"/>
          <w:color w:val="auto"/>
          <w:sz w:val="24"/>
        </w:rPr>
        <w:t>）</w:t>
      </w:r>
      <w:r>
        <w:rPr>
          <w:color w:val="auto"/>
          <w:sz w:val="24"/>
        </w:rPr>
        <w:t>执行广东省《大气污染物排放限值》（DB44/27-2001）中</w:t>
      </w:r>
      <w:r>
        <w:rPr>
          <w:rFonts w:hint="eastAsia"/>
          <w:color w:val="auto"/>
          <w:sz w:val="24"/>
        </w:rPr>
        <w:t>第二时段二级标准和无组织排放监控浓度限值，具体如下表</w:t>
      </w:r>
      <w:r>
        <w:rPr>
          <w:color w:val="auto"/>
          <w:sz w:val="24"/>
        </w:rPr>
        <w:t>。</w:t>
      </w:r>
    </w:p>
    <w:p>
      <w:pPr>
        <w:pStyle w:val="34"/>
        <w:snapToGrid w:val="0"/>
        <w:spacing w:before="159" w:beforeLines="50" w:line="240" w:lineRule="auto"/>
        <w:rPr>
          <w:rFonts w:ascii="Times New Roman" w:hAnsi="Times New Roman"/>
          <w:b/>
          <w:bCs/>
          <w:color w:val="auto"/>
          <w:kern w:val="2"/>
          <w:sz w:val="21"/>
          <w:szCs w:val="28"/>
        </w:rPr>
      </w:pPr>
      <w:r>
        <w:rPr>
          <w:rFonts w:ascii="Times New Roman" w:hAnsi="Times New Roman"/>
          <w:b/>
          <w:bCs/>
          <w:color w:val="auto"/>
          <w:kern w:val="2"/>
          <w:sz w:val="21"/>
          <w:szCs w:val="28"/>
        </w:rPr>
        <w:t>表2.</w:t>
      </w:r>
      <w:r>
        <w:rPr>
          <w:rFonts w:hint="eastAsia" w:ascii="Times New Roman" w:hAnsi="Times New Roman"/>
          <w:b/>
          <w:bCs/>
          <w:color w:val="auto"/>
          <w:kern w:val="2"/>
          <w:sz w:val="21"/>
          <w:szCs w:val="28"/>
        </w:rPr>
        <w:t>4</w:t>
      </w:r>
      <w:r>
        <w:rPr>
          <w:rFonts w:ascii="Times New Roman" w:hAnsi="Times New Roman"/>
          <w:b/>
          <w:bCs/>
          <w:color w:val="auto"/>
          <w:kern w:val="2"/>
          <w:sz w:val="21"/>
          <w:szCs w:val="28"/>
        </w:rPr>
        <w:t>-</w:t>
      </w:r>
      <w:r>
        <w:rPr>
          <w:rFonts w:hint="eastAsia" w:ascii="Times New Roman" w:hAnsi="Times New Roman"/>
          <w:b/>
          <w:bCs/>
          <w:color w:val="auto"/>
          <w:kern w:val="2"/>
          <w:sz w:val="21"/>
          <w:szCs w:val="28"/>
          <w:lang w:val="en-US" w:eastAsia="zh-CN"/>
        </w:rPr>
        <w:t>9</w:t>
      </w:r>
      <w:r>
        <w:rPr>
          <w:rFonts w:ascii="Times New Roman" w:hAnsi="Times New Roman"/>
          <w:b/>
          <w:bCs/>
          <w:color w:val="auto"/>
          <w:kern w:val="2"/>
          <w:sz w:val="21"/>
          <w:szCs w:val="28"/>
        </w:rPr>
        <w:t xml:space="preserve">  运营期大气污染物排放执行标准</w:t>
      </w:r>
    </w:p>
    <w:tbl>
      <w:tblPr>
        <w:tblStyle w:val="2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584"/>
        <w:gridCol w:w="1608"/>
        <w:gridCol w:w="1508"/>
        <w:gridCol w:w="1227"/>
        <w:gridCol w:w="2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vMerge w:val="restart"/>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序号</w:t>
            </w:r>
          </w:p>
        </w:tc>
        <w:tc>
          <w:tcPr>
            <w:tcW w:w="1584" w:type="dxa"/>
            <w:vMerge w:val="restart"/>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污染物</w:t>
            </w:r>
          </w:p>
        </w:tc>
        <w:tc>
          <w:tcPr>
            <w:tcW w:w="1608" w:type="dxa"/>
            <w:vMerge w:val="restart"/>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最高允许排放浓度（mg/m³）</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最高允许排放速率（kg/h）</w:t>
            </w:r>
          </w:p>
        </w:tc>
        <w:tc>
          <w:tcPr>
            <w:tcW w:w="3825" w:type="dxa"/>
            <w:gridSpan w:val="2"/>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1584"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1608"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u w:val="single"/>
              </w:rPr>
            </w:pPr>
            <w:r>
              <w:rPr>
                <w:bCs/>
                <w:color w:val="auto"/>
                <w:kern w:val="2"/>
                <w:sz w:val="21"/>
                <w:szCs w:val="21"/>
              </w:rPr>
              <w:t>H=15m*</w:t>
            </w:r>
          </w:p>
        </w:tc>
        <w:tc>
          <w:tcPr>
            <w:tcW w:w="1227"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监控点</w:t>
            </w: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1</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颗粒物</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120</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1.45</w:t>
            </w:r>
          </w:p>
        </w:tc>
        <w:tc>
          <w:tcPr>
            <w:tcW w:w="1227" w:type="dxa"/>
            <w:vMerge w:val="restart"/>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周界外浓</w:t>
            </w:r>
          </w:p>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度最高点</w:t>
            </w: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2</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苯并[a]芘</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0.0003</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0.00002</w:t>
            </w:r>
          </w:p>
        </w:tc>
        <w:tc>
          <w:tcPr>
            <w:tcW w:w="1227"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0.008（μg/m³）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3</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沥青烟</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30</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0.075</w:t>
            </w:r>
          </w:p>
        </w:tc>
        <w:tc>
          <w:tcPr>
            <w:tcW w:w="1227"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生产设备不得有明显无组织排放存在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4</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非甲烷总烃</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120</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2.1</w:t>
            </w:r>
          </w:p>
        </w:tc>
        <w:tc>
          <w:tcPr>
            <w:tcW w:w="1227"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5</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氮氧化物</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w:t>
            </w:r>
          </w:p>
        </w:tc>
        <w:tc>
          <w:tcPr>
            <w:tcW w:w="1227"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6</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sz w:val="21"/>
                <w:szCs w:val="21"/>
                <w:lang w:bidi="ar"/>
              </w:rPr>
              <w:t>一氧化碳</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kern w:val="2"/>
                <w:sz w:val="21"/>
                <w:szCs w:val="21"/>
              </w:rPr>
              <w:t>/</w:t>
            </w:r>
          </w:p>
        </w:tc>
        <w:tc>
          <w:tcPr>
            <w:tcW w:w="1227" w:type="dxa"/>
            <w:vMerge w:val="continue"/>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bCs/>
                <w:color w:val="auto"/>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5"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7</w:t>
            </w:r>
          </w:p>
        </w:tc>
        <w:tc>
          <w:tcPr>
            <w:tcW w:w="1584"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碳氢化合物</w:t>
            </w:r>
          </w:p>
        </w:tc>
        <w:tc>
          <w:tcPr>
            <w:tcW w:w="16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c>
          <w:tcPr>
            <w:tcW w:w="150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c>
          <w:tcPr>
            <w:tcW w:w="1227"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c>
          <w:tcPr>
            <w:tcW w:w="2598" w:type="dxa"/>
            <w:shd w:val="clear" w:color="auto" w:fill="auto"/>
            <w:vAlign w:val="center"/>
          </w:tcPr>
          <w:p>
            <w:pPr>
              <w:pStyle w:val="6"/>
              <w:tabs>
                <w:tab w:val="left" w:pos="425"/>
                <w:tab w:val="left" w:pos="850"/>
                <w:tab w:val="left" w:pos="1275"/>
                <w:tab w:val="left" w:pos="1700"/>
                <w:tab w:val="left" w:pos="2125"/>
                <w:tab w:val="left" w:pos="2550"/>
                <w:tab w:val="left" w:pos="5085"/>
              </w:tabs>
              <w:adjustRightInd w:val="0"/>
              <w:spacing w:line="300" w:lineRule="auto"/>
              <w:jc w:val="center"/>
              <w:textAlignment w:val="baseline"/>
              <w:rPr>
                <w:bCs/>
                <w:color w:val="auto"/>
                <w:kern w:val="2"/>
                <w:sz w:val="21"/>
                <w:szCs w:val="21"/>
              </w:rPr>
            </w:pPr>
            <w:r>
              <w:rPr>
                <w:rFonts w:hint="eastAsia"/>
                <w:bCs/>
                <w:color w:val="auto"/>
                <w:kern w:val="2"/>
                <w:sz w:val="21"/>
                <w:szCs w:val="21"/>
              </w:rPr>
              <w:t>/</w:t>
            </w:r>
          </w:p>
        </w:tc>
      </w:tr>
    </w:tbl>
    <w:p>
      <w:pPr>
        <w:adjustRightInd w:val="0"/>
        <w:snapToGrid w:val="0"/>
        <w:spacing w:line="360" w:lineRule="auto"/>
        <w:ind w:left="840" w:hanging="840" w:hangingChars="400"/>
        <w:rPr>
          <w:color w:val="auto"/>
          <w:szCs w:val="21"/>
        </w:rPr>
      </w:pPr>
      <w:r>
        <w:rPr>
          <w:color w:val="auto"/>
          <w:szCs w:val="21"/>
        </w:rPr>
        <w:t>备注：</w:t>
      </w:r>
      <w:r>
        <w:rPr>
          <w:rFonts w:hint="eastAsia"/>
          <w:color w:val="auto"/>
          <w:szCs w:val="21"/>
        </w:rPr>
        <w:t>①</w:t>
      </w:r>
      <w:r>
        <w:rPr>
          <w:color w:val="auto"/>
          <w:szCs w:val="21"/>
        </w:rPr>
        <w:t>*本项目排气筒</w:t>
      </w:r>
      <w:r>
        <w:rPr>
          <w:rFonts w:hint="eastAsia"/>
          <w:color w:val="auto"/>
          <w:szCs w:val="21"/>
        </w:rPr>
        <w:t>未能</w:t>
      </w:r>
      <w:r>
        <w:rPr>
          <w:color w:val="auto"/>
          <w:szCs w:val="21"/>
        </w:rPr>
        <w:t>高于周边200m范围内最高的建筑物5m以上</w:t>
      </w:r>
      <w:r>
        <w:rPr>
          <w:rFonts w:hint="eastAsia"/>
          <w:color w:val="auto"/>
          <w:szCs w:val="21"/>
        </w:rPr>
        <w:t>，</w:t>
      </w:r>
      <w:r>
        <w:rPr>
          <w:color w:val="auto"/>
          <w:szCs w:val="21"/>
        </w:rPr>
        <w:t>故排放速率</w:t>
      </w:r>
      <w:r>
        <w:rPr>
          <w:rFonts w:hint="eastAsia"/>
          <w:color w:val="auto"/>
          <w:szCs w:val="21"/>
        </w:rPr>
        <w:t>按排气筒高度对应的排放速率的50%</w:t>
      </w:r>
      <w:r>
        <w:rPr>
          <w:color w:val="auto"/>
          <w:szCs w:val="21"/>
        </w:rPr>
        <w:t>执行。</w:t>
      </w:r>
    </w:p>
    <w:p>
      <w:pPr>
        <w:snapToGrid w:val="0"/>
        <w:spacing w:line="360" w:lineRule="auto"/>
        <w:rPr>
          <w:color w:val="auto"/>
          <w:szCs w:val="21"/>
        </w:rPr>
      </w:pPr>
      <w:r>
        <w:rPr>
          <w:rFonts w:hint="eastAsia"/>
          <w:color w:val="auto"/>
          <w:szCs w:val="21"/>
        </w:rPr>
        <w:t xml:space="preserve">      ②铲车尾气（</w:t>
      </w:r>
      <w:r>
        <w:rPr>
          <w:bCs/>
          <w:color w:val="auto"/>
          <w:szCs w:val="21"/>
        </w:rPr>
        <w:t>氮氧化物</w:t>
      </w:r>
      <w:r>
        <w:rPr>
          <w:rStyle w:val="59"/>
          <w:color w:val="auto"/>
          <w:lang w:bidi="ar"/>
        </w:rPr>
        <w:t>、</w:t>
      </w:r>
      <w:r>
        <w:rPr>
          <w:rFonts w:hint="eastAsia"/>
          <w:color w:val="auto"/>
          <w:kern w:val="0"/>
          <w:szCs w:val="21"/>
          <w:lang w:bidi="ar"/>
        </w:rPr>
        <w:t>一氧化碳</w:t>
      </w:r>
      <w:r>
        <w:rPr>
          <w:color w:val="auto"/>
          <w:kern w:val="0"/>
          <w:szCs w:val="21"/>
          <w:lang w:bidi="ar"/>
        </w:rPr>
        <w:t>、</w:t>
      </w:r>
      <w:r>
        <w:rPr>
          <w:rFonts w:hint="eastAsia"/>
          <w:bCs/>
          <w:color w:val="auto"/>
          <w:szCs w:val="21"/>
        </w:rPr>
        <w:t>碳氢化合物</w:t>
      </w:r>
      <w:r>
        <w:rPr>
          <w:rFonts w:hint="eastAsia"/>
          <w:color w:val="auto"/>
          <w:szCs w:val="21"/>
        </w:rPr>
        <w:t>）均以无组织形式排放。</w:t>
      </w:r>
    </w:p>
    <w:p>
      <w:pPr>
        <w:snapToGrid w:val="0"/>
        <w:spacing w:line="360" w:lineRule="auto"/>
        <w:ind w:firstLine="480" w:firstLineChars="200"/>
        <w:rPr>
          <w:color w:val="auto"/>
          <w:sz w:val="24"/>
        </w:rPr>
      </w:pPr>
      <w:r>
        <w:rPr>
          <w:rFonts w:hint="eastAsia"/>
          <w:color w:val="auto"/>
          <w:sz w:val="24"/>
        </w:rPr>
        <w:t>（2）</w:t>
      </w:r>
      <w:r>
        <w:rPr>
          <w:color w:val="auto"/>
          <w:sz w:val="24"/>
        </w:rPr>
        <w:t>项目</w:t>
      </w:r>
      <w:r>
        <w:rPr>
          <w:rFonts w:hint="eastAsia"/>
          <w:color w:val="auto"/>
          <w:sz w:val="24"/>
          <w:lang w:eastAsia="zh-CN"/>
        </w:rPr>
        <w:t>导热油炉</w:t>
      </w:r>
      <w:r>
        <w:rPr>
          <w:color w:val="auto"/>
          <w:sz w:val="24"/>
        </w:rPr>
        <w:t>燃烧</w:t>
      </w:r>
      <w:r>
        <w:rPr>
          <w:rFonts w:hint="eastAsia"/>
          <w:color w:val="auto"/>
          <w:sz w:val="24"/>
        </w:rPr>
        <w:t>废</w:t>
      </w:r>
      <w:r>
        <w:rPr>
          <w:color w:val="auto"/>
          <w:sz w:val="24"/>
        </w:rPr>
        <w:t>气</w:t>
      </w:r>
      <w:r>
        <w:rPr>
          <w:rFonts w:hint="eastAsia"/>
          <w:color w:val="auto"/>
          <w:sz w:val="24"/>
        </w:rPr>
        <w:t>（</w:t>
      </w:r>
      <w:r>
        <w:rPr>
          <w:rFonts w:hint="eastAsia"/>
          <w:color w:val="auto"/>
          <w:sz w:val="24"/>
          <w:lang w:eastAsia="zh-CN"/>
        </w:rPr>
        <w:t>颗粒物</w:t>
      </w:r>
      <w:r>
        <w:rPr>
          <w:rFonts w:hint="eastAsia"/>
          <w:color w:val="auto"/>
          <w:sz w:val="24"/>
        </w:rPr>
        <w:t>、</w:t>
      </w:r>
      <w:r>
        <w:rPr>
          <w:color w:val="auto"/>
          <w:sz w:val="24"/>
        </w:rPr>
        <w:t>二氧化硫、氮氧化物</w:t>
      </w:r>
      <w:r>
        <w:rPr>
          <w:rFonts w:hint="eastAsia"/>
          <w:color w:val="auto"/>
          <w:sz w:val="24"/>
        </w:rPr>
        <w:t>、烟气黑度）</w:t>
      </w:r>
      <w:r>
        <w:rPr>
          <w:color w:val="auto"/>
          <w:sz w:val="24"/>
        </w:rPr>
        <w:t>执行广东省《锅炉大气污染物排放标准》（DB 44/765-2019）中新建锅炉大气污染物排放浓度限值</w:t>
      </w:r>
      <w:r>
        <w:rPr>
          <w:rFonts w:hint="eastAsia"/>
          <w:color w:val="auto"/>
          <w:sz w:val="24"/>
        </w:rPr>
        <w:t>，具体如下表</w:t>
      </w:r>
      <w:r>
        <w:rPr>
          <w:color w:val="auto"/>
          <w:sz w:val="24"/>
        </w:rPr>
        <w:t>。</w:t>
      </w:r>
    </w:p>
    <w:p>
      <w:pPr>
        <w:widowControl/>
        <w:jc w:val="center"/>
        <w:rPr>
          <w:b/>
          <w:bCs/>
          <w:color w:val="auto"/>
          <w:szCs w:val="28"/>
        </w:rPr>
      </w:pPr>
      <w:r>
        <w:rPr>
          <w:b/>
          <w:bCs/>
          <w:color w:val="auto"/>
          <w:szCs w:val="28"/>
        </w:rPr>
        <w:t>表2.</w:t>
      </w:r>
      <w:r>
        <w:rPr>
          <w:rFonts w:hint="eastAsia"/>
          <w:b/>
          <w:bCs/>
          <w:color w:val="auto"/>
          <w:szCs w:val="28"/>
        </w:rPr>
        <w:t>4</w:t>
      </w:r>
      <w:r>
        <w:rPr>
          <w:b/>
          <w:bCs/>
          <w:color w:val="auto"/>
          <w:szCs w:val="28"/>
        </w:rPr>
        <w:t>-</w:t>
      </w:r>
      <w:r>
        <w:rPr>
          <w:rFonts w:hint="eastAsia"/>
          <w:b/>
          <w:bCs/>
          <w:color w:val="auto"/>
          <w:szCs w:val="28"/>
          <w:lang w:val="en-US" w:eastAsia="zh-CN"/>
        </w:rPr>
        <w:t>10</w:t>
      </w:r>
      <w:r>
        <w:rPr>
          <w:rFonts w:hint="eastAsia"/>
          <w:b/>
          <w:bCs/>
          <w:color w:val="auto"/>
          <w:szCs w:val="28"/>
        </w:rPr>
        <w:t xml:space="preserve">  导热油炉</w:t>
      </w:r>
      <w:r>
        <w:rPr>
          <w:b/>
          <w:bCs/>
          <w:color w:val="auto"/>
          <w:szCs w:val="28"/>
        </w:rPr>
        <w:t>大气污染物排放限值（DB 44/765-2019）</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71"/>
        <w:gridCol w:w="5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71" w:type="dxa"/>
            <w:vAlign w:val="center"/>
          </w:tcPr>
          <w:p>
            <w:pPr>
              <w:spacing w:line="300" w:lineRule="auto"/>
              <w:jc w:val="center"/>
              <w:rPr>
                <w:b w:val="0"/>
                <w:bCs w:val="0"/>
                <w:color w:val="auto"/>
                <w:szCs w:val="21"/>
              </w:rPr>
            </w:pPr>
            <w:r>
              <w:rPr>
                <w:b w:val="0"/>
                <w:bCs w:val="0"/>
                <w:color w:val="auto"/>
                <w:szCs w:val="21"/>
              </w:rPr>
              <w:t>污染物</w:t>
            </w:r>
          </w:p>
        </w:tc>
        <w:tc>
          <w:tcPr>
            <w:tcW w:w="5077" w:type="dxa"/>
            <w:vAlign w:val="center"/>
          </w:tcPr>
          <w:p>
            <w:pPr>
              <w:spacing w:line="300" w:lineRule="auto"/>
              <w:jc w:val="center"/>
              <w:rPr>
                <w:b w:val="0"/>
                <w:bCs w:val="0"/>
                <w:color w:val="auto"/>
                <w:szCs w:val="21"/>
              </w:rPr>
            </w:pPr>
            <w:r>
              <w:rPr>
                <w:b w:val="0"/>
                <w:bCs w:val="0"/>
                <w:color w:val="auto"/>
                <w:szCs w:val="21"/>
              </w:rPr>
              <w:t>最高</w:t>
            </w:r>
            <w:r>
              <w:rPr>
                <w:b w:val="0"/>
                <w:bCs w:val="0"/>
                <w:color w:val="auto"/>
                <w:kern w:val="0"/>
                <w:szCs w:val="21"/>
              </w:rPr>
              <w:t>允许排放浓度（</w:t>
            </w:r>
            <w:r>
              <w:rPr>
                <w:b w:val="0"/>
                <w:bCs w:val="0"/>
                <w:color w:val="auto"/>
                <w:szCs w:val="21"/>
              </w:rPr>
              <w:t>mg/m</w:t>
            </w:r>
            <w:r>
              <w:rPr>
                <w:b w:val="0"/>
                <w:bCs w:val="0"/>
                <w:color w:val="auto"/>
                <w:szCs w:val="21"/>
                <w:vertAlign w:val="superscript"/>
              </w:rPr>
              <w:t>3</w:t>
            </w:r>
            <w:r>
              <w:rPr>
                <w:b w:val="0"/>
                <w:bCs w:val="0"/>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71" w:type="dxa"/>
            <w:vAlign w:val="center"/>
          </w:tcPr>
          <w:p>
            <w:pPr>
              <w:spacing w:line="300" w:lineRule="auto"/>
              <w:jc w:val="center"/>
              <w:rPr>
                <w:color w:val="auto"/>
                <w:szCs w:val="21"/>
              </w:rPr>
            </w:pPr>
            <w:r>
              <w:rPr>
                <w:color w:val="auto"/>
                <w:szCs w:val="21"/>
              </w:rPr>
              <w:t>颗粒物</w:t>
            </w:r>
          </w:p>
        </w:tc>
        <w:tc>
          <w:tcPr>
            <w:tcW w:w="5077" w:type="dxa"/>
            <w:vAlign w:val="center"/>
          </w:tcPr>
          <w:p>
            <w:pPr>
              <w:spacing w:line="300" w:lineRule="auto"/>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71" w:type="dxa"/>
            <w:vAlign w:val="center"/>
          </w:tcPr>
          <w:p>
            <w:pPr>
              <w:spacing w:line="300" w:lineRule="auto"/>
              <w:jc w:val="center"/>
              <w:rPr>
                <w:color w:val="auto"/>
                <w:szCs w:val="21"/>
              </w:rPr>
            </w:pPr>
            <w:r>
              <w:rPr>
                <w:color w:val="auto"/>
                <w:szCs w:val="21"/>
              </w:rPr>
              <w:t>SO</w:t>
            </w:r>
            <w:r>
              <w:rPr>
                <w:color w:val="auto"/>
                <w:szCs w:val="21"/>
                <w:vertAlign w:val="subscript"/>
              </w:rPr>
              <w:t>2</w:t>
            </w:r>
          </w:p>
        </w:tc>
        <w:tc>
          <w:tcPr>
            <w:tcW w:w="5077" w:type="dxa"/>
            <w:vAlign w:val="center"/>
          </w:tcPr>
          <w:p>
            <w:pPr>
              <w:spacing w:line="300" w:lineRule="auto"/>
              <w:jc w:val="center"/>
              <w:rPr>
                <w:color w:val="auto"/>
                <w:szCs w:val="21"/>
              </w:rPr>
            </w:pPr>
            <w:r>
              <w:rPr>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71" w:type="dxa"/>
            <w:vAlign w:val="center"/>
          </w:tcPr>
          <w:p>
            <w:pPr>
              <w:spacing w:line="300" w:lineRule="auto"/>
              <w:jc w:val="center"/>
              <w:rPr>
                <w:color w:val="auto"/>
                <w:szCs w:val="21"/>
              </w:rPr>
            </w:pPr>
            <w:r>
              <w:rPr>
                <w:bCs/>
                <w:color w:val="auto"/>
                <w:szCs w:val="21"/>
              </w:rPr>
              <w:t>NO</w:t>
            </w:r>
            <w:r>
              <w:rPr>
                <w:bCs/>
                <w:color w:val="auto"/>
                <w:szCs w:val="21"/>
                <w:vertAlign w:val="subscript"/>
              </w:rPr>
              <w:t>x</w:t>
            </w:r>
          </w:p>
        </w:tc>
        <w:tc>
          <w:tcPr>
            <w:tcW w:w="5077" w:type="dxa"/>
            <w:vAlign w:val="center"/>
          </w:tcPr>
          <w:p>
            <w:pPr>
              <w:spacing w:line="300" w:lineRule="auto"/>
              <w:jc w:val="center"/>
              <w:rPr>
                <w:color w:val="auto"/>
                <w:szCs w:val="21"/>
              </w:rPr>
            </w:pPr>
            <w:r>
              <w:rPr>
                <w:color w:val="auto"/>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71" w:type="dxa"/>
            <w:vAlign w:val="center"/>
          </w:tcPr>
          <w:p>
            <w:pPr>
              <w:spacing w:line="300" w:lineRule="auto"/>
              <w:jc w:val="center"/>
              <w:rPr>
                <w:bCs/>
                <w:color w:val="auto"/>
                <w:szCs w:val="21"/>
              </w:rPr>
            </w:pPr>
            <w:r>
              <w:rPr>
                <w:bCs/>
                <w:color w:val="auto"/>
                <w:szCs w:val="21"/>
              </w:rPr>
              <w:t>烟气黑度（林格曼黑度，级）</w:t>
            </w:r>
          </w:p>
        </w:tc>
        <w:tc>
          <w:tcPr>
            <w:tcW w:w="5077" w:type="dxa"/>
            <w:vAlign w:val="center"/>
          </w:tcPr>
          <w:p>
            <w:pPr>
              <w:spacing w:line="300" w:lineRule="auto"/>
              <w:jc w:val="center"/>
              <w:rPr>
                <w:color w:val="auto"/>
                <w:szCs w:val="21"/>
              </w:rPr>
            </w:pPr>
            <w:r>
              <w:rPr>
                <w:color w:val="auto"/>
                <w:szCs w:val="21"/>
              </w:rPr>
              <w:t>≤1</w:t>
            </w:r>
          </w:p>
        </w:tc>
      </w:tr>
    </w:tbl>
    <w:p>
      <w:pPr>
        <w:snapToGrid w:val="0"/>
        <w:spacing w:line="360" w:lineRule="auto"/>
        <w:ind w:firstLine="480" w:firstLineChars="200"/>
        <w:rPr>
          <w:color w:val="auto"/>
          <w:sz w:val="24"/>
        </w:rPr>
      </w:pPr>
      <w:r>
        <w:rPr>
          <w:rFonts w:hint="eastAsia"/>
          <w:color w:val="auto"/>
          <w:sz w:val="24"/>
        </w:rPr>
        <w:t>（3）厂</w:t>
      </w:r>
      <w:r>
        <w:rPr>
          <w:color w:val="auto"/>
          <w:sz w:val="24"/>
        </w:rPr>
        <w:t>内无组织排放执行《挥发性有机物无组织排放控制标准》（GB37822-2019）表A.1厂区内VOCs无组织</w:t>
      </w:r>
      <w:r>
        <w:rPr>
          <w:rFonts w:hint="eastAsia"/>
          <w:color w:val="auto"/>
          <w:sz w:val="24"/>
        </w:rPr>
        <w:t>排放限值。</w:t>
      </w:r>
    </w:p>
    <w:p>
      <w:pPr>
        <w:jc w:val="center"/>
        <w:rPr>
          <w:b/>
          <w:color w:val="auto"/>
        </w:rPr>
      </w:pPr>
      <w:r>
        <w:rPr>
          <w:b/>
          <w:bCs/>
          <w:color w:val="auto"/>
        </w:rPr>
        <w:t>表2.4-1</w:t>
      </w:r>
      <w:r>
        <w:rPr>
          <w:rFonts w:hint="eastAsia"/>
          <w:b/>
          <w:bCs/>
          <w:color w:val="auto"/>
          <w:lang w:val="en-US" w:eastAsia="zh-CN"/>
        </w:rPr>
        <w:t>1</w:t>
      </w:r>
      <w:r>
        <w:rPr>
          <w:rFonts w:hint="eastAsia"/>
          <w:color w:val="auto"/>
        </w:rPr>
        <w:t xml:space="preserve">  </w:t>
      </w:r>
      <w:r>
        <w:rPr>
          <w:color w:val="auto"/>
        </w:rPr>
        <w:t>《</w:t>
      </w:r>
      <w:r>
        <w:rPr>
          <w:b/>
          <w:color w:val="auto"/>
        </w:rPr>
        <w:t>挥发性有机物无组织排放控制标准》（GB37822-2019）</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3"/>
        <w:gridCol w:w="2180"/>
        <w:gridCol w:w="2780"/>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33"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污染物项目</w:t>
            </w:r>
          </w:p>
        </w:tc>
        <w:tc>
          <w:tcPr>
            <w:tcW w:w="2180"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排放限值（mg/m³）</w:t>
            </w:r>
          </w:p>
        </w:tc>
        <w:tc>
          <w:tcPr>
            <w:tcW w:w="2780"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限值含义</w:t>
            </w:r>
          </w:p>
        </w:tc>
        <w:tc>
          <w:tcPr>
            <w:tcW w:w="2355"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33" w:type="dxa"/>
            <w:vMerge w:val="restart"/>
            <w:tcBorders>
              <w:tl2br w:val="nil"/>
              <w:tr2bl w:val="nil"/>
            </w:tcBorders>
            <w:vAlign w:val="center"/>
          </w:tcPr>
          <w:p>
            <w:pPr>
              <w:adjustRightInd w:val="0"/>
              <w:snapToGrid w:val="0"/>
              <w:spacing w:line="240" w:lineRule="exact"/>
              <w:jc w:val="center"/>
              <w:rPr>
                <w:b w:val="0"/>
                <w:bCs/>
                <w:color w:val="auto"/>
              </w:rPr>
            </w:pPr>
            <w:r>
              <w:rPr>
                <w:b w:val="0"/>
                <w:bCs/>
                <w:color w:val="auto"/>
              </w:rPr>
              <w:t>NMHC</w:t>
            </w:r>
          </w:p>
        </w:tc>
        <w:tc>
          <w:tcPr>
            <w:tcW w:w="2180" w:type="dxa"/>
            <w:tcBorders>
              <w:tl2br w:val="nil"/>
              <w:tr2bl w:val="nil"/>
            </w:tcBorders>
            <w:vAlign w:val="center"/>
          </w:tcPr>
          <w:p>
            <w:pPr>
              <w:adjustRightInd w:val="0"/>
              <w:snapToGrid w:val="0"/>
              <w:spacing w:line="240" w:lineRule="exact"/>
              <w:jc w:val="center"/>
              <w:rPr>
                <w:b w:val="0"/>
                <w:bCs/>
                <w:color w:val="auto"/>
              </w:rPr>
            </w:pPr>
            <w:r>
              <w:rPr>
                <w:b w:val="0"/>
                <w:bCs/>
                <w:color w:val="auto"/>
              </w:rPr>
              <w:t>10</w:t>
            </w:r>
          </w:p>
        </w:tc>
        <w:tc>
          <w:tcPr>
            <w:tcW w:w="2780"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监控点处1h平均浓度值</w:t>
            </w:r>
          </w:p>
        </w:tc>
        <w:tc>
          <w:tcPr>
            <w:tcW w:w="2355" w:type="dxa"/>
            <w:vMerge w:val="restart"/>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33" w:type="dxa"/>
            <w:vMerge w:val="continue"/>
            <w:tcBorders>
              <w:tl2br w:val="nil"/>
              <w:tr2bl w:val="nil"/>
            </w:tcBorders>
            <w:vAlign w:val="center"/>
          </w:tcPr>
          <w:p>
            <w:pPr>
              <w:adjustRightInd w:val="0"/>
              <w:snapToGrid w:val="0"/>
              <w:spacing w:line="240" w:lineRule="exact"/>
              <w:jc w:val="center"/>
              <w:rPr>
                <w:b w:val="0"/>
                <w:bCs/>
                <w:color w:val="auto"/>
              </w:rPr>
            </w:pPr>
          </w:p>
        </w:tc>
        <w:tc>
          <w:tcPr>
            <w:tcW w:w="2180" w:type="dxa"/>
            <w:tcBorders>
              <w:tl2br w:val="nil"/>
              <w:tr2bl w:val="nil"/>
            </w:tcBorders>
            <w:vAlign w:val="center"/>
          </w:tcPr>
          <w:p>
            <w:pPr>
              <w:adjustRightInd w:val="0"/>
              <w:snapToGrid w:val="0"/>
              <w:spacing w:line="240" w:lineRule="exact"/>
              <w:jc w:val="center"/>
              <w:rPr>
                <w:b w:val="0"/>
                <w:bCs/>
                <w:color w:val="auto"/>
              </w:rPr>
            </w:pPr>
            <w:r>
              <w:rPr>
                <w:b w:val="0"/>
                <w:bCs/>
                <w:color w:val="auto"/>
              </w:rPr>
              <w:t>30</w:t>
            </w:r>
          </w:p>
        </w:tc>
        <w:tc>
          <w:tcPr>
            <w:tcW w:w="2780" w:type="dxa"/>
            <w:tcBorders>
              <w:tl2br w:val="nil"/>
              <w:tr2bl w:val="nil"/>
            </w:tcBorders>
            <w:vAlign w:val="center"/>
          </w:tcPr>
          <w:p>
            <w:pPr>
              <w:adjustRightInd w:val="0"/>
              <w:snapToGrid w:val="0"/>
              <w:spacing w:line="240" w:lineRule="exact"/>
              <w:jc w:val="center"/>
              <w:rPr>
                <w:b w:val="0"/>
                <w:bCs/>
                <w:color w:val="auto"/>
              </w:rPr>
            </w:pPr>
            <w:r>
              <w:rPr>
                <w:rFonts w:hint="eastAsia"/>
                <w:b w:val="0"/>
                <w:bCs/>
                <w:color w:val="auto"/>
              </w:rPr>
              <w:t>监控点处任意一次浓度值</w:t>
            </w:r>
          </w:p>
        </w:tc>
        <w:tc>
          <w:tcPr>
            <w:tcW w:w="2355" w:type="dxa"/>
            <w:vMerge w:val="continue"/>
            <w:tcBorders>
              <w:tl2br w:val="nil"/>
              <w:tr2bl w:val="nil"/>
            </w:tcBorders>
            <w:vAlign w:val="center"/>
          </w:tcPr>
          <w:p>
            <w:pPr>
              <w:adjustRightInd w:val="0"/>
              <w:snapToGrid w:val="0"/>
              <w:spacing w:line="240" w:lineRule="exact"/>
              <w:jc w:val="center"/>
              <w:rPr>
                <w:b w:val="0"/>
                <w:bCs/>
                <w:color w:val="auto"/>
              </w:rPr>
            </w:pPr>
          </w:p>
        </w:tc>
      </w:tr>
    </w:tbl>
    <w:p>
      <w:pPr>
        <w:spacing w:line="460" w:lineRule="exact"/>
        <w:ind w:firstLine="482" w:firstLineChars="200"/>
        <w:rPr>
          <w:b/>
          <w:bCs/>
          <w:color w:val="auto"/>
          <w:sz w:val="24"/>
        </w:rPr>
      </w:pPr>
      <w:r>
        <w:rPr>
          <w:b/>
          <w:bCs/>
          <w:color w:val="auto"/>
          <w:sz w:val="24"/>
        </w:rPr>
        <w:t>3、噪声排放标准</w:t>
      </w:r>
      <w:bookmarkEnd w:id="121"/>
    </w:p>
    <w:p>
      <w:pPr>
        <w:spacing w:line="460" w:lineRule="exact"/>
        <w:ind w:firstLine="480" w:firstLineChars="200"/>
        <w:rPr>
          <w:color w:val="auto"/>
          <w:sz w:val="24"/>
        </w:rPr>
      </w:pPr>
      <w:r>
        <w:rPr>
          <w:color w:val="auto"/>
          <w:sz w:val="24"/>
        </w:rPr>
        <w:t>本项目营运期产生的噪声执行《工业企业厂界环境噪声排放标准》(GB12348-2008)3类标准限值，详见</w:t>
      </w:r>
      <w:r>
        <w:rPr>
          <w:rFonts w:hint="eastAsia"/>
          <w:color w:val="auto"/>
          <w:sz w:val="24"/>
        </w:rPr>
        <w:t>下表</w:t>
      </w:r>
      <w:r>
        <w:rPr>
          <w:color w:val="auto"/>
          <w:sz w:val="24"/>
        </w:rPr>
        <w:t>。</w:t>
      </w:r>
    </w:p>
    <w:p>
      <w:pPr>
        <w:adjustRightInd w:val="0"/>
        <w:snapToGrid w:val="0"/>
        <w:spacing w:line="480" w:lineRule="exact"/>
        <w:jc w:val="center"/>
        <w:rPr>
          <w:b/>
          <w:color w:val="auto"/>
          <w:szCs w:val="21"/>
        </w:rPr>
      </w:pPr>
      <w:r>
        <w:rPr>
          <w:b/>
          <w:bCs/>
          <w:color w:val="auto"/>
          <w:szCs w:val="21"/>
        </w:rPr>
        <w:t>表2.4-</w:t>
      </w:r>
      <w:r>
        <w:rPr>
          <w:rFonts w:hint="eastAsia"/>
          <w:b/>
          <w:bCs/>
          <w:color w:val="auto"/>
          <w:szCs w:val="21"/>
        </w:rPr>
        <w:t>1</w:t>
      </w:r>
      <w:r>
        <w:rPr>
          <w:rFonts w:hint="eastAsia"/>
          <w:b/>
          <w:bCs/>
          <w:color w:val="auto"/>
          <w:szCs w:val="21"/>
          <w:lang w:val="en-US" w:eastAsia="zh-CN"/>
        </w:rPr>
        <w:t>2</w:t>
      </w:r>
      <w:r>
        <w:rPr>
          <w:rFonts w:hint="eastAsia"/>
          <w:b/>
          <w:bCs/>
          <w:color w:val="auto"/>
          <w:szCs w:val="21"/>
        </w:rPr>
        <w:t xml:space="preserve"> </w:t>
      </w:r>
      <w:r>
        <w:rPr>
          <w:b/>
          <w:bCs/>
          <w:color w:val="auto"/>
          <w:szCs w:val="21"/>
        </w:rPr>
        <w:t xml:space="preserve"> 《工业企业厂界环境噪声排放标准》</w:t>
      </w:r>
      <w:r>
        <w:rPr>
          <w:b/>
          <w:color w:val="auto"/>
          <w:szCs w:val="21"/>
        </w:rPr>
        <w:t>（Leq：dB(A)）</w:t>
      </w:r>
    </w:p>
    <w:tbl>
      <w:tblPr>
        <w:tblStyle w:val="23"/>
        <w:tblW w:w="874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2725"/>
        <w:gridCol w:w="3163"/>
        <w:gridCol w:w="285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exact"/>
          <w:tblHeader/>
          <w:jc w:val="center"/>
        </w:trPr>
        <w:tc>
          <w:tcPr>
            <w:tcW w:w="2725" w:type="dxa"/>
            <w:vMerge w:val="restart"/>
            <w:tcBorders>
              <w:tl2br w:val="single" w:color="auto" w:sz="6" w:space="0"/>
            </w:tcBorders>
            <w:vAlign w:val="center"/>
          </w:tcPr>
          <w:p>
            <w:pPr>
              <w:adjustRightInd w:val="0"/>
              <w:snapToGrid w:val="0"/>
              <w:spacing w:line="300" w:lineRule="auto"/>
              <w:ind w:firstLine="420" w:firstLineChars="200"/>
              <w:jc w:val="center"/>
              <w:rPr>
                <w:color w:val="auto"/>
                <w:szCs w:val="21"/>
              </w:rPr>
            </w:pPr>
            <w:r>
              <w:rPr>
                <w:color w:val="auto"/>
                <w:szCs w:val="21"/>
              </w:rPr>
              <w:t xml:space="preserve">           时段</w:t>
            </w:r>
          </w:p>
          <w:p>
            <w:pPr>
              <w:adjustRightInd w:val="0"/>
              <w:snapToGrid w:val="0"/>
              <w:spacing w:line="300" w:lineRule="auto"/>
              <w:rPr>
                <w:color w:val="auto"/>
                <w:szCs w:val="21"/>
              </w:rPr>
            </w:pPr>
            <w:r>
              <w:rPr>
                <w:color w:val="auto"/>
                <w:szCs w:val="21"/>
              </w:rPr>
              <w:t>厂界外</w:t>
            </w:r>
          </w:p>
          <w:p>
            <w:pPr>
              <w:adjustRightInd w:val="0"/>
              <w:snapToGrid w:val="0"/>
              <w:spacing w:line="300" w:lineRule="auto"/>
              <w:rPr>
                <w:color w:val="auto"/>
                <w:szCs w:val="21"/>
              </w:rPr>
            </w:pPr>
            <w:r>
              <w:rPr>
                <w:color w:val="auto"/>
                <w:szCs w:val="21"/>
              </w:rPr>
              <w:t>声环境功能区类别</w:t>
            </w:r>
          </w:p>
        </w:tc>
        <w:tc>
          <w:tcPr>
            <w:tcW w:w="6021" w:type="dxa"/>
            <w:gridSpan w:val="2"/>
            <w:vAlign w:val="center"/>
          </w:tcPr>
          <w:p>
            <w:pPr>
              <w:adjustRightInd w:val="0"/>
              <w:snapToGrid w:val="0"/>
              <w:spacing w:line="300" w:lineRule="auto"/>
              <w:ind w:firstLine="420" w:firstLineChars="200"/>
              <w:jc w:val="center"/>
              <w:rPr>
                <w:color w:val="auto"/>
                <w:szCs w:val="21"/>
              </w:rPr>
            </w:pPr>
            <w:r>
              <w:rPr>
                <w:color w:val="auto"/>
                <w:szCs w:val="21"/>
              </w:rPr>
              <w:t>工业企业厂界环境噪声排放限值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99" w:hRule="exact"/>
          <w:tblHeader/>
          <w:jc w:val="center"/>
        </w:trPr>
        <w:tc>
          <w:tcPr>
            <w:tcW w:w="2725" w:type="dxa"/>
            <w:vMerge w:val="continue"/>
            <w:vAlign w:val="center"/>
          </w:tcPr>
          <w:p>
            <w:pPr>
              <w:adjustRightInd w:val="0"/>
              <w:snapToGrid w:val="0"/>
              <w:spacing w:line="300" w:lineRule="auto"/>
              <w:ind w:firstLine="420" w:firstLineChars="200"/>
              <w:jc w:val="center"/>
              <w:rPr>
                <w:color w:val="auto"/>
                <w:szCs w:val="21"/>
              </w:rPr>
            </w:pPr>
          </w:p>
        </w:tc>
        <w:tc>
          <w:tcPr>
            <w:tcW w:w="3163" w:type="dxa"/>
            <w:vAlign w:val="center"/>
          </w:tcPr>
          <w:p>
            <w:pPr>
              <w:adjustRightInd w:val="0"/>
              <w:snapToGrid w:val="0"/>
              <w:spacing w:line="300" w:lineRule="auto"/>
              <w:ind w:firstLine="420" w:firstLineChars="200"/>
              <w:jc w:val="center"/>
              <w:rPr>
                <w:color w:val="auto"/>
                <w:szCs w:val="21"/>
              </w:rPr>
            </w:pPr>
            <w:r>
              <w:rPr>
                <w:color w:val="auto"/>
                <w:szCs w:val="21"/>
              </w:rPr>
              <w:t>昼间</w:t>
            </w:r>
          </w:p>
        </w:tc>
        <w:tc>
          <w:tcPr>
            <w:tcW w:w="2858" w:type="dxa"/>
            <w:vAlign w:val="center"/>
          </w:tcPr>
          <w:p>
            <w:pPr>
              <w:adjustRightInd w:val="0"/>
              <w:snapToGrid w:val="0"/>
              <w:spacing w:line="300" w:lineRule="auto"/>
              <w:ind w:firstLine="420" w:firstLineChars="200"/>
              <w:jc w:val="center"/>
              <w:rPr>
                <w:color w:val="auto"/>
                <w:szCs w:val="21"/>
              </w:rPr>
            </w:pPr>
            <w:r>
              <w:rPr>
                <w:color w:val="auto"/>
                <w:szCs w:val="21"/>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78" w:hRule="exact"/>
          <w:tblHeader/>
          <w:jc w:val="center"/>
        </w:trPr>
        <w:tc>
          <w:tcPr>
            <w:tcW w:w="2725" w:type="dxa"/>
            <w:vAlign w:val="center"/>
          </w:tcPr>
          <w:p>
            <w:pPr>
              <w:adjustRightInd w:val="0"/>
              <w:snapToGrid w:val="0"/>
              <w:spacing w:line="300" w:lineRule="auto"/>
              <w:jc w:val="center"/>
              <w:rPr>
                <w:color w:val="auto"/>
                <w:szCs w:val="21"/>
              </w:rPr>
            </w:pPr>
            <w:r>
              <w:rPr>
                <w:color w:val="auto"/>
                <w:szCs w:val="21"/>
              </w:rPr>
              <w:t>3类</w:t>
            </w:r>
          </w:p>
        </w:tc>
        <w:tc>
          <w:tcPr>
            <w:tcW w:w="3163" w:type="dxa"/>
            <w:vAlign w:val="center"/>
          </w:tcPr>
          <w:p>
            <w:pPr>
              <w:adjustRightInd w:val="0"/>
              <w:snapToGrid w:val="0"/>
              <w:spacing w:line="300" w:lineRule="auto"/>
              <w:ind w:firstLine="420" w:firstLineChars="200"/>
              <w:jc w:val="center"/>
              <w:rPr>
                <w:color w:val="auto"/>
                <w:szCs w:val="21"/>
              </w:rPr>
            </w:pPr>
            <w:r>
              <w:rPr>
                <w:color w:val="auto"/>
                <w:szCs w:val="21"/>
              </w:rPr>
              <w:t>65</w:t>
            </w:r>
          </w:p>
        </w:tc>
        <w:tc>
          <w:tcPr>
            <w:tcW w:w="2858" w:type="dxa"/>
            <w:vAlign w:val="center"/>
          </w:tcPr>
          <w:p>
            <w:pPr>
              <w:adjustRightInd w:val="0"/>
              <w:snapToGrid w:val="0"/>
              <w:spacing w:line="300" w:lineRule="auto"/>
              <w:ind w:firstLine="420" w:firstLineChars="200"/>
              <w:jc w:val="center"/>
              <w:rPr>
                <w:color w:val="auto"/>
                <w:szCs w:val="21"/>
              </w:rPr>
            </w:pPr>
            <w:r>
              <w:rPr>
                <w:color w:val="auto"/>
                <w:szCs w:val="21"/>
              </w:rPr>
              <w:t>55</w:t>
            </w:r>
          </w:p>
        </w:tc>
      </w:tr>
    </w:tbl>
    <w:p>
      <w:pPr>
        <w:spacing w:line="460" w:lineRule="exact"/>
        <w:ind w:firstLine="482" w:firstLineChars="200"/>
        <w:rPr>
          <w:b/>
          <w:bCs/>
          <w:color w:val="auto"/>
          <w:sz w:val="24"/>
        </w:rPr>
      </w:pPr>
      <w:bookmarkStart w:id="122" w:name="_Toc335981116"/>
      <w:bookmarkStart w:id="123" w:name="_Toc328487907"/>
      <w:bookmarkStart w:id="124" w:name="_Toc340647777"/>
      <w:bookmarkStart w:id="125" w:name="_Toc342292156"/>
      <w:r>
        <w:rPr>
          <w:b/>
          <w:bCs/>
          <w:color w:val="auto"/>
          <w:sz w:val="24"/>
        </w:rPr>
        <w:t>4、其它标准</w:t>
      </w:r>
    </w:p>
    <w:p>
      <w:pPr>
        <w:pStyle w:val="67"/>
        <w:ind w:firstLine="480" w:firstLineChars="200"/>
        <w:rPr>
          <w:rFonts w:ascii="Times New Roman" w:hAnsi="Times New Roman" w:cs="Times New Roman"/>
          <w:color w:val="auto"/>
        </w:rPr>
      </w:pPr>
      <w:bookmarkStart w:id="126" w:name="_Toc465156537"/>
      <w:bookmarkStart w:id="127" w:name="_Toc461434727"/>
      <w:bookmarkStart w:id="128" w:name="_Toc461434966"/>
      <w:bookmarkStart w:id="129" w:name="_Toc454136172"/>
      <w:bookmarkStart w:id="130" w:name="_Toc10550_WPSOffice_Level2"/>
      <w:bookmarkStart w:id="131" w:name="_Toc10768"/>
      <w:bookmarkStart w:id="132" w:name="_Toc7632"/>
      <w:bookmarkStart w:id="133" w:name="_Toc25453_WPSOffice_Level2"/>
      <w:bookmarkStart w:id="134" w:name="_Toc7832_WPSOffice_Level2"/>
      <w:bookmarkStart w:id="135" w:name="_Toc14574"/>
      <w:bookmarkStart w:id="136" w:name="_Toc21077_WPSOffice_Level2"/>
      <w:bookmarkStart w:id="137" w:name="_Toc4108_WPSOffice_Level2"/>
      <w:bookmarkStart w:id="138" w:name="_Toc29759407"/>
      <w:bookmarkStart w:id="139" w:name="_Toc10597_WPSOffice_Level2"/>
      <w:bookmarkStart w:id="140" w:name="_Toc20182_WPSOffice_Level2"/>
      <w:bookmarkStart w:id="141" w:name="_Toc3905719"/>
      <w:bookmarkStart w:id="142" w:name="_Toc8136_WPSOffice_Level2"/>
      <w:r>
        <w:rPr>
          <w:rFonts w:ascii="Times New Roman" w:hAnsi="Times New Roman" w:cs="Times New Roman"/>
          <w:color w:val="auto"/>
          <w:kern w:val="2"/>
        </w:rPr>
        <w:t>本项目</w:t>
      </w:r>
      <w:r>
        <w:rPr>
          <w:rFonts w:ascii="Times New Roman" w:hAnsi="Times New Roman" w:cs="Times New Roman"/>
          <w:color w:val="auto"/>
        </w:rPr>
        <w:t>一般固体废弃物处置采用《一般工业固体废物贮存、处置场污染控制标准》（GB18599-2001）及其2013年修改单的相关规定执行。危险废物采用《国家危险废物名录》（2016年）以及《危险废物贮存污染控制标准》（GB18597-2001）及其2013年修改单的相关规定进行处理。</w:t>
      </w:r>
    </w:p>
    <w:p>
      <w:pPr>
        <w:pStyle w:val="5"/>
        <w:numPr>
          <w:ilvl w:val="1"/>
          <w:numId w:val="0"/>
        </w:numPr>
        <w:tabs>
          <w:tab w:val="clear" w:pos="720"/>
        </w:tabs>
        <w:spacing w:before="159" w:after="159"/>
        <w:rPr>
          <w:color w:val="auto"/>
          <w:sz w:val="32"/>
          <w:szCs w:val="32"/>
        </w:rPr>
      </w:pPr>
      <w:bookmarkStart w:id="143" w:name="_Toc22826"/>
      <w:bookmarkStart w:id="144" w:name="_Toc31875"/>
      <w:r>
        <w:rPr>
          <w:color w:val="auto"/>
          <w:sz w:val="32"/>
          <w:szCs w:val="32"/>
        </w:rPr>
        <w:t>2.5</w:t>
      </w:r>
      <w:bookmarkEnd w:id="122"/>
      <w:bookmarkEnd w:id="123"/>
      <w:bookmarkEnd w:id="124"/>
      <w:bookmarkEnd w:id="125"/>
      <w:bookmarkEnd w:id="126"/>
      <w:bookmarkEnd w:id="127"/>
      <w:bookmarkEnd w:id="128"/>
      <w:bookmarkEnd w:id="129"/>
      <w:r>
        <w:rPr>
          <w:rFonts w:hint="eastAsia"/>
          <w:color w:val="auto"/>
          <w:sz w:val="32"/>
          <w:szCs w:val="32"/>
        </w:rPr>
        <w:t xml:space="preserve">  </w:t>
      </w:r>
      <w:r>
        <w:rPr>
          <w:color w:val="auto"/>
          <w:sz w:val="32"/>
          <w:szCs w:val="32"/>
        </w:rPr>
        <w:t>评价因子</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pPr>
        <w:spacing w:line="360" w:lineRule="auto"/>
        <w:ind w:firstLine="480" w:firstLineChars="200"/>
        <w:rPr>
          <w:color w:val="auto"/>
          <w:sz w:val="24"/>
        </w:rPr>
      </w:pPr>
      <w:r>
        <w:rPr>
          <w:color w:val="auto"/>
          <w:sz w:val="24"/>
        </w:rPr>
        <w:t>根据本项目运营期特征和污染物排放特征，产生的污染物种类、数量及排放方式、所排污染物可能对环境的影响程度和范围及污染物在环境中迁移、转化特征，结合区域环境基本状况，确定本项目的评价因子如下表所示。</w:t>
      </w:r>
    </w:p>
    <w:p>
      <w:pPr>
        <w:ind w:firstLine="632" w:firstLineChars="300"/>
        <w:jc w:val="center"/>
        <w:rPr>
          <w:b/>
          <w:bCs/>
          <w:color w:val="auto"/>
          <w:szCs w:val="21"/>
        </w:rPr>
      </w:pPr>
      <w:r>
        <w:rPr>
          <w:b/>
          <w:bCs/>
          <w:color w:val="auto"/>
          <w:szCs w:val="21"/>
        </w:rPr>
        <w:t xml:space="preserve">表2.5-1 </w:t>
      </w:r>
      <w:r>
        <w:rPr>
          <w:rFonts w:hint="eastAsia"/>
          <w:b/>
          <w:bCs/>
          <w:color w:val="auto"/>
          <w:szCs w:val="21"/>
        </w:rPr>
        <w:t xml:space="preserve"> </w:t>
      </w:r>
      <w:r>
        <w:rPr>
          <w:b/>
          <w:bCs/>
          <w:color w:val="auto"/>
          <w:szCs w:val="21"/>
        </w:rPr>
        <w:t>评价因子一览表</w:t>
      </w:r>
    </w:p>
    <w:tbl>
      <w:tblPr>
        <w:tblStyle w:val="23"/>
        <w:tblW w:w="9060" w:type="dxa"/>
        <w:tblInd w:w="-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5282"/>
        <w:gridCol w:w="2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环境要素</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现状评价因子</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影响评价因子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大气</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TSP</w:t>
            </w:r>
            <w:r>
              <w:rPr>
                <w:rFonts w:hint="eastAsia"/>
                <w:b w:val="0"/>
                <w:bCs/>
                <w:color w:val="auto"/>
                <w:szCs w:val="21"/>
              </w:rPr>
              <w:t>、</w:t>
            </w:r>
            <w:r>
              <w:rPr>
                <w:b w:val="0"/>
                <w:bCs/>
                <w:color w:val="auto"/>
                <w:szCs w:val="21"/>
              </w:rPr>
              <w:t>苯并[a]芘（BaP）</w:t>
            </w:r>
            <w:r>
              <w:rPr>
                <w:rFonts w:hint="eastAsia"/>
                <w:b w:val="0"/>
                <w:bCs/>
                <w:color w:val="auto"/>
                <w:szCs w:val="21"/>
              </w:rPr>
              <w:t>、</w:t>
            </w:r>
            <w:r>
              <w:rPr>
                <w:b w:val="0"/>
                <w:bCs/>
                <w:color w:val="auto"/>
                <w:kern w:val="0"/>
                <w:szCs w:val="21"/>
                <w:lang w:bidi="ar"/>
              </w:rPr>
              <w:t>非甲烷总烃</w:t>
            </w:r>
            <w:r>
              <w:rPr>
                <w:rFonts w:hint="eastAsia"/>
                <w:b w:val="0"/>
                <w:bCs/>
                <w:color w:val="auto"/>
                <w:kern w:val="0"/>
                <w:szCs w:val="21"/>
                <w:lang w:bidi="ar"/>
              </w:rPr>
              <w:t>、</w:t>
            </w:r>
            <w:r>
              <w:rPr>
                <w:b w:val="0"/>
                <w:bCs/>
                <w:color w:val="auto"/>
                <w:kern w:val="0"/>
                <w:szCs w:val="21"/>
                <w:lang w:bidi="ar"/>
              </w:rPr>
              <w:t>TVOC</w:t>
            </w:r>
            <w:r>
              <w:rPr>
                <w:rFonts w:hint="eastAsia"/>
                <w:b w:val="0"/>
                <w:bCs/>
                <w:color w:val="auto"/>
                <w:kern w:val="0"/>
                <w:szCs w:val="21"/>
                <w:lang w:bidi="ar"/>
              </w:rPr>
              <w:t>、</w:t>
            </w:r>
            <w:r>
              <w:rPr>
                <w:b w:val="0"/>
                <w:bCs/>
                <w:color w:val="auto"/>
                <w:szCs w:val="21"/>
              </w:rPr>
              <w:t>苯</w:t>
            </w:r>
            <w:r>
              <w:rPr>
                <w:rFonts w:hint="eastAsia"/>
                <w:b w:val="0"/>
                <w:bCs/>
                <w:color w:val="auto"/>
                <w:szCs w:val="21"/>
              </w:rPr>
              <w:t>、</w:t>
            </w:r>
            <w:r>
              <w:rPr>
                <w:b w:val="0"/>
                <w:bCs/>
                <w:color w:val="auto"/>
                <w:kern w:val="0"/>
                <w:szCs w:val="21"/>
                <w:lang w:bidi="ar"/>
              </w:rPr>
              <w:t>二甲苯</w:t>
            </w:r>
            <w:r>
              <w:rPr>
                <w:rFonts w:hint="eastAsia"/>
                <w:b w:val="0"/>
                <w:bCs/>
                <w:color w:val="auto"/>
                <w:kern w:val="0"/>
                <w:szCs w:val="21"/>
                <w:lang w:bidi="ar"/>
              </w:rPr>
              <w:t>、</w:t>
            </w:r>
            <w:r>
              <w:rPr>
                <w:b w:val="0"/>
                <w:bCs/>
                <w:color w:val="auto"/>
                <w:szCs w:val="21"/>
              </w:rPr>
              <w:t>CO、O</w:t>
            </w:r>
            <w:r>
              <w:rPr>
                <w:b w:val="0"/>
                <w:bCs/>
                <w:color w:val="auto"/>
                <w:szCs w:val="21"/>
                <w:vertAlign w:val="subscript"/>
              </w:rPr>
              <w:t>3</w:t>
            </w:r>
            <w:r>
              <w:rPr>
                <w:b w:val="0"/>
                <w:bCs/>
                <w:color w:val="auto"/>
                <w:szCs w:val="21"/>
              </w:rPr>
              <w:t>、SO</w:t>
            </w:r>
            <w:r>
              <w:rPr>
                <w:b w:val="0"/>
                <w:bCs/>
                <w:color w:val="auto"/>
                <w:szCs w:val="21"/>
                <w:vertAlign w:val="subscript"/>
              </w:rPr>
              <w:t>2</w:t>
            </w:r>
            <w:r>
              <w:rPr>
                <w:b w:val="0"/>
                <w:bCs/>
                <w:color w:val="auto"/>
                <w:szCs w:val="21"/>
              </w:rPr>
              <w:t>、NO</w:t>
            </w:r>
            <w:r>
              <w:rPr>
                <w:b w:val="0"/>
                <w:bCs/>
                <w:color w:val="auto"/>
                <w:szCs w:val="21"/>
                <w:vertAlign w:val="subscript"/>
              </w:rPr>
              <w:t>X</w:t>
            </w:r>
            <w:r>
              <w:rPr>
                <w:b w:val="0"/>
                <w:bCs/>
                <w:color w:val="auto"/>
                <w:szCs w:val="21"/>
              </w:rPr>
              <w:t>、PM</w:t>
            </w:r>
            <w:r>
              <w:rPr>
                <w:b w:val="0"/>
                <w:bCs/>
                <w:color w:val="auto"/>
                <w:szCs w:val="21"/>
                <w:vertAlign w:val="subscript"/>
              </w:rPr>
              <w:t>10</w:t>
            </w:r>
            <w:r>
              <w:rPr>
                <w:b w:val="0"/>
                <w:bCs/>
                <w:color w:val="auto"/>
                <w:szCs w:val="21"/>
              </w:rPr>
              <w:t>、PM</w:t>
            </w:r>
            <w:r>
              <w:rPr>
                <w:b w:val="0"/>
                <w:bCs/>
                <w:color w:val="auto"/>
                <w:szCs w:val="21"/>
                <w:vertAlign w:val="subscript"/>
              </w:rPr>
              <w:t>2.5</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TSP、苯并[a]芘（BaP）、非甲烷总烃</w:t>
            </w:r>
            <w:r>
              <w:rPr>
                <w:rFonts w:hint="eastAsia"/>
                <w:b w:val="0"/>
                <w:bCs/>
                <w:color w:val="auto"/>
                <w:szCs w:val="21"/>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地表水</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水温、pH、DO、高锰酸盐指数、SS、COD、BOD</w:t>
            </w:r>
            <w:r>
              <w:rPr>
                <w:b w:val="0"/>
                <w:bCs/>
                <w:color w:val="auto"/>
                <w:szCs w:val="21"/>
                <w:vertAlign w:val="subscript"/>
              </w:rPr>
              <w:t>5</w:t>
            </w:r>
            <w:r>
              <w:rPr>
                <w:b w:val="0"/>
                <w:bCs/>
                <w:color w:val="auto"/>
                <w:szCs w:val="21"/>
              </w:rPr>
              <w:t>、氨氮、总磷、总氮、LAS、氟化物、硫化物、石油类、铁、铜、锌、镉、六价铬、铅、砷、硒、汞、氰化物、挥发酚、粪大肠菌群</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rFonts w:hint="eastAsia"/>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地下水</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水位、</w:t>
            </w:r>
            <w:r>
              <w:rPr>
                <w:rFonts w:hint="eastAsia"/>
                <w:b w:val="0"/>
                <w:bCs/>
                <w:color w:val="auto"/>
                <w:szCs w:val="21"/>
              </w:rPr>
              <w:t>钾、钠、</w:t>
            </w:r>
            <w:r>
              <w:rPr>
                <w:b w:val="0"/>
                <w:bCs/>
                <w:color w:val="auto"/>
                <w:kern w:val="0"/>
                <w:szCs w:val="21"/>
                <w:lang w:bidi="ar"/>
              </w:rPr>
              <w:t>钙</w:t>
            </w:r>
            <w:r>
              <w:rPr>
                <w:rFonts w:hint="eastAsia"/>
                <w:b w:val="0"/>
                <w:bCs/>
                <w:color w:val="auto"/>
                <w:kern w:val="0"/>
                <w:szCs w:val="21"/>
                <w:lang w:bidi="ar"/>
              </w:rPr>
              <w:t>、</w:t>
            </w:r>
            <w:r>
              <w:rPr>
                <w:b w:val="0"/>
                <w:bCs/>
                <w:color w:val="auto"/>
                <w:kern w:val="0"/>
                <w:szCs w:val="21"/>
                <w:lang w:bidi="ar"/>
              </w:rPr>
              <w:t>镁</w:t>
            </w:r>
            <w:r>
              <w:rPr>
                <w:rFonts w:hint="eastAsia"/>
                <w:b w:val="0"/>
                <w:bCs/>
                <w:color w:val="auto"/>
                <w:kern w:val="0"/>
                <w:szCs w:val="21"/>
                <w:lang w:bidi="ar"/>
              </w:rPr>
              <w:t>、</w:t>
            </w:r>
            <w:r>
              <w:rPr>
                <w:b w:val="0"/>
                <w:bCs/>
                <w:color w:val="auto"/>
                <w:kern w:val="0"/>
                <w:szCs w:val="21"/>
                <w:lang w:bidi="ar"/>
              </w:rPr>
              <w:t>碳酸根</w:t>
            </w:r>
            <w:r>
              <w:rPr>
                <w:rFonts w:hint="eastAsia"/>
                <w:b w:val="0"/>
                <w:bCs/>
                <w:color w:val="auto"/>
                <w:kern w:val="0"/>
                <w:szCs w:val="21"/>
                <w:lang w:bidi="ar"/>
              </w:rPr>
              <w:t>、</w:t>
            </w:r>
            <w:r>
              <w:rPr>
                <w:b w:val="0"/>
                <w:bCs/>
                <w:color w:val="auto"/>
                <w:kern w:val="0"/>
                <w:szCs w:val="21"/>
                <w:lang w:bidi="ar"/>
              </w:rPr>
              <w:t>碳酸氢根</w:t>
            </w:r>
            <w:r>
              <w:rPr>
                <w:rFonts w:hint="eastAsia"/>
                <w:b w:val="0"/>
                <w:bCs/>
                <w:color w:val="auto"/>
                <w:kern w:val="0"/>
                <w:szCs w:val="21"/>
                <w:lang w:bidi="ar"/>
              </w:rPr>
              <w:t>、</w:t>
            </w:r>
            <w:r>
              <w:rPr>
                <w:b w:val="0"/>
                <w:bCs/>
                <w:color w:val="auto"/>
                <w:szCs w:val="21"/>
              </w:rPr>
              <w:t>pH值</w:t>
            </w:r>
            <w:r>
              <w:rPr>
                <w:rFonts w:hint="eastAsia"/>
                <w:b w:val="0"/>
                <w:bCs/>
                <w:color w:val="auto"/>
                <w:szCs w:val="21"/>
              </w:rPr>
              <w:t>、</w:t>
            </w:r>
            <w:r>
              <w:rPr>
                <w:b w:val="0"/>
                <w:bCs/>
                <w:color w:val="auto"/>
                <w:kern w:val="0"/>
                <w:szCs w:val="21"/>
                <w:lang w:bidi="ar"/>
              </w:rPr>
              <w:t>氨氮</w:t>
            </w:r>
            <w:r>
              <w:rPr>
                <w:rFonts w:hint="eastAsia"/>
                <w:b w:val="0"/>
                <w:bCs/>
                <w:color w:val="auto"/>
                <w:kern w:val="0"/>
                <w:szCs w:val="21"/>
                <w:lang w:bidi="ar"/>
              </w:rPr>
              <w:t>、</w:t>
            </w:r>
            <w:r>
              <w:rPr>
                <w:b w:val="0"/>
                <w:bCs/>
                <w:color w:val="auto"/>
                <w:szCs w:val="21"/>
              </w:rPr>
              <w:t>硝酸盐</w:t>
            </w:r>
            <w:r>
              <w:rPr>
                <w:rFonts w:hint="eastAsia"/>
                <w:b w:val="0"/>
                <w:bCs/>
                <w:color w:val="auto"/>
                <w:szCs w:val="21"/>
              </w:rPr>
              <w:t>、</w:t>
            </w:r>
            <w:r>
              <w:rPr>
                <w:b w:val="0"/>
                <w:bCs/>
                <w:color w:val="auto"/>
                <w:kern w:val="0"/>
                <w:szCs w:val="21"/>
                <w:lang w:bidi="ar"/>
              </w:rPr>
              <w:t>亚硝酸盐</w:t>
            </w:r>
            <w:r>
              <w:rPr>
                <w:rFonts w:hint="eastAsia"/>
                <w:b w:val="0"/>
                <w:bCs/>
                <w:color w:val="auto"/>
                <w:kern w:val="0"/>
                <w:szCs w:val="21"/>
                <w:lang w:bidi="ar"/>
              </w:rPr>
              <w:t>、</w:t>
            </w:r>
            <w:r>
              <w:rPr>
                <w:b w:val="0"/>
                <w:bCs/>
                <w:color w:val="auto"/>
                <w:kern w:val="0"/>
                <w:szCs w:val="21"/>
                <w:lang w:bidi="ar"/>
              </w:rPr>
              <w:t>挥发性酚类</w:t>
            </w:r>
            <w:r>
              <w:rPr>
                <w:rFonts w:hint="eastAsia"/>
                <w:b w:val="0"/>
                <w:bCs/>
                <w:color w:val="auto"/>
                <w:kern w:val="0"/>
                <w:szCs w:val="21"/>
                <w:lang w:bidi="ar"/>
              </w:rPr>
              <w:t>、</w:t>
            </w:r>
            <w:r>
              <w:rPr>
                <w:b w:val="0"/>
                <w:bCs/>
                <w:color w:val="auto"/>
                <w:kern w:val="0"/>
                <w:szCs w:val="21"/>
                <w:lang w:bidi="ar"/>
              </w:rPr>
              <w:t>氰化物</w:t>
            </w:r>
            <w:r>
              <w:rPr>
                <w:rFonts w:hint="eastAsia"/>
                <w:b w:val="0"/>
                <w:bCs/>
                <w:color w:val="auto"/>
                <w:kern w:val="0"/>
                <w:szCs w:val="21"/>
                <w:lang w:bidi="ar"/>
              </w:rPr>
              <w:t>、</w:t>
            </w:r>
            <w:r>
              <w:rPr>
                <w:b w:val="0"/>
                <w:bCs/>
                <w:color w:val="auto"/>
                <w:kern w:val="0"/>
                <w:szCs w:val="21"/>
                <w:lang w:bidi="ar"/>
              </w:rPr>
              <w:t>砷</w:t>
            </w:r>
            <w:r>
              <w:rPr>
                <w:rFonts w:hint="eastAsia"/>
                <w:b w:val="0"/>
                <w:bCs/>
                <w:color w:val="auto"/>
                <w:kern w:val="0"/>
                <w:szCs w:val="21"/>
                <w:lang w:bidi="ar"/>
              </w:rPr>
              <w:t>、</w:t>
            </w:r>
            <w:r>
              <w:rPr>
                <w:b w:val="0"/>
                <w:bCs/>
                <w:color w:val="auto"/>
                <w:kern w:val="0"/>
                <w:szCs w:val="21"/>
                <w:lang w:bidi="ar"/>
              </w:rPr>
              <w:t>汞</w:t>
            </w:r>
            <w:r>
              <w:rPr>
                <w:rFonts w:hint="eastAsia"/>
                <w:b w:val="0"/>
                <w:bCs/>
                <w:color w:val="auto"/>
                <w:kern w:val="0"/>
                <w:szCs w:val="21"/>
                <w:lang w:bidi="ar"/>
              </w:rPr>
              <w:t>、</w:t>
            </w:r>
            <w:r>
              <w:rPr>
                <w:b w:val="0"/>
                <w:bCs/>
                <w:color w:val="auto"/>
                <w:kern w:val="0"/>
                <w:szCs w:val="21"/>
                <w:lang w:bidi="ar"/>
              </w:rPr>
              <w:t>铬（六价）</w:t>
            </w:r>
            <w:r>
              <w:rPr>
                <w:rFonts w:hint="eastAsia"/>
                <w:b w:val="0"/>
                <w:bCs/>
                <w:color w:val="auto"/>
                <w:kern w:val="0"/>
                <w:szCs w:val="21"/>
                <w:lang w:bidi="ar"/>
              </w:rPr>
              <w:t>、</w:t>
            </w:r>
            <w:r>
              <w:rPr>
                <w:b w:val="0"/>
                <w:bCs/>
                <w:color w:val="auto"/>
                <w:kern w:val="0"/>
                <w:szCs w:val="21"/>
                <w:lang w:bidi="ar"/>
              </w:rPr>
              <w:t>总硬度</w:t>
            </w:r>
            <w:r>
              <w:rPr>
                <w:rFonts w:hint="eastAsia"/>
                <w:b w:val="0"/>
                <w:bCs/>
                <w:color w:val="auto"/>
                <w:kern w:val="0"/>
                <w:szCs w:val="21"/>
                <w:lang w:bidi="ar"/>
              </w:rPr>
              <w:t>、</w:t>
            </w:r>
            <w:r>
              <w:rPr>
                <w:b w:val="0"/>
                <w:bCs/>
                <w:color w:val="auto"/>
                <w:kern w:val="0"/>
                <w:szCs w:val="21"/>
                <w:lang w:bidi="ar"/>
              </w:rPr>
              <w:t>铅</w:t>
            </w:r>
            <w:r>
              <w:rPr>
                <w:rFonts w:hint="eastAsia"/>
                <w:b w:val="0"/>
                <w:bCs/>
                <w:color w:val="auto"/>
                <w:kern w:val="0"/>
                <w:szCs w:val="21"/>
                <w:lang w:bidi="ar"/>
              </w:rPr>
              <w:t>、</w:t>
            </w:r>
            <w:r>
              <w:rPr>
                <w:b w:val="0"/>
                <w:bCs/>
                <w:color w:val="auto"/>
                <w:kern w:val="0"/>
                <w:szCs w:val="21"/>
                <w:lang w:bidi="ar"/>
              </w:rPr>
              <w:t>氟化物</w:t>
            </w:r>
            <w:r>
              <w:rPr>
                <w:rFonts w:hint="eastAsia"/>
                <w:b w:val="0"/>
                <w:bCs/>
                <w:color w:val="auto"/>
                <w:kern w:val="0"/>
                <w:szCs w:val="21"/>
                <w:lang w:bidi="ar"/>
              </w:rPr>
              <w:t>、</w:t>
            </w:r>
            <w:r>
              <w:rPr>
                <w:b w:val="0"/>
                <w:bCs/>
                <w:color w:val="auto"/>
                <w:kern w:val="0"/>
                <w:szCs w:val="21"/>
                <w:lang w:bidi="ar"/>
              </w:rPr>
              <w:t>镉</w:t>
            </w:r>
            <w:r>
              <w:rPr>
                <w:rFonts w:hint="eastAsia"/>
                <w:b w:val="0"/>
                <w:bCs/>
                <w:color w:val="auto"/>
                <w:kern w:val="0"/>
                <w:szCs w:val="21"/>
                <w:lang w:bidi="ar"/>
              </w:rPr>
              <w:t>、</w:t>
            </w:r>
            <w:r>
              <w:rPr>
                <w:b w:val="0"/>
                <w:bCs/>
                <w:color w:val="auto"/>
                <w:szCs w:val="21"/>
              </w:rPr>
              <w:t>铁</w:t>
            </w:r>
            <w:r>
              <w:rPr>
                <w:rFonts w:hint="eastAsia"/>
                <w:b w:val="0"/>
                <w:bCs/>
                <w:color w:val="auto"/>
                <w:szCs w:val="21"/>
              </w:rPr>
              <w:t>、</w:t>
            </w:r>
            <w:r>
              <w:rPr>
                <w:b w:val="0"/>
                <w:bCs/>
                <w:color w:val="auto"/>
                <w:szCs w:val="21"/>
              </w:rPr>
              <w:t>锰</w:t>
            </w:r>
            <w:r>
              <w:rPr>
                <w:rFonts w:hint="eastAsia"/>
                <w:b w:val="0"/>
                <w:bCs/>
                <w:color w:val="auto"/>
                <w:szCs w:val="21"/>
              </w:rPr>
              <w:t>、</w:t>
            </w:r>
            <w:r>
              <w:rPr>
                <w:b w:val="0"/>
                <w:bCs/>
                <w:color w:val="auto"/>
                <w:kern w:val="0"/>
                <w:szCs w:val="21"/>
                <w:lang w:bidi="ar"/>
              </w:rPr>
              <w:t>溶解性总固体</w:t>
            </w:r>
            <w:r>
              <w:rPr>
                <w:rFonts w:hint="eastAsia"/>
                <w:b w:val="0"/>
                <w:bCs/>
                <w:color w:val="auto"/>
                <w:kern w:val="0"/>
                <w:szCs w:val="21"/>
                <w:lang w:bidi="ar"/>
              </w:rPr>
              <w:t>、</w:t>
            </w:r>
            <w:r>
              <w:rPr>
                <w:b w:val="0"/>
                <w:bCs/>
                <w:color w:val="auto"/>
                <w:kern w:val="0"/>
                <w:szCs w:val="21"/>
                <w:lang w:bidi="ar"/>
              </w:rPr>
              <w:t>高锰酸盐指数</w:t>
            </w:r>
            <w:r>
              <w:rPr>
                <w:rFonts w:hint="eastAsia"/>
                <w:b w:val="0"/>
                <w:bCs/>
                <w:color w:val="auto"/>
                <w:kern w:val="0"/>
                <w:szCs w:val="21"/>
                <w:lang w:bidi="ar"/>
              </w:rPr>
              <w:t>、</w:t>
            </w:r>
            <w:r>
              <w:rPr>
                <w:b w:val="0"/>
                <w:bCs/>
                <w:color w:val="auto"/>
                <w:kern w:val="0"/>
                <w:szCs w:val="21"/>
                <w:lang w:bidi="ar"/>
              </w:rPr>
              <w:t>硫酸盐</w:t>
            </w:r>
            <w:r>
              <w:rPr>
                <w:rFonts w:hint="eastAsia"/>
                <w:b w:val="0"/>
                <w:bCs/>
                <w:color w:val="auto"/>
                <w:kern w:val="0"/>
                <w:szCs w:val="21"/>
                <w:lang w:bidi="ar"/>
              </w:rPr>
              <w:t>、</w:t>
            </w:r>
            <w:r>
              <w:rPr>
                <w:b w:val="0"/>
                <w:bCs/>
                <w:color w:val="auto"/>
                <w:kern w:val="0"/>
                <w:szCs w:val="21"/>
                <w:lang w:bidi="ar"/>
              </w:rPr>
              <w:t>氯化物</w:t>
            </w:r>
            <w:r>
              <w:rPr>
                <w:rFonts w:hint="eastAsia"/>
                <w:b w:val="0"/>
                <w:bCs/>
                <w:color w:val="auto"/>
                <w:kern w:val="0"/>
                <w:szCs w:val="21"/>
                <w:lang w:bidi="ar"/>
              </w:rPr>
              <w:t>、</w:t>
            </w:r>
            <w:r>
              <w:rPr>
                <w:b w:val="0"/>
                <w:bCs/>
                <w:color w:val="auto"/>
                <w:szCs w:val="21"/>
              </w:rPr>
              <w:t>总大肠菌群</w:t>
            </w:r>
            <w:r>
              <w:rPr>
                <w:rFonts w:hint="eastAsia"/>
                <w:b w:val="0"/>
                <w:bCs/>
                <w:color w:val="auto"/>
                <w:szCs w:val="21"/>
              </w:rPr>
              <w:t>、</w:t>
            </w:r>
            <w:r>
              <w:rPr>
                <w:b w:val="0"/>
                <w:bCs/>
                <w:color w:val="auto"/>
                <w:kern w:val="0"/>
                <w:szCs w:val="21"/>
                <w:lang w:bidi="ar"/>
              </w:rPr>
              <w:t>细菌总数</w:t>
            </w:r>
            <w:r>
              <w:rPr>
                <w:rFonts w:hint="eastAsia"/>
                <w:b w:val="0"/>
                <w:bCs/>
                <w:color w:val="auto"/>
                <w:kern w:val="0"/>
                <w:szCs w:val="21"/>
                <w:lang w:bidi="ar"/>
              </w:rPr>
              <w:t>、</w:t>
            </w:r>
            <w:r>
              <w:rPr>
                <w:b w:val="0"/>
                <w:bCs/>
                <w:color w:val="auto"/>
                <w:kern w:val="0"/>
                <w:szCs w:val="21"/>
                <w:lang w:bidi="ar"/>
              </w:rPr>
              <w:t>铜</w:t>
            </w:r>
            <w:r>
              <w:rPr>
                <w:rFonts w:hint="eastAsia"/>
                <w:b w:val="0"/>
                <w:bCs/>
                <w:color w:val="auto"/>
                <w:kern w:val="0"/>
                <w:szCs w:val="21"/>
                <w:lang w:bidi="ar"/>
              </w:rPr>
              <w:t>、</w:t>
            </w:r>
            <w:r>
              <w:rPr>
                <w:b w:val="0"/>
                <w:bCs/>
                <w:color w:val="auto"/>
                <w:kern w:val="0"/>
                <w:szCs w:val="21"/>
                <w:lang w:bidi="ar"/>
              </w:rPr>
              <w:t>锌</w:t>
            </w:r>
            <w:r>
              <w:rPr>
                <w:rFonts w:hint="eastAsia"/>
                <w:b w:val="0"/>
                <w:bCs/>
                <w:color w:val="auto"/>
                <w:kern w:val="0"/>
                <w:szCs w:val="21"/>
                <w:lang w:bidi="ar"/>
              </w:rPr>
              <w:t>、</w:t>
            </w:r>
            <w:r>
              <w:rPr>
                <w:b w:val="0"/>
                <w:bCs/>
                <w:color w:val="auto"/>
                <w:szCs w:val="21"/>
              </w:rPr>
              <w:t>铝</w:t>
            </w:r>
            <w:r>
              <w:rPr>
                <w:rFonts w:hint="eastAsia"/>
                <w:b w:val="0"/>
                <w:bCs/>
                <w:color w:val="auto"/>
                <w:szCs w:val="21"/>
              </w:rPr>
              <w:t>、</w:t>
            </w:r>
            <w:r>
              <w:rPr>
                <w:b w:val="0"/>
                <w:bCs/>
                <w:color w:val="auto"/>
                <w:szCs w:val="21"/>
              </w:rPr>
              <w:t>苯</w:t>
            </w:r>
            <w:r>
              <w:rPr>
                <w:rFonts w:hint="eastAsia"/>
                <w:b w:val="0"/>
                <w:bCs/>
                <w:color w:val="auto"/>
                <w:szCs w:val="21"/>
              </w:rPr>
              <w:t>、</w:t>
            </w:r>
            <w:r>
              <w:rPr>
                <w:b w:val="0"/>
                <w:bCs/>
                <w:color w:val="auto"/>
                <w:szCs w:val="21"/>
              </w:rPr>
              <w:t>甲苯</w:t>
            </w:r>
            <w:r>
              <w:rPr>
                <w:rFonts w:hint="eastAsia"/>
                <w:b w:val="0"/>
                <w:bCs/>
                <w:color w:val="auto"/>
                <w:szCs w:val="21"/>
              </w:rPr>
              <w:t>、</w:t>
            </w:r>
            <w:r>
              <w:rPr>
                <w:b w:val="0"/>
                <w:bCs/>
                <w:color w:val="auto"/>
                <w:szCs w:val="21"/>
              </w:rPr>
              <w:t>二甲苯（总量）</w:t>
            </w:r>
            <w:r>
              <w:rPr>
                <w:rFonts w:hint="eastAsia"/>
                <w:b w:val="0"/>
                <w:bCs/>
                <w:color w:val="auto"/>
                <w:szCs w:val="21"/>
              </w:rPr>
              <w:t>、</w:t>
            </w:r>
            <w:r>
              <w:rPr>
                <w:b w:val="0"/>
                <w:bCs/>
                <w:color w:val="auto"/>
                <w:szCs w:val="21"/>
              </w:rPr>
              <w:t>苯并[a]芘</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土壤</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rFonts w:hint="eastAsia"/>
                <w:b w:val="0"/>
                <w:bCs/>
                <w:color w:val="auto"/>
                <w:szCs w:val="21"/>
              </w:rPr>
              <w:t>土壤理化特性：阳离子交换量、氧化还原电位、饱和导水率、土壤容重、孔隙度。</w:t>
            </w:r>
          </w:p>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rFonts w:hint="eastAsia"/>
                <w:b w:val="0"/>
                <w:bCs/>
                <w:color w:val="auto"/>
                <w:szCs w:val="21"/>
              </w:rPr>
              <w:t>特征因子：苯，间二甲苯+对二甲苯，邻二甲苯，苯并[a]芘，石油烃（C</w:t>
            </w:r>
            <w:r>
              <w:rPr>
                <w:rFonts w:hint="eastAsia"/>
                <w:b w:val="0"/>
                <w:bCs/>
                <w:color w:val="auto"/>
                <w:szCs w:val="21"/>
                <w:vertAlign w:val="subscript"/>
              </w:rPr>
              <w:t>10</w:t>
            </w:r>
            <w:r>
              <w:rPr>
                <w:rFonts w:hint="eastAsia"/>
                <w:b w:val="0"/>
                <w:bCs/>
                <w:color w:val="auto"/>
                <w:szCs w:val="21"/>
              </w:rPr>
              <w:t>-C</w:t>
            </w:r>
            <w:r>
              <w:rPr>
                <w:rFonts w:hint="eastAsia"/>
                <w:b w:val="0"/>
                <w:bCs/>
                <w:color w:val="auto"/>
                <w:szCs w:val="21"/>
                <w:vertAlign w:val="subscript"/>
              </w:rPr>
              <w:t>40</w:t>
            </w:r>
            <w:r>
              <w:rPr>
                <w:rFonts w:hint="eastAsia"/>
                <w:b w:val="0"/>
                <w:bCs/>
                <w:color w:val="auto"/>
                <w:szCs w:val="21"/>
              </w:rPr>
              <w:t>）。</w:t>
            </w:r>
          </w:p>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rFonts w:hint="eastAsia"/>
                <w:b w:val="0"/>
                <w:bCs/>
                <w:color w:val="auto"/>
                <w:szCs w:val="21"/>
              </w:rPr>
              <w:t>基本因子：pH、砷、隔、铬（六价）、铜、铅、汞、镍、四氯化碳、氯仿、氯甲烷、1,1-二氯乙烷、1,2-二氯乙烷、1,1-二氯乙烯，顺-1,2-二氯乙烯，反-1,2-二氯乙烯，二氯甲烷，1,2-二氯丙烷，1,1,1,2-四氯乙烷，1,1,2,2-四氯乙烷，四氯乙烷，1,1,1-三氯乙烷，1,1,2-三氯乙烷，三氯乙烯，1,2,3-三氯丙烷，氯乙烯，氯苯，1,2-二氯苯，1,4-二氯苯，乙苯，苯乙烯，甲苯，硝基苯，苯胺，2-氯酚，苯并[a]蒽，苯并[a]荧蒽，苯并[k]荧蒽，䓛，二苯并[a，h]蒽，茚并[1,2,3-cd]芘，萘。</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声环境</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等效连续A声级</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6"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底泥</w:t>
            </w:r>
          </w:p>
        </w:tc>
        <w:tc>
          <w:tcPr>
            <w:tcW w:w="528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pH、铜、镍、汞、镉、铅、砷、铬、锌</w:t>
            </w:r>
          </w:p>
        </w:tc>
        <w:tc>
          <w:tcPr>
            <w:tcW w:w="2512" w:type="dxa"/>
            <w:vAlign w:val="center"/>
          </w:tcPr>
          <w:p>
            <w:pPr>
              <w:keepNext w:val="0"/>
              <w:keepLines w:val="0"/>
              <w:pageBreakBefore w:val="0"/>
              <w:widowControl/>
              <w:tabs>
                <w:tab w:val="left" w:pos="0"/>
                <w:tab w:val="left" w:pos="2089"/>
              </w:tabs>
              <w:kinsoku/>
              <w:wordWrap/>
              <w:overflowPunct/>
              <w:topLinePunct w:val="0"/>
              <w:autoSpaceDE/>
              <w:autoSpaceDN/>
              <w:bidi w:val="0"/>
              <w:adjustRightInd w:val="0"/>
              <w:snapToGrid w:val="0"/>
              <w:spacing w:line="288" w:lineRule="auto"/>
              <w:ind w:left="0" w:leftChars="0" w:right="0" w:rightChars="0" w:firstLine="0" w:firstLineChars="0"/>
              <w:jc w:val="center"/>
              <w:textAlignment w:val="auto"/>
              <w:outlineLvl w:val="9"/>
              <w:rPr>
                <w:b w:val="0"/>
                <w:bCs/>
                <w:color w:val="auto"/>
                <w:szCs w:val="21"/>
              </w:rPr>
            </w:pPr>
            <w:r>
              <w:rPr>
                <w:b w:val="0"/>
                <w:bCs/>
                <w:color w:val="auto"/>
                <w:szCs w:val="21"/>
              </w:rPr>
              <w:t>/</w:t>
            </w:r>
          </w:p>
        </w:tc>
      </w:tr>
    </w:tbl>
    <w:p>
      <w:pPr>
        <w:pStyle w:val="5"/>
        <w:numPr>
          <w:ilvl w:val="1"/>
          <w:numId w:val="0"/>
        </w:numPr>
        <w:tabs>
          <w:tab w:val="clear" w:pos="720"/>
        </w:tabs>
        <w:spacing w:before="159" w:after="159"/>
        <w:rPr>
          <w:color w:val="auto"/>
          <w:sz w:val="32"/>
          <w:szCs w:val="32"/>
        </w:rPr>
      </w:pPr>
      <w:bookmarkStart w:id="145" w:name="_Toc112000274"/>
      <w:bookmarkStart w:id="146" w:name="_Toc328487908"/>
      <w:bookmarkStart w:id="147" w:name="_Toc134084402"/>
      <w:bookmarkStart w:id="148" w:name="_Toc129683796"/>
      <w:bookmarkStart w:id="149" w:name="_Toc31945_WPSOffice_Level2"/>
      <w:bookmarkStart w:id="150" w:name="_Toc134007719"/>
      <w:bookmarkStart w:id="151" w:name="_Toc111999986"/>
      <w:bookmarkStart w:id="152" w:name="_Toc17255_WPSOffice_Level2"/>
      <w:bookmarkStart w:id="153" w:name="_Toc114055125"/>
      <w:bookmarkStart w:id="154" w:name="_Toc114055303"/>
      <w:bookmarkStart w:id="155" w:name="_Toc7884"/>
      <w:bookmarkStart w:id="156" w:name="_Toc129265431"/>
      <w:bookmarkStart w:id="157" w:name="_Toc129269838"/>
      <w:bookmarkStart w:id="158" w:name="_Toc247601850"/>
      <w:bookmarkStart w:id="159" w:name="_Toc461434967"/>
      <w:bookmarkStart w:id="160" w:name="_Toc114056938"/>
      <w:bookmarkStart w:id="161" w:name="_Toc129264790"/>
      <w:bookmarkStart w:id="162" w:name="_Toc29759408"/>
      <w:bookmarkStart w:id="163" w:name="_Toc30902"/>
      <w:bookmarkStart w:id="164" w:name="_Toc112217430"/>
      <w:bookmarkStart w:id="165" w:name="_Toc30154"/>
      <w:bookmarkStart w:id="166" w:name="_Toc129684176"/>
      <w:bookmarkStart w:id="167" w:name="_Toc129263573"/>
      <w:bookmarkStart w:id="168" w:name="_Toc248221431"/>
      <w:bookmarkStart w:id="169" w:name="_Toc465156540"/>
      <w:bookmarkStart w:id="170" w:name="_Toc1417"/>
      <w:bookmarkStart w:id="171" w:name="_Toc340647778"/>
      <w:bookmarkStart w:id="172" w:name="_Toc342292157"/>
      <w:bookmarkStart w:id="173" w:name="_Toc21880"/>
      <w:bookmarkStart w:id="174" w:name="_Toc28827_WPSOffice_Level2"/>
      <w:bookmarkStart w:id="175" w:name="_Toc129265711"/>
      <w:bookmarkStart w:id="176" w:name="_Toc461434730"/>
      <w:bookmarkStart w:id="177" w:name="_Toc112001243"/>
      <w:bookmarkStart w:id="178" w:name="_Toc454136173"/>
      <w:bookmarkStart w:id="179" w:name="_Toc129277500"/>
      <w:bookmarkStart w:id="180" w:name="_Toc19626_WPSOffice_Level2"/>
      <w:bookmarkStart w:id="181" w:name="_Toc7498_WPSOffice_Level2"/>
      <w:bookmarkStart w:id="182" w:name="_Toc129270391"/>
      <w:bookmarkStart w:id="183" w:name="_Toc22591_WPSOffice_Level2"/>
      <w:bookmarkStart w:id="184" w:name="_Toc111972924"/>
      <w:bookmarkStart w:id="185" w:name="_Toc3905720"/>
      <w:bookmarkStart w:id="186" w:name="_Toc256001792"/>
      <w:bookmarkStart w:id="187" w:name="_Toc14369_WPSOffice_Level2"/>
      <w:bookmarkStart w:id="188" w:name="_Toc8274_WPSOffice_Level2"/>
      <w:bookmarkStart w:id="189" w:name="_Toc335981117"/>
      <w:bookmarkStart w:id="190" w:name="OLE_LINK1"/>
      <w:bookmarkStart w:id="191" w:name="OLE_LINK2"/>
      <w:r>
        <w:rPr>
          <w:color w:val="auto"/>
          <w:sz w:val="32"/>
          <w:szCs w:val="32"/>
        </w:rPr>
        <w:t>2.6</w:t>
      </w:r>
      <w:r>
        <w:rPr>
          <w:rFonts w:hint="eastAsia"/>
          <w:color w:val="auto"/>
          <w:sz w:val="32"/>
          <w:szCs w:val="32"/>
        </w:rPr>
        <w:t xml:space="preserve">  </w:t>
      </w:r>
      <w:r>
        <w:rPr>
          <w:color w:val="auto"/>
          <w:sz w:val="32"/>
          <w:szCs w:val="32"/>
        </w:rPr>
        <w:t>环境评价工作等级</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bookmarkEnd w:id="190"/>
    <w:bookmarkEnd w:id="191"/>
    <w:p>
      <w:pPr>
        <w:keepNext/>
        <w:keepLines/>
        <w:spacing w:line="360" w:lineRule="auto"/>
        <w:jc w:val="left"/>
        <w:outlineLvl w:val="2"/>
        <w:rPr>
          <w:b/>
          <w:bCs/>
          <w:color w:val="auto"/>
          <w:sz w:val="28"/>
          <w:szCs w:val="28"/>
        </w:rPr>
      </w:pPr>
      <w:bookmarkStart w:id="192" w:name="_Toc7141"/>
      <w:bookmarkStart w:id="193" w:name="_Toc465156541"/>
      <w:bookmarkStart w:id="194" w:name="_Toc465089649"/>
      <w:bookmarkStart w:id="195" w:name="_Toc461434731"/>
      <w:bookmarkStart w:id="196" w:name="_Toc32583"/>
      <w:bookmarkStart w:id="197" w:name="_Toc20643"/>
      <w:r>
        <w:rPr>
          <w:b/>
          <w:bCs/>
          <w:color w:val="auto"/>
          <w:sz w:val="28"/>
          <w:szCs w:val="28"/>
        </w:rPr>
        <w:t>2.6.1</w:t>
      </w:r>
      <w:r>
        <w:rPr>
          <w:rFonts w:hint="eastAsia"/>
          <w:b/>
          <w:bCs/>
          <w:color w:val="auto"/>
          <w:sz w:val="28"/>
          <w:szCs w:val="28"/>
        </w:rPr>
        <w:t xml:space="preserve">  </w:t>
      </w:r>
      <w:r>
        <w:rPr>
          <w:b/>
          <w:bCs/>
          <w:color w:val="auto"/>
          <w:sz w:val="28"/>
          <w:szCs w:val="28"/>
        </w:rPr>
        <w:t>地表水环境评价工作等级</w:t>
      </w:r>
      <w:bookmarkEnd w:id="192"/>
      <w:bookmarkEnd w:id="193"/>
      <w:bookmarkEnd w:id="194"/>
      <w:bookmarkEnd w:id="195"/>
      <w:bookmarkEnd w:id="196"/>
      <w:bookmarkEnd w:id="197"/>
    </w:p>
    <w:p>
      <w:pPr>
        <w:spacing w:line="360" w:lineRule="auto"/>
        <w:ind w:firstLine="480" w:firstLineChars="200"/>
        <w:rPr>
          <w:color w:val="auto"/>
          <w:sz w:val="24"/>
        </w:rPr>
      </w:pPr>
      <w:r>
        <w:rPr>
          <w:color w:val="auto"/>
          <w:sz w:val="24"/>
          <w:szCs w:val="20"/>
        </w:rPr>
        <w:t>根据《</w:t>
      </w:r>
      <w:r>
        <w:rPr>
          <w:color w:val="auto"/>
          <w:sz w:val="24"/>
        </w:rPr>
        <w:t>环境影响评价</w:t>
      </w:r>
      <w:r>
        <w:rPr>
          <w:color w:val="auto"/>
          <w:sz w:val="24"/>
          <w:szCs w:val="20"/>
        </w:rPr>
        <w:t>技术</w:t>
      </w:r>
      <w:r>
        <w:rPr>
          <w:color w:val="auto"/>
          <w:sz w:val="24"/>
        </w:rPr>
        <w:t>导则</w:t>
      </w:r>
      <w:r>
        <w:rPr>
          <w:color w:val="auto"/>
          <w:sz w:val="24"/>
          <w:szCs w:val="20"/>
        </w:rPr>
        <w:t>-</w:t>
      </w:r>
      <w:r>
        <w:rPr>
          <w:color w:val="auto"/>
          <w:sz w:val="24"/>
        </w:rPr>
        <w:t>地表水</w:t>
      </w:r>
      <w:r>
        <w:rPr>
          <w:color w:val="auto"/>
          <w:sz w:val="24"/>
          <w:szCs w:val="20"/>
        </w:rPr>
        <w:t>环境》(HJ 2.3-2018)，地表水环境影响评价工作等级将依据建设项目的污水排放量、水质复杂程度、受纳水域的规模以及对其水质功能的要求确定。</w:t>
      </w:r>
    </w:p>
    <w:p>
      <w:pPr>
        <w:spacing w:line="360" w:lineRule="auto"/>
        <w:ind w:firstLine="480" w:firstLineChars="200"/>
        <w:rPr>
          <w:color w:val="auto"/>
          <w:sz w:val="24"/>
        </w:rPr>
      </w:pPr>
      <w:r>
        <w:rPr>
          <w:color w:val="auto"/>
          <w:sz w:val="24"/>
        </w:rPr>
        <w:t>项目属于水污染影响型建设项目，应根据排放方式和废水排放量划分评价等级，详见下表。</w:t>
      </w:r>
    </w:p>
    <w:p>
      <w:pPr>
        <w:pStyle w:val="73"/>
        <w:shd w:val="clear" w:color="auto" w:fill="auto"/>
        <w:spacing w:line="360" w:lineRule="auto"/>
        <w:jc w:val="center"/>
        <w:rPr>
          <w:rFonts w:hint="default" w:ascii="Times New Roman" w:hAnsi="Times New Roman" w:eastAsia="宋体"/>
          <w:b/>
          <w:color w:val="auto"/>
          <w:sz w:val="21"/>
          <w:szCs w:val="21"/>
        </w:rPr>
      </w:pPr>
      <w:r>
        <w:rPr>
          <w:rFonts w:hint="default" w:ascii="Times New Roman" w:hAnsi="Times New Roman" w:eastAsia="宋体"/>
          <w:b/>
          <w:color w:val="auto"/>
          <w:sz w:val="21"/>
          <w:szCs w:val="21"/>
        </w:rPr>
        <w:t>表2.6-1</w:t>
      </w:r>
      <w:r>
        <w:rPr>
          <w:rStyle w:val="74"/>
          <w:rFonts w:hint="default" w:ascii="Times New Roman" w:hAnsi="Times New Roman" w:eastAsia="宋体" w:cs="Times New Roman"/>
          <w:b/>
          <w:color w:val="auto"/>
          <w:sz w:val="21"/>
          <w:szCs w:val="21"/>
        </w:rPr>
        <w:t xml:space="preserve"> </w:t>
      </w:r>
      <w:r>
        <w:rPr>
          <w:rFonts w:hint="default" w:ascii="Times New Roman" w:hAnsi="Times New Roman" w:eastAsia="宋体"/>
          <w:b/>
          <w:color w:val="auto"/>
          <w:sz w:val="21"/>
          <w:szCs w:val="21"/>
        </w:rPr>
        <w:t>水污染影响型建设项目评价等级判定</w:t>
      </w:r>
    </w:p>
    <w:tbl>
      <w:tblPr>
        <w:tblStyle w:val="23"/>
        <w:tblW w:w="87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958"/>
        <w:gridCol w:w="1320"/>
        <w:gridCol w:w="5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vMerge w:val="restart"/>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评价等级</w:t>
            </w:r>
          </w:p>
        </w:tc>
        <w:tc>
          <w:tcPr>
            <w:tcW w:w="6794" w:type="dxa"/>
            <w:gridSpan w:val="2"/>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vMerge w:val="continue"/>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p>
        </w:tc>
        <w:tc>
          <w:tcPr>
            <w:tcW w:w="1320"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排放方式</w:t>
            </w:r>
          </w:p>
        </w:tc>
        <w:tc>
          <w:tcPr>
            <w:tcW w:w="5474"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废水排放量Q/(m</w:t>
            </w:r>
            <w:r>
              <w:rPr>
                <w:bCs/>
                <w:color w:val="auto"/>
                <w:spacing w:val="-1"/>
                <w:kern w:val="30"/>
                <w:position w:val="-1"/>
                <w:szCs w:val="21"/>
                <w:vertAlign w:val="superscript"/>
              </w:rPr>
              <w:t>3</w:t>
            </w:r>
            <w:r>
              <w:rPr>
                <w:bCs/>
                <w:color w:val="auto"/>
                <w:spacing w:val="-1"/>
                <w:kern w:val="30"/>
                <w:position w:val="-1"/>
                <w:szCs w:val="21"/>
              </w:rPr>
              <w:t>/d)</w:t>
            </w:r>
            <w:r>
              <w:rPr>
                <w:bCs/>
                <w:color w:val="auto"/>
                <w:spacing w:val="-1"/>
                <w:kern w:val="30"/>
                <w:position w:val="-1"/>
                <w:szCs w:val="21"/>
                <w:lang w:val="zh-TW"/>
              </w:rPr>
              <w:t>；</w:t>
            </w:r>
            <w:r>
              <w:rPr>
                <w:bCs/>
                <w:color w:val="auto"/>
                <w:spacing w:val="-1"/>
                <w:kern w:val="30"/>
                <w:position w:val="-1"/>
                <w:szCs w:val="21"/>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一级</w:t>
            </w:r>
          </w:p>
        </w:tc>
        <w:tc>
          <w:tcPr>
            <w:tcW w:w="1320"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直接排放</w:t>
            </w:r>
          </w:p>
        </w:tc>
        <w:tc>
          <w:tcPr>
            <w:tcW w:w="5474"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Q≥</w:t>
            </w:r>
            <w:r>
              <w:rPr>
                <w:bCs/>
                <w:color w:val="auto"/>
                <w:spacing w:val="-1"/>
                <w:kern w:val="30"/>
                <w:position w:val="-1"/>
                <w:szCs w:val="21"/>
                <w:lang w:val="zh-TW"/>
              </w:rPr>
              <w:t xml:space="preserve">20000 </w:t>
            </w:r>
            <w:r>
              <w:rPr>
                <w:bCs/>
                <w:color w:val="auto"/>
                <w:spacing w:val="-1"/>
                <w:kern w:val="30"/>
                <w:position w:val="-1"/>
                <w:szCs w:val="21"/>
              </w:rPr>
              <w:t>或W≤</w:t>
            </w:r>
            <w:r>
              <w:rPr>
                <w:bCs/>
                <w:color w:val="auto"/>
                <w:spacing w:val="-1"/>
                <w:kern w:val="30"/>
                <w:position w:val="-1"/>
                <w:szCs w:val="21"/>
                <w:lang w:val="zh-TW"/>
              </w:rPr>
              <w:t>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二级</w:t>
            </w:r>
          </w:p>
        </w:tc>
        <w:tc>
          <w:tcPr>
            <w:tcW w:w="1320"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直接排放</w:t>
            </w:r>
          </w:p>
        </w:tc>
        <w:tc>
          <w:tcPr>
            <w:tcW w:w="5474"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三级A</w:t>
            </w:r>
          </w:p>
        </w:tc>
        <w:tc>
          <w:tcPr>
            <w:tcW w:w="1320"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直接排放</w:t>
            </w:r>
          </w:p>
        </w:tc>
        <w:tc>
          <w:tcPr>
            <w:tcW w:w="5474"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Q</w:t>
            </w:r>
            <w:r>
              <w:rPr>
                <w:bCs/>
                <w:color w:val="auto"/>
                <w:spacing w:val="-1"/>
                <w:kern w:val="30"/>
                <w:position w:val="-1"/>
                <w:szCs w:val="21"/>
                <w:lang w:val="zh-TW"/>
              </w:rPr>
              <w:t xml:space="preserve">＜200 </w:t>
            </w:r>
            <w:r>
              <w:rPr>
                <w:bCs/>
                <w:color w:val="auto"/>
                <w:spacing w:val="-1"/>
                <w:kern w:val="30"/>
                <w:position w:val="-1"/>
                <w:szCs w:val="21"/>
              </w:rPr>
              <w:t>且</w:t>
            </w:r>
            <w:r>
              <w:rPr>
                <w:bCs/>
                <w:color w:val="auto"/>
                <w:spacing w:val="-1"/>
                <w:kern w:val="30"/>
                <w:position w:val="-1"/>
                <w:szCs w:val="21"/>
                <w:lang w:val="zh-TW"/>
              </w:rPr>
              <w:t xml:space="preserve"> 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958"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三级B</w:t>
            </w:r>
          </w:p>
        </w:tc>
        <w:tc>
          <w:tcPr>
            <w:tcW w:w="1320"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间接排放</w:t>
            </w:r>
          </w:p>
        </w:tc>
        <w:tc>
          <w:tcPr>
            <w:tcW w:w="5474" w:type="dxa"/>
            <w:tcBorders>
              <w:tl2br w:val="nil"/>
              <w:tr2bl w:val="nil"/>
            </w:tcBorders>
            <w:shd w:val="clear" w:color="auto" w:fill="FFFFFF"/>
            <w:vAlign w:val="center"/>
          </w:tcPr>
          <w:p>
            <w:pPr>
              <w:tabs>
                <w:tab w:val="left" w:pos="1081"/>
              </w:tabs>
              <w:adjustRightInd w:val="0"/>
              <w:spacing w:line="300" w:lineRule="auto"/>
              <w:jc w:val="center"/>
              <w:rPr>
                <w:bCs/>
                <w:color w:val="auto"/>
                <w:spacing w:val="-1"/>
                <w:kern w:val="30"/>
                <w:position w:val="-1"/>
                <w:szCs w:val="21"/>
              </w:rPr>
            </w:pPr>
            <w:r>
              <w:rPr>
                <w:bCs/>
                <w:color w:val="auto"/>
                <w:spacing w:val="-1"/>
                <w:kern w:val="30"/>
                <w:position w:val="-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752" w:type="dxa"/>
            <w:gridSpan w:val="3"/>
            <w:tcBorders>
              <w:tl2br w:val="nil"/>
              <w:tr2bl w:val="nil"/>
            </w:tcBorders>
            <w:shd w:val="clear" w:color="auto" w:fill="FFFFFF"/>
            <w:vAlign w:val="center"/>
          </w:tcPr>
          <w:p>
            <w:pPr>
              <w:tabs>
                <w:tab w:val="left" w:pos="1081"/>
              </w:tabs>
              <w:adjustRightInd w:val="0"/>
              <w:spacing w:line="300" w:lineRule="auto"/>
              <w:jc w:val="left"/>
              <w:rPr>
                <w:color w:val="auto"/>
                <w:szCs w:val="21"/>
              </w:rPr>
            </w:pPr>
            <w:r>
              <w:rPr>
                <w:color w:val="auto"/>
                <w:szCs w:val="21"/>
              </w:rPr>
              <w:t>注1：水污染物当量数等于该污染物的年排放量除以该污染物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32"/>
              <w:spacing w:line="300" w:lineRule="auto"/>
              <w:rPr>
                <w:bCs/>
                <w:color w:val="auto"/>
                <w:spacing w:val="-1"/>
                <w:kern w:val="30"/>
                <w:position w:val="-1"/>
                <w:sz w:val="21"/>
                <w:szCs w:val="21"/>
              </w:rPr>
            </w:pPr>
            <w:r>
              <w:rPr>
                <w:bCs/>
                <w:color w:val="auto"/>
                <w:spacing w:val="-1"/>
                <w:kern w:val="30"/>
                <w:position w:val="-1"/>
                <w:sz w:val="21"/>
                <w:szCs w:val="21"/>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32"/>
              <w:spacing w:line="300" w:lineRule="auto"/>
              <w:rPr>
                <w:bCs/>
                <w:color w:val="auto"/>
                <w:spacing w:val="-1"/>
                <w:kern w:val="30"/>
                <w:position w:val="-1"/>
                <w:sz w:val="21"/>
                <w:szCs w:val="21"/>
              </w:rPr>
            </w:pPr>
            <w:r>
              <w:rPr>
                <w:bCs/>
                <w:color w:val="auto"/>
                <w:spacing w:val="-1"/>
                <w:kern w:val="30"/>
                <w:position w:val="-1"/>
                <w:sz w:val="21"/>
                <w:szCs w:val="21"/>
              </w:rPr>
              <w:t>注3：厂区存在堆积物（露天对方的原料、染料和废渣等以及垃圾堆放场）、降尘污染的，应将初期雨污水纳入废水排放量，对应的主要污染物纳入水污染当量计算。</w:t>
            </w:r>
          </w:p>
          <w:p>
            <w:pPr>
              <w:pStyle w:val="32"/>
              <w:spacing w:line="300" w:lineRule="auto"/>
              <w:rPr>
                <w:bCs/>
                <w:color w:val="auto"/>
                <w:spacing w:val="-1"/>
                <w:kern w:val="30"/>
                <w:position w:val="-1"/>
                <w:sz w:val="21"/>
                <w:szCs w:val="21"/>
              </w:rPr>
            </w:pPr>
            <w:r>
              <w:rPr>
                <w:bCs/>
                <w:color w:val="auto"/>
                <w:spacing w:val="-1"/>
                <w:kern w:val="30"/>
                <w:position w:val="-1"/>
                <w:sz w:val="21"/>
                <w:szCs w:val="21"/>
              </w:rPr>
              <w:t>注4：建设项目直接排放第一类污染物的，其评价等级为一级；建设项目直接排放的污染物为受纳水体超标因子的，评级按等级不低于二级。</w:t>
            </w:r>
          </w:p>
          <w:p>
            <w:pPr>
              <w:pStyle w:val="32"/>
              <w:spacing w:line="300" w:lineRule="auto"/>
              <w:rPr>
                <w:bCs/>
                <w:color w:val="auto"/>
                <w:spacing w:val="-1"/>
                <w:kern w:val="30"/>
                <w:position w:val="-1"/>
                <w:sz w:val="21"/>
                <w:szCs w:val="21"/>
              </w:rPr>
            </w:pPr>
            <w:r>
              <w:rPr>
                <w:bCs/>
                <w:color w:val="auto"/>
                <w:spacing w:val="-1"/>
                <w:kern w:val="30"/>
                <w:position w:val="-1"/>
                <w:sz w:val="21"/>
                <w:szCs w:val="21"/>
              </w:rPr>
              <w:t>注5：直接排放收纳水体影响范围涉及饮用水水源保护区、饮用水取水口、重点保护与珍稀水生生物的栖息地、重要水生生物的自然产卵场等保护目标时，评价等级不低于二级。</w:t>
            </w:r>
          </w:p>
          <w:p>
            <w:pPr>
              <w:pStyle w:val="32"/>
              <w:spacing w:line="300" w:lineRule="auto"/>
              <w:rPr>
                <w:bCs/>
                <w:color w:val="auto"/>
                <w:spacing w:val="-1"/>
                <w:kern w:val="30"/>
                <w:position w:val="-1"/>
                <w:sz w:val="21"/>
                <w:szCs w:val="21"/>
              </w:rPr>
            </w:pPr>
            <w:r>
              <w:rPr>
                <w:bCs/>
                <w:color w:val="auto"/>
                <w:spacing w:val="-1"/>
                <w:kern w:val="30"/>
                <w:position w:val="-1"/>
                <w:sz w:val="21"/>
                <w:szCs w:val="21"/>
              </w:rPr>
              <w:t>注6：建设项目向河流、湖库排放温排水引起受纳水体水温变化超过水环境质量标准要求，且评价范围有水温敏感目标时，评价等级为一级。</w:t>
            </w:r>
          </w:p>
          <w:p>
            <w:pPr>
              <w:pStyle w:val="32"/>
              <w:spacing w:line="300" w:lineRule="auto"/>
              <w:rPr>
                <w:bCs/>
                <w:color w:val="auto"/>
                <w:spacing w:val="-1"/>
                <w:kern w:val="30"/>
                <w:position w:val="-1"/>
                <w:sz w:val="21"/>
                <w:szCs w:val="21"/>
              </w:rPr>
            </w:pPr>
            <w:r>
              <w:rPr>
                <w:bCs/>
                <w:color w:val="auto"/>
                <w:spacing w:val="-1"/>
                <w:kern w:val="30"/>
                <w:position w:val="-1"/>
                <w:sz w:val="21"/>
                <w:szCs w:val="21"/>
              </w:rPr>
              <w:t>注7：建设项目利用海水作为调节温度介质，排水量≥500万m</w:t>
            </w:r>
            <w:r>
              <w:rPr>
                <w:bCs/>
                <w:color w:val="auto"/>
                <w:spacing w:val="-1"/>
                <w:kern w:val="30"/>
                <w:position w:val="-1"/>
                <w:sz w:val="21"/>
                <w:szCs w:val="21"/>
                <w:vertAlign w:val="superscript"/>
              </w:rPr>
              <w:t>3</w:t>
            </w:r>
            <w:r>
              <w:rPr>
                <w:bCs/>
                <w:color w:val="auto"/>
                <w:spacing w:val="-1"/>
                <w:kern w:val="30"/>
                <w:position w:val="-1"/>
                <w:sz w:val="21"/>
                <w:szCs w:val="21"/>
              </w:rPr>
              <w:t>/d，评价等级为一级，排水量＜500万m</w:t>
            </w:r>
            <w:r>
              <w:rPr>
                <w:bCs/>
                <w:color w:val="auto"/>
                <w:spacing w:val="-1"/>
                <w:kern w:val="30"/>
                <w:position w:val="-1"/>
                <w:sz w:val="21"/>
                <w:szCs w:val="21"/>
                <w:vertAlign w:val="superscript"/>
              </w:rPr>
              <w:t>3</w:t>
            </w:r>
            <w:r>
              <w:rPr>
                <w:bCs/>
                <w:color w:val="auto"/>
                <w:spacing w:val="-1"/>
                <w:kern w:val="30"/>
                <w:position w:val="-1"/>
                <w:sz w:val="21"/>
                <w:szCs w:val="21"/>
              </w:rPr>
              <w:t>/d，评价等级为二级。</w:t>
            </w:r>
          </w:p>
          <w:p>
            <w:pPr>
              <w:pStyle w:val="32"/>
              <w:spacing w:line="300" w:lineRule="auto"/>
              <w:rPr>
                <w:bCs/>
                <w:color w:val="auto"/>
                <w:spacing w:val="-1"/>
                <w:kern w:val="30"/>
                <w:position w:val="-1"/>
                <w:sz w:val="21"/>
                <w:szCs w:val="21"/>
              </w:rPr>
            </w:pPr>
            <w:r>
              <w:rPr>
                <w:bCs/>
                <w:color w:val="auto"/>
                <w:spacing w:val="-1"/>
                <w:kern w:val="30"/>
                <w:position w:val="-1"/>
                <w:sz w:val="21"/>
                <w:szCs w:val="21"/>
              </w:rPr>
              <w:t>注8：仅涉及清净下水排放的，如其排放水质满足受纳水体水环境质量标准要求的，评价等级为三级A。</w:t>
            </w:r>
          </w:p>
          <w:p>
            <w:pPr>
              <w:pStyle w:val="32"/>
              <w:spacing w:line="300" w:lineRule="auto"/>
              <w:rPr>
                <w:bCs/>
                <w:color w:val="auto"/>
                <w:spacing w:val="-1"/>
                <w:kern w:val="30"/>
                <w:position w:val="-1"/>
                <w:sz w:val="21"/>
                <w:szCs w:val="21"/>
              </w:rPr>
            </w:pPr>
            <w:r>
              <w:rPr>
                <w:bCs/>
                <w:color w:val="auto"/>
                <w:spacing w:val="-1"/>
                <w:kern w:val="30"/>
                <w:position w:val="-1"/>
                <w:sz w:val="21"/>
                <w:szCs w:val="21"/>
              </w:rPr>
              <w:t>注9：依托现有排放口，且对外环境未新增排放污染物的直接排放建设项目，评价等级参照间接排放，定为三级B。</w:t>
            </w:r>
          </w:p>
          <w:p>
            <w:pPr>
              <w:pStyle w:val="32"/>
              <w:spacing w:line="300" w:lineRule="auto"/>
              <w:rPr>
                <w:bCs/>
                <w:color w:val="auto"/>
                <w:spacing w:val="-1"/>
                <w:kern w:val="30"/>
                <w:position w:val="-1"/>
                <w:sz w:val="21"/>
                <w:szCs w:val="21"/>
              </w:rPr>
            </w:pPr>
            <w:r>
              <w:rPr>
                <w:bCs/>
                <w:color w:val="auto"/>
                <w:spacing w:val="-1"/>
                <w:kern w:val="30"/>
                <w:position w:val="-1"/>
                <w:sz w:val="21"/>
                <w:szCs w:val="21"/>
              </w:rPr>
              <w:t>注10：建设项目生产工艺中有废水产生，但作为回水利用，不排放到外环境的，按三级B评价。</w:t>
            </w:r>
          </w:p>
        </w:tc>
      </w:tr>
    </w:tbl>
    <w:p>
      <w:pPr>
        <w:spacing w:line="360" w:lineRule="auto"/>
        <w:ind w:firstLine="480" w:firstLineChars="200"/>
        <w:rPr>
          <w:color w:val="auto"/>
          <w:sz w:val="24"/>
          <w:szCs w:val="20"/>
        </w:rPr>
      </w:pPr>
      <w:r>
        <w:rPr>
          <w:color w:val="auto"/>
          <w:sz w:val="24"/>
          <w:szCs w:val="20"/>
        </w:rPr>
        <w:t>本项目运营期</w:t>
      </w:r>
      <w:r>
        <w:rPr>
          <w:rFonts w:hint="eastAsia"/>
          <w:color w:val="auto"/>
          <w:sz w:val="24"/>
          <w:szCs w:val="20"/>
        </w:rPr>
        <w:t>，</w:t>
      </w:r>
      <w:r>
        <w:rPr>
          <w:rFonts w:hint="eastAsia"/>
          <w:color w:val="auto"/>
          <w:sz w:val="24"/>
        </w:rPr>
        <w:t>湿式破碎生产线产生的废水经沉淀处理后回用于生产，不外排。卷材生产线的冷却水循环使用，不外排。故项目无生产废水外排。</w:t>
      </w:r>
      <w:r>
        <w:rPr>
          <w:color w:val="auto"/>
          <w:sz w:val="24"/>
          <w:szCs w:val="20"/>
        </w:rPr>
        <w:t>生活污水</w:t>
      </w:r>
      <w:r>
        <w:rPr>
          <w:rFonts w:hint="eastAsia"/>
          <w:color w:val="auto"/>
          <w:sz w:val="24"/>
          <w:szCs w:val="20"/>
        </w:rPr>
        <w:t>经三级化粪池</w:t>
      </w:r>
      <w:r>
        <w:rPr>
          <w:color w:val="auto"/>
          <w:sz w:val="24"/>
          <w:szCs w:val="20"/>
        </w:rPr>
        <w:t>预处理</w:t>
      </w:r>
      <w:r>
        <w:rPr>
          <w:rFonts w:hint="eastAsia"/>
          <w:color w:val="auto"/>
          <w:sz w:val="24"/>
          <w:szCs w:val="20"/>
        </w:rPr>
        <w:t>后</w:t>
      </w:r>
      <w:r>
        <w:rPr>
          <w:color w:val="auto"/>
          <w:sz w:val="24"/>
          <w:szCs w:val="20"/>
        </w:rPr>
        <w:t>经市政管网排至石角镇污水处理厂</w:t>
      </w:r>
      <w:r>
        <w:rPr>
          <w:rFonts w:hint="eastAsia"/>
          <w:color w:val="auto"/>
          <w:sz w:val="24"/>
          <w:szCs w:val="20"/>
        </w:rPr>
        <w:t>进一步</w:t>
      </w:r>
      <w:r>
        <w:rPr>
          <w:color w:val="auto"/>
          <w:sz w:val="24"/>
          <w:szCs w:val="20"/>
        </w:rPr>
        <w:t>处理，尾水排至沙埗溪。由于生活污水的水量较少、污染物复杂程度较为简单，经石角镇污水处理厂深化处理后，对受纳水体沙埗溪的影响较小。按照《环境影响评价技术导则 地表水环境》(HJ 2.3-2018)中的有关规定，确定本项目地表水环境影响评价工作等级为三级B。</w:t>
      </w:r>
    </w:p>
    <w:p>
      <w:pPr>
        <w:keepNext/>
        <w:keepLines/>
        <w:spacing w:line="360" w:lineRule="auto"/>
        <w:jc w:val="left"/>
        <w:outlineLvl w:val="2"/>
        <w:rPr>
          <w:b/>
          <w:bCs/>
          <w:color w:val="auto"/>
          <w:sz w:val="28"/>
          <w:szCs w:val="28"/>
        </w:rPr>
      </w:pPr>
      <w:bookmarkStart w:id="198" w:name="_Toc2931"/>
      <w:bookmarkStart w:id="199" w:name="_Toc2545"/>
      <w:bookmarkStart w:id="200" w:name="_Toc465156542"/>
      <w:bookmarkStart w:id="201" w:name="_Toc461434732"/>
      <w:bookmarkStart w:id="202" w:name="_Toc2186"/>
      <w:bookmarkStart w:id="203" w:name="_Toc465089650"/>
      <w:r>
        <w:rPr>
          <w:b/>
          <w:bCs/>
          <w:color w:val="auto"/>
          <w:sz w:val="28"/>
          <w:szCs w:val="28"/>
        </w:rPr>
        <w:t>2.6.2</w:t>
      </w:r>
      <w:r>
        <w:rPr>
          <w:rFonts w:hint="eastAsia"/>
          <w:b/>
          <w:bCs/>
          <w:color w:val="auto"/>
          <w:sz w:val="28"/>
          <w:szCs w:val="28"/>
        </w:rPr>
        <w:t xml:space="preserve">  </w:t>
      </w:r>
      <w:r>
        <w:rPr>
          <w:b/>
          <w:bCs/>
          <w:color w:val="auto"/>
          <w:sz w:val="28"/>
          <w:szCs w:val="28"/>
        </w:rPr>
        <w:t>大气环境评价工作等级</w:t>
      </w:r>
      <w:bookmarkEnd w:id="198"/>
      <w:bookmarkEnd w:id="199"/>
      <w:bookmarkEnd w:id="200"/>
      <w:bookmarkEnd w:id="201"/>
      <w:bookmarkEnd w:id="202"/>
      <w:bookmarkEnd w:id="203"/>
    </w:p>
    <w:p>
      <w:pPr>
        <w:adjustRightInd w:val="0"/>
        <w:snapToGrid w:val="0"/>
        <w:spacing w:line="360" w:lineRule="auto"/>
        <w:ind w:firstLine="482" w:firstLineChars="200"/>
        <w:jc w:val="left"/>
        <w:rPr>
          <w:b/>
          <w:bCs/>
          <w:color w:val="auto"/>
          <w:kern w:val="0"/>
          <w:sz w:val="24"/>
        </w:rPr>
      </w:pPr>
      <w:r>
        <w:rPr>
          <w:b/>
          <w:bCs/>
          <w:color w:val="auto"/>
          <w:kern w:val="0"/>
          <w:sz w:val="24"/>
        </w:rPr>
        <w:t>（1）大气评价方法</w:t>
      </w:r>
    </w:p>
    <w:p>
      <w:pPr>
        <w:adjustRightInd w:val="0"/>
        <w:snapToGrid w:val="0"/>
        <w:spacing w:line="360" w:lineRule="auto"/>
        <w:ind w:firstLine="480" w:firstLineChars="200"/>
        <w:jc w:val="left"/>
        <w:rPr>
          <w:color w:val="auto"/>
          <w:kern w:val="0"/>
          <w:sz w:val="24"/>
        </w:rPr>
      </w:pPr>
      <w:r>
        <w:rPr>
          <w:color w:val="auto"/>
          <w:kern w:val="0"/>
          <w:sz w:val="24"/>
        </w:rPr>
        <w:t>通过对项目污染源进行初步调查，分别计算项目排放主要污染物的最大地面空气质量浓度占标率P</w:t>
      </w:r>
      <w:r>
        <w:rPr>
          <w:color w:val="auto"/>
          <w:kern w:val="0"/>
          <w:sz w:val="24"/>
          <w:vertAlign w:val="subscript"/>
        </w:rPr>
        <w:t>i</w:t>
      </w:r>
      <w:r>
        <w:rPr>
          <w:color w:val="auto"/>
          <w:kern w:val="0"/>
          <w:sz w:val="24"/>
        </w:rPr>
        <w:t>（第i 个污染物，简称“最大浓度占标率”），及第i 个污染物的地面空气质量浓度达到标准值的10%时所对应的最远距离D</w:t>
      </w:r>
      <w:r>
        <w:rPr>
          <w:color w:val="auto"/>
          <w:kern w:val="0"/>
          <w:sz w:val="24"/>
          <w:vertAlign w:val="subscript"/>
        </w:rPr>
        <w:t>10%</w:t>
      </w:r>
      <w:r>
        <w:rPr>
          <w:color w:val="auto"/>
          <w:kern w:val="0"/>
          <w:sz w:val="24"/>
        </w:rPr>
        <w:t>。其中P</w:t>
      </w:r>
      <w:r>
        <w:rPr>
          <w:color w:val="auto"/>
          <w:kern w:val="0"/>
          <w:sz w:val="24"/>
          <w:vertAlign w:val="subscript"/>
        </w:rPr>
        <w:t>i</w:t>
      </w:r>
      <w:r>
        <w:rPr>
          <w:color w:val="auto"/>
          <w:kern w:val="0"/>
          <w:sz w:val="24"/>
        </w:rPr>
        <w:t>定义公示为：</w:t>
      </w:r>
    </w:p>
    <w:p>
      <w:pPr>
        <w:adjustRightInd w:val="0"/>
        <w:snapToGrid w:val="0"/>
        <w:spacing w:line="360" w:lineRule="auto"/>
        <w:ind w:firstLine="480" w:firstLineChars="200"/>
        <w:jc w:val="center"/>
        <w:rPr>
          <w:color w:val="auto"/>
          <w:kern w:val="0"/>
          <w:sz w:val="24"/>
        </w:rPr>
      </w:pPr>
      <w:r>
        <w:rPr>
          <w:color w:val="auto"/>
          <w:kern w:val="0"/>
          <w:position w:val="-30"/>
          <w:sz w:val="24"/>
        </w:rPr>
        <w:drawing>
          <wp:inline distT="0" distB="0" distL="114300" distR="114300">
            <wp:extent cx="1024255" cy="443865"/>
            <wp:effectExtent l="0" t="0" r="0" b="1333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25"/>
                    <a:stretch>
                      <a:fillRect/>
                    </a:stretch>
                  </pic:blipFill>
                  <pic:spPr>
                    <a:xfrm>
                      <a:off x="0" y="0"/>
                      <a:ext cx="1024255" cy="443865"/>
                    </a:xfrm>
                    <a:prstGeom prst="rect">
                      <a:avLst/>
                    </a:prstGeom>
                    <a:noFill/>
                    <a:ln>
                      <a:noFill/>
                    </a:ln>
                  </pic:spPr>
                </pic:pic>
              </a:graphicData>
            </a:graphic>
          </wp:inline>
        </w:drawing>
      </w:r>
    </w:p>
    <w:p>
      <w:pPr>
        <w:adjustRightInd w:val="0"/>
        <w:snapToGrid w:val="0"/>
        <w:spacing w:line="360" w:lineRule="auto"/>
        <w:ind w:firstLine="480" w:firstLineChars="200"/>
        <w:jc w:val="left"/>
        <w:rPr>
          <w:color w:val="auto"/>
          <w:kern w:val="0"/>
          <w:sz w:val="24"/>
        </w:rPr>
      </w:pPr>
      <w:r>
        <w:rPr>
          <w:color w:val="auto"/>
          <w:kern w:val="0"/>
          <w:sz w:val="24"/>
        </w:rPr>
        <w:t>式中：</w:t>
      </w:r>
    </w:p>
    <w:p>
      <w:pPr>
        <w:adjustRightInd w:val="0"/>
        <w:snapToGrid w:val="0"/>
        <w:spacing w:line="360" w:lineRule="auto"/>
        <w:ind w:firstLine="480" w:firstLineChars="200"/>
        <w:rPr>
          <w:color w:val="auto"/>
          <w:kern w:val="0"/>
          <w:sz w:val="24"/>
        </w:rPr>
      </w:pPr>
      <w:r>
        <w:rPr>
          <w:color w:val="auto"/>
          <w:kern w:val="0"/>
          <w:sz w:val="24"/>
        </w:rPr>
        <w:t>P</w:t>
      </w:r>
      <w:r>
        <w:rPr>
          <w:color w:val="auto"/>
          <w:kern w:val="0"/>
          <w:sz w:val="24"/>
          <w:vertAlign w:val="subscript"/>
        </w:rPr>
        <w:t>i</w:t>
      </w:r>
      <w:r>
        <w:rPr>
          <w:color w:val="auto"/>
          <w:kern w:val="0"/>
          <w:sz w:val="24"/>
        </w:rPr>
        <w:t>——第i个污染物的最大地面空气质量浓度占标率，%；</w:t>
      </w:r>
    </w:p>
    <w:p>
      <w:pPr>
        <w:adjustRightInd w:val="0"/>
        <w:snapToGrid w:val="0"/>
        <w:spacing w:line="360" w:lineRule="auto"/>
        <w:ind w:firstLine="480" w:firstLineChars="200"/>
        <w:rPr>
          <w:color w:val="auto"/>
          <w:kern w:val="0"/>
          <w:sz w:val="24"/>
        </w:rPr>
      </w:pPr>
      <w:r>
        <w:rPr>
          <w:color w:val="auto"/>
          <w:kern w:val="0"/>
          <w:sz w:val="24"/>
        </w:rPr>
        <w:t>C</w:t>
      </w:r>
      <w:r>
        <w:rPr>
          <w:color w:val="auto"/>
          <w:kern w:val="0"/>
          <w:sz w:val="24"/>
          <w:vertAlign w:val="subscript"/>
        </w:rPr>
        <w:t>i</w:t>
      </w:r>
      <w:r>
        <w:rPr>
          <w:color w:val="auto"/>
          <w:kern w:val="0"/>
          <w:sz w:val="24"/>
        </w:rPr>
        <w:t>——采用估算模式计算出的第i个污染物的最大1h地面空气质量浓度，μg/m</w:t>
      </w:r>
      <w:r>
        <w:rPr>
          <w:color w:val="auto"/>
          <w:kern w:val="0"/>
          <w:sz w:val="24"/>
          <w:vertAlign w:val="superscript"/>
        </w:rPr>
        <w:t>3</w:t>
      </w:r>
      <w:r>
        <w:rPr>
          <w:color w:val="auto"/>
          <w:kern w:val="0"/>
          <w:sz w:val="24"/>
        </w:rPr>
        <w:t>；</w:t>
      </w:r>
    </w:p>
    <w:p>
      <w:pPr>
        <w:adjustRightInd w:val="0"/>
        <w:snapToGrid w:val="0"/>
        <w:spacing w:line="360" w:lineRule="auto"/>
        <w:ind w:firstLine="480" w:firstLineChars="200"/>
        <w:rPr>
          <w:color w:val="auto"/>
          <w:kern w:val="0"/>
          <w:sz w:val="24"/>
        </w:rPr>
      </w:pPr>
      <w:r>
        <w:rPr>
          <w:color w:val="auto"/>
          <w:kern w:val="0"/>
          <w:sz w:val="24"/>
        </w:rPr>
        <w:t>C</w:t>
      </w:r>
      <w:r>
        <w:rPr>
          <w:color w:val="auto"/>
          <w:kern w:val="0"/>
          <w:sz w:val="24"/>
          <w:vertAlign w:val="subscript"/>
        </w:rPr>
        <w:t>0i</w:t>
      </w:r>
      <w:r>
        <w:rPr>
          <w:color w:val="auto"/>
          <w:kern w:val="0"/>
          <w:sz w:val="24"/>
        </w:rPr>
        <w:t>——第i个污染物的环境空气质量浓度标准，μg/m</w:t>
      </w:r>
      <w:r>
        <w:rPr>
          <w:color w:val="auto"/>
          <w:kern w:val="0"/>
          <w:sz w:val="24"/>
          <w:vertAlign w:val="superscript"/>
        </w:rPr>
        <w:t>3</w:t>
      </w:r>
      <w:r>
        <w:rPr>
          <w:color w:val="auto"/>
          <w:kern w:val="0"/>
          <w:sz w:val="24"/>
        </w:rPr>
        <w:t>。一般选用GB 3095 中1 h 平均质量浓度的二级浓度限值，如项目位于一类环境空气功能区，应选择相应的一级浓度限值；对该标准中未包含的污染物，使用5.2 确定的各评价因子1 h 平均质量浓度限值。对仅有8 h 平均质量浓度限值、日平均质量浓度限值或年平均质量浓度限值的，可分别按2倍、3倍、6倍折算为1h 平均质量浓度限值。</w:t>
      </w:r>
    </w:p>
    <w:p>
      <w:pPr>
        <w:adjustRightInd w:val="0"/>
        <w:snapToGrid w:val="0"/>
        <w:spacing w:line="360" w:lineRule="auto"/>
        <w:ind w:firstLine="480" w:firstLineChars="200"/>
        <w:rPr>
          <w:color w:val="auto"/>
          <w:kern w:val="0"/>
          <w:sz w:val="24"/>
        </w:rPr>
      </w:pPr>
      <w:r>
        <w:rPr>
          <w:color w:val="auto"/>
          <w:kern w:val="0"/>
          <w:sz w:val="24"/>
        </w:rPr>
        <w:t>评价工作等级按下表的分级判据进行划分。</w:t>
      </w:r>
    </w:p>
    <w:p>
      <w:pPr>
        <w:adjustRightInd w:val="0"/>
        <w:snapToGrid w:val="0"/>
        <w:ind w:firstLine="422" w:firstLineChars="200"/>
        <w:jc w:val="center"/>
        <w:rPr>
          <w:b/>
          <w:color w:val="auto"/>
          <w:kern w:val="0"/>
          <w:szCs w:val="21"/>
        </w:rPr>
      </w:pPr>
      <w:r>
        <w:rPr>
          <w:b/>
          <w:color w:val="auto"/>
          <w:kern w:val="0"/>
          <w:szCs w:val="21"/>
        </w:rPr>
        <w:t>表2.6-</w:t>
      </w:r>
      <w:r>
        <w:rPr>
          <w:rFonts w:hint="eastAsia"/>
          <w:b/>
          <w:color w:val="auto"/>
          <w:kern w:val="0"/>
          <w:szCs w:val="21"/>
        </w:rPr>
        <w:t xml:space="preserve">2  </w:t>
      </w:r>
      <w:r>
        <w:rPr>
          <w:b/>
          <w:color w:val="auto"/>
          <w:kern w:val="0"/>
          <w:szCs w:val="21"/>
        </w:rPr>
        <w:t>评价等级判别表</w:t>
      </w:r>
    </w:p>
    <w:tbl>
      <w:tblPr>
        <w:tblStyle w:val="23"/>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2"/>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2" w:type="dxa"/>
            <w:vAlign w:val="center"/>
          </w:tcPr>
          <w:p>
            <w:pPr>
              <w:adjustRightInd w:val="0"/>
              <w:snapToGrid w:val="0"/>
              <w:jc w:val="center"/>
              <w:rPr>
                <w:b/>
                <w:color w:val="auto"/>
                <w:szCs w:val="21"/>
              </w:rPr>
            </w:pPr>
            <w:r>
              <w:rPr>
                <w:b/>
                <w:color w:val="auto"/>
                <w:szCs w:val="21"/>
              </w:rPr>
              <w:t>评价工作等级</w:t>
            </w:r>
          </w:p>
        </w:tc>
        <w:tc>
          <w:tcPr>
            <w:tcW w:w="4261" w:type="dxa"/>
            <w:vAlign w:val="center"/>
          </w:tcPr>
          <w:p>
            <w:pPr>
              <w:adjustRightInd w:val="0"/>
              <w:snapToGrid w:val="0"/>
              <w:jc w:val="center"/>
              <w:rPr>
                <w:b/>
                <w:color w:val="auto"/>
                <w:szCs w:val="21"/>
              </w:rPr>
            </w:pPr>
            <w:r>
              <w:rPr>
                <w:b/>
                <w:color w:val="auto"/>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2" w:type="dxa"/>
            <w:vAlign w:val="center"/>
          </w:tcPr>
          <w:p>
            <w:pPr>
              <w:adjustRightInd w:val="0"/>
              <w:snapToGrid w:val="0"/>
              <w:jc w:val="center"/>
              <w:rPr>
                <w:color w:val="auto"/>
                <w:szCs w:val="21"/>
              </w:rPr>
            </w:pPr>
            <w:r>
              <w:rPr>
                <w:color w:val="auto"/>
                <w:szCs w:val="21"/>
              </w:rPr>
              <w:t>一级</w:t>
            </w:r>
          </w:p>
        </w:tc>
        <w:tc>
          <w:tcPr>
            <w:tcW w:w="4261" w:type="dxa"/>
            <w:vAlign w:val="center"/>
          </w:tcPr>
          <w:p>
            <w:pPr>
              <w:adjustRightInd w:val="0"/>
              <w:snapToGrid w:val="0"/>
              <w:jc w:val="center"/>
              <w:rPr>
                <w:color w:val="auto"/>
                <w:szCs w:val="21"/>
              </w:rPr>
            </w:pPr>
            <w:r>
              <w:rPr>
                <w:color w:val="auto"/>
                <w:szCs w:val="21"/>
              </w:rPr>
              <w:t>P</w:t>
            </w:r>
            <w:r>
              <w:rPr>
                <w:color w:val="auto"/>
                <w:szCs w:val="21"/>
                <w:vertAlign w:val="subscript"/>
              </w:rPr>
              <w:t>max</w:t>
            </w: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2" w:type="dxa"/>
            <w:vAlign w:val="center"/>
          </w:tcPr>
          <w:p>
            <w:pPr>
              <w:adjustRightInd w:val="0"/>
              <w:snapToGrid w:val="0"/>
              <w:jc w:val="center"/>
              <w:rPr>
                <w:color w:val="auto"/>
                <w:szCs w:val="21"/>
              </w:rPr>
            </w:pPr>
            <w:r>
              <w:rPr>
                <w:color w:val="auto"/>
                <w:szCs w:val="21"/>
              </w:rPr>
              <w:t>二级</w:t>
            </w:r>
          </w:p>
        </w:tc>
        <w:tc>
          <w:tcPr>
            <w:tcW w:w="4261" w:type="dxa"/>
            <w:vAlign w:val="center"/>
          </w:tcPr>
          <w:p>
            <w:pPr>
              <w:adjustRightInd w:val="0"/>
              <w:snapToGrid w:val="0"/>
              <w:jc w:val="center"/>
              <w:rPr>
                <w:color w:val="auto"/>
                <w:szCs w:val="21"/>
              </w:rPr>
            </w:pPr>
            <w:r>
              <w:rPr>
                <w:color w:val="auto"/>
                <w:szCs w:val="21"/>
              </w:rPr>
              <w:t>1%≤P</w:t>
            </w:r>
            <w:r>
              <w:rPr>
                <w:color w:val="auto"/>
                <w:szCs w:val="21"/>
                <w:vertAlign w:val="subscript"/>
              </w:rPr>
              <w:t>max</w:t>
            </w: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2" w:type="dxa"/>
            <w:vAlign w:val="center"/>
          </w:tcPr>
          <w:p>
            <w:pPr>
              <w:adjustRightInd w:val="0"/>
              <w:snapToGrid w:val="0"/>
              <w:jc w:val="center"/>
              <w:rPr>
                <w:color w:val="auto"/>
                <w:szCs w:val="21"/>
              </w:rPr>
            </w:pPr>
            <w:r>
              <w:rPr>
                <w:color w:val="auto"/>
                <w:szCs w:val="21"/>
              </w:rPr>
              <w:t>三级</w:t>
            </w:r>
          </w:p>
        </w:tc>
        <w:tc>
          <w:tcPr>
            <w:tcW w:w="4261" w:type="dxa"/>
            <w:vAlign w:val="center"/>
          </w:tcPr>
          <w:p>
            <w:pPr>
              <w:adjustRightInd w:val="0"/>
              <w:snapToGrid w:val="0"/>
              <w:jc w:val="center"/>
              <w:rPr>
                <w:color w:val="auto"/>
                <w:szCs w:val="21"/>
              </w:rPr>
            </w:pPr>
            <w:r>
              <w:rPr>
                <w:color w:val="auto"/>
                <w:szCs w:val="21"/>
              </w:rPr>
              <w:t>P</w:t>
            </w:r>
            <w:r>
              <w:rPr>
                <w:color w:val="auto"/>
                <w:szCs w:val="21"/>
                <w:vertAlign w:val="subscript"/>
              </w:rPr>
              <w:t>max</w:t>
            </w:r>
            <w:r>
              <w:rPr>
                <w:color w:val="auto"/>
                <w:szCs w:val="21"/>
              </w:rPr>
              <w:t>&lt;1%</w:t>
            </w:r>
          </w:p>
        </w:tc>
      </w:tr>
    </w:tbl>
    <w:p>
      <w:pPr>
        <w:adjustRightInd w:val="0"/>
        <w:snapToGrid w:val="0"/>
        <w:spacing w:line="360" w:lineRule="auto"/>
        <w:ind w:left="420" w:leftChars="200"/>
        <w:jc w:val="left"/>
        <w:rPr>
          <w:b/>
          <w:bCs/>
          <w:color w:val="auto"/>
          <w:kern w:val="0"/>
          <w:sz w:val="24"/>
        </w:rPr>
      </w:pPr>
      <w:r>
        <w:rPr>
          <w:b/>
          <w:bCs/>
          <w:color w:val="auto"/>
          <w:kern w:val="0"/>
          <w:sz w:val="24"/>
        </w:rPr>
        <w:t>（2）评价因子</w:t>
      </w:r>
    </w:p>
    <w:p>
      <w:pPr>
        <w:spacing w:line="360" w:lineRule="auto"/>
        <w:ind w:firstLine="480" w:firstLineChars="200"/>
        <w:rPr>
          <w:color w:val="auto"/>
          <w:sz w:val="24"/>
        </w:rPr>
      </w:pPr>
      <w:r>
        <w:rPr>
          <w:color w:val="auto"/>
          <w:sz w:val="24"/>
        </w:rPr>
        <w:t>本项目按照初步工程分析结果，确定选择TSP、苯并[a]芘、非甲烷总烃作为评价因子，进行评价等级核定</w:t>
      </w:r>
      <w:r>
        <w:rPr>
          <w:rFonts w:hint="eastAsia"/>
          <w:color w:val="auto"/>
          <w:sz w:val="24"/>
        </w:rPr>
        <w:t>。</w:t>
      </w:r>
    </w:p>
    <w:p>
      <w:pPr>
        <w:pStyle w:val="52"/>
        <w:spacing w:line="360" w:lineRule="auto"/>
        <w:ind w:firstLine="480" w:firstLineChars="200"/>
        <w:rPr>
          <w:color w:val="auto"/>
        </w:rPr>
      </w:pPr>
      <w:r>
        <w:rPr>
          <w:color w:val="auto"/>
        </w:rPr>
        <w:t>非甲烷总烃浓度质量标准值参考</w:t>
      </w:r>
      <w:r>
        <w:rPr>
          <w:rFonts w:hint="eastAsia"/>
          <w:color w:val="auto"/>
        </w:rPr>
        <w:t>河北省地方标准</w:t>
      </w:r>
      <w:r>
        <w:rPr>
          <w:color w:val="auto"/>
        </w:rPr>
        <w:t>《</w:t>
      </w:r>
      <w:r>
        <w:rPr>
          <w:rFonts w:hint="eastAsia"/>
          <w:color w:val="auto"/>
        </w:rPr>
        <w:t>环境空气质量 非甲烷总烃限值</w:t>
      </w:r>
      <w:r>
        <w:rPr>
          <w:color w:val="auto"/>
        </w:rPr>
        <w:t>》（</w:t>
      </w:r>
      <w:r>
        <w:rPr>
          <w:rFonts w:hint="eastAsia"/>
          <w:color w:val="auto"/>
        </w:rPr>
        <w:t>DB13/1577-2012</w:t>
      </w:r>
      <w:r>
        <w:rPr>
          <w:color w:val="auto"/>
        </w:rPr>
        <w:t>）中的</w:t>
      </w:r>
      <w:r>
        <w:rPr>
          <w:rFonts w:hint="eastAsia"/>
          <w:color w:val="auto"/>
        </w:rPr>
        <w:t>二级标准1小时平均浓度限值</w:t>
      </w:r>
      <w:r>
        <w:rPr>
          <w:color w:val="auto"/>
        </w:rPr>
        <w:t>。</w:t>
      </w:r>
      <w:r>
        <w:rPr>
          <w:color w:val="auto"/>
          <w:szCs w:val="24"/>
        </w:rPr>
        <w:t>TSP</w:t>
      </w:r>
      <w:r>
        <w:rPr>
          <w:rFonts w:hint="eastAsia"/>
          <w:color w:val="auto"/>
          <w:szCs w:val="24"/>
        </w:rPr>
        <w:t>和</w:t>
      </w:r>
      <w:r>
        <w:rPr>
          <w:color w:val="auto"/>
          <w:szCs w:val="24"/>
        </w:rPr>
        <w:t>苯并[a]芘</w:t>
      </w:r>
      <w:r>
        <w:rPr>
          <w:color w:val="auto"/>
        </w:rPr>
        <w:t>质量标准值</w:t>
      </w:r>
      <w:r>
        <w:rPr>
          <w:rFonts w:hint="eastAsia"/>
          <w:color w:val="auto"/>
          <w:szCs w:val="24"/>
        </w:rPr>
        <w:t>执行</w:t>
      </w:r>
      <w:r>
        <w:rPr>
          <w:color w:val="auto"/>
        </w:rPr>
        <w:t>国家《环境空气质量标准》（GB3095-2012）及其修改单（2018年9月1日起实施）二级浓度限值要求</w:t>
      </w:r>
      <w:r>
        <w:rPr>
          <w:rFonts w:hint="eastAsia"/>
          <w:color w:val="auto"/>
          <w:szCs w:val="24"/>
        </w:rPr>
        <w:t>。</w:t>
      </w:r>
      <w:r>
        <w:rPr>
          <w:color w:val="auto"/>
        </w:rPr>
        <w:t>具体数值如下表。</w:t>
      </w:r>
    </w:p>
    <w:p>
      <w:pPr>
        <w:tabs>
          <w:tab w:val="left" w:pos="1081"/>
        </w:tabs>
        <w:adjustRightInd w:val="0"/>
        <w:spacing w:line="480" w:lineRule="exact"/>
        <w:jc w:val="center"/>
        <w:rPr>
          <w:b/>
          <w:color w:val="auto"/>
          <w:spacing w:val="-1"/>
          <w:kern w:val="30"/>
          <w:position w:val="-1"/>
          <w:szCs w:val="21"/>
        </w:rPr>
      </w:pPr>
      <w:r>
        <w:rPr>
          <w:b/>
          <w:color w:val="auto"/>
          <w:szCs w:val="21"/>
        </w:rPr>
        <w:t>表2.6-</w:t>
      </w:r>
      <w:r>
        <w:rPr>
          <w:rFonts w:hint="eastAsia"/>
          <w:b/>
          <w:color w:val="auto"/>
          <w:szCs w:val="21"/>
        </w:rPr>
        <w:t xml:space="preserve">3 </w:t>
      </w:r>
      <w:r>
        <w:rPr>
          <w:b/>
          <w:color w:val="auto"/>
          <w:szCs w:val="21"/>
        </w:rPr>
        <w:t xml:space="preserve"> </w:t>
      </w:r>
      <w:r>
        <w:rPr>
          <w:b/>
          <w:color w:val="auto"/>
          <w:spacing w:val="-1"/>
          <w:kern w:val="30"/>
          <w:position w:val="-1"/>
          <w:szCs w:val="21"/>
        </w:rPr>
        <w:t>评价因子和评价标准</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5"/>
        <w:gridCol w:w="1237"/>
        <w:gridCol w:w="1990"/>
        <w:gridCol w:w="4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5"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评价因子</w:t>
            </w:r>
          </w:p>
        </w:tc>
        <w:tc>
          <w:tcPr>
            <w:tcW w:w="1237"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取值时间</w:t>
            </w:r>
          </w:p>
        </w:tc>
        <w:tc>
          <w:tcPr>
            <w:tcW w:w="1990"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标准值</w:t>
            </w:r>
          </w:p>
        </w:tc>
        <w:tc>
          <w:tcPr>
            <w:tcW w:w="4286"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5"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非甲烷总烃</w:t>
            </w:r>
          </w:p>
        </w:tc>
        <w:tc>
          <w:tcPr>
            <w:tcW w:w="1237"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1小时</w:t>
            </w:r>
          </w:p>
        </w:tc>
        <w:tc>
          <w:tcPr>
            <w:tcW w:w="1990" w:type="dxa"/>
            <w:tcBorders>
              <w:tl2br w:val="nil"/>
              <w:tr2bl w:val="nil"/>
            </w:tcBorders>
            <w:vAlign w:val="center"/>
          </w:tcPr>
          <w:p>
            <w:pPr>
              <w:tabs>
                <w:tab w:val="left" w:pos="1081"/>
              </w:tabs>
              <w:adjustRightInd w:val="0"/>
              <w:jc w:val="center"/>
              <w:rPr>
                <w:bCs/>
                <w:color w:val="auto"/>
                <w:spacing w:val="-1"/>
                <w:kern w:val="30"/>
                <w:position w:val="-1"/>
                <w:szCs w:val="21"/>
              </w:rPr>
            </w:pPr>
            <w:r>
              <w:rPr>
                <w:bCs/>
                <w:color w:val="auto"/>
                <w:spacing w:val="-1"/>
                <w:kern w:val="30"/>
                <w:position w:val="-1"/>
                <w:szCs w:val="21"/>
              </w:rPr>
              <w:t>2</w:t>
            </w:r>
            <w:r>
              <w:rPr>
                <w:rFonts w:hint="eastAsia"/>
                <w:bCs/>
                <w:color w:val="auto"/>
                <w:spacing w:val="-1"/>
                <w:kern w:val="30"/>
                <w:position w:val="-1"/>
                <w:szCs w:val="21"/>
              </w:rPr>
              <w:t>.0m</w:t>
            </w:r>
            <w:r>
              <w:rPr>
                <w:bCs/>
                <w:color w:val="auto"/>
                <w:spacing w:val="-1"/>
                <w:kern w:val="30"/>
                <w:position w:val="-1"/>
                <w:szCs w:val="21"/>
              </w:rPr>
              <w:t>g/m</w:t>
            </w:r>
            <w:r>
              <w:rPr>
                <w:bCs/>
                <w:color w:val="auto"/>
                <w:spacing w:val="-1"/>
                <w:kern w:val="30"/>
                <w:position w:val="-1"/>
                <w:szCs w:val="21"/>
                <w:vertAlign w:val="superscript"/>
              </w:rPr>
              <w:t>3</w:t>
            </w:r>
          </w:p>
        </w:tc>
        <w:tc>
          <w:tcPr>
            <w:tcW w:w="4286" w:type="dxa"/>
            <w:tcBorders>
              <w:tl2br w:val="nil"/>
              <w:tr2bl w:val="nil"/>
            </w:tcBorders>
            <w:vAlign w:val="center"/>
          </w:tcPr>
          <w:p>
            <w:pPr>
              <w:tabs>
                <w:tab w:val="left" w:pos="1081"/>
              </w:tabs>
              <w:adjustRightInd w:val="0"/>
              <w:jc w:val="center"/>
              <w:rPr>
                <w:bCs/>
                <w:color w:val="auto"/>
                <w:spacing w:val="-1"/>
                <w:kern w:val="30"/>
                <w:position w:val="-1"/>
                <w:szCs w:val="21"/>
              </w:rPr>
            </w:pPr>
            <w:r>
              <w:rPr>
                <w:color w:val="auto"/>
                <w:szCs w:val="21"/>
              </w:rPr>
              <w:t>《</w:t>
            </w:r>
            <w:r>
              <w:rPr>
                <w:rFonts w:hint="eastAsia"/>
                <w:color w:val="auto"/>
                <w:szCs w:val="21"/>
              </w:rPr>
              <w:t>环境空气质量 非甲烷总烃限值</w:t>
            </w:r>
            <w:r>
              <w:rPr>
                <w:color w:val="auto"/>
                <w:szCs w:val="21"/>
              </w:rPr>
              <w:t>》</w:t>
            </w:r>
            <w:r>
              <w:rPr>
                <w:color w:val="auto"/>
              </w:rPr>
              <w:t>（</w:t>
            </w:r>
            <w:r>
              <w:rPr>
                <w:rFonts w:hint="eastAsia"/>
                <w:color w:val="auto"/>
              </w:rPr>
              <w:t>DB13/1577-2012</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5" w:type="dxa"/>
            <w:tcBorders>
              <w:tl2br w:val="nil"/>
              <w:tr2bl w:val="nil"/>
            </w:tcBorders>
            <w:vAlign w:val="center"/>
          </w:tcPr>
          <w:p>
            <w:pPr>
              <w:tabs>
                <w:tab w:val="left" w:pos="1081"/>
              </w:tabs>
              <w:adjustRightInd w:val="0"/>
              <w:jc w:val="center"/>
              <w:rPr>
                <w:bCs/>
                <w:color w:val="auto"/>
                <w:spacing w:val="-1"/>
                <w:kern w:val="30"/>
                <w:position w:val="-1"/>
                <w:szCs w:val="21"/>
              </w:rPr>
            </w:pPr>
            <w:r>
              <w:rPr>
                <w:color w:val="auto"/>
                <w:szCs w:val="21"/>
              </w:rPr>
              <w:t>苯并[a]芘</w:t>
            </w:r>
          </w:p>
        </w:tc>
        <w:tc>
          <w:tcPr>
            <w:tcW w:w="1237"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1小时</w:t>
            </w:r>
          </w:p>
        </w:tc>
        <w:tc>
          <w:tcPr>
            <w:tcW w:w="1990"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0.0075</w:t>
            </w:r>
            <w:r>
              <w:rPr>
                <w:bCs/>
                <w:color w:val="auto"/>
                <w:spacing w:val="-1"/>
                <w:kern w:val="30"/>
                <w:position w:val="-1"/>
                <w:szCs w:val="21"/>
              </w:rPr>
              <w:t>μg/m</w:t>
            </w:r>
            <w:r>
              <w:rPr>
                <w:bCs/>
                <w:color w:val="auto"/>
                <w:spacing w:val="-1"/>
                <w:kern w:val="30"/>
                <w:position w:val="-1"/>
                <w:szCs w:val="21"/>
                <w:vertAlign w:val="superscript"/>
              </w:rPr>
              <w:t>3</w:t>
            </w:r>
          </w:p>
        </w:tc>
        <w:tc>
          <w:tcPr>
            <w:tcW w:w="4286" w:type="dxa"/>
            <w:vMerge w:val="restart"/>
            <w:tcBorders>
              <w:tl2br w:val="nil"/>
              <w:tr2bl w:val="nil"/>
            </w:tcBorders>
            <w:vAlign w:val="center"/>
          </w:tcPr>
          <w:p>
            <w:pPr>
              <w:tabs>
                <w:tab w:val="left" w:pos="1081"/>
              </w:tabs>
              <w:adjustRightInd w:val="0"/>
              <w:jc w:val="center"/>
              <w:rPr>
                <w:color w:val="auto"/>
                <w:szCs w:val="21"/>
              </w:rPr>
            </w:pPr>
            <w:r>
              <w:rPr>
                <w:color w:val="auto"/>
                <w:szCs w:val="21"/>
              </w:rPr>
              <w:t>《环境空气质量标准》</w:t>
            </w:r>
            <w:r>
              <w:rPr>
                <w:rFonts w:hint="eastAsia"/>
                <w:color w:val="auto"/>
                <w:szCs w:val="21"/>
              </w:rPr>
              <w:t>及其修改单</w:t>
            </w:r>
            <w:r>
              <w:rPr>
                <w:color w:val="auto"/>
                <w:szCs w:val="21"/>
              </w:rPr>
              <w:t>（生态环境部公告2018年第29号）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5"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TSP</w:t>
            </w:r>
          </w:p>
        </w:tc>
        <w:tc>
          <w:tcPr>
            <w:tcW w:w="1237"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1小时</w:t>
            </w:r>
          </w:p>
        </w:tc>
        <w:tc>
          <w:tcPr>
            <w:tcW w:w="1990" w:type="dxa"/>
            <w:tcBorders>
              <w:tl2br w:val="nil"/>
              <w:tr2bl w:val="nil"/>
            </w:tcBorders>
            <w:vAlign w:val="center"/>
          </w:tcPr>
          <w:p>
            <w:pPr>
              <w:tabs>
                <w:tab w:val="left" w:pos="1081"/>
              </w:tabs>
              <w:adjustRightInd w:val="0"/>
              <w:jc w:val="center"/>
              <w:rPr>
                <w:bCs/>
                <w:color w:val="auto"/>
                <w:spacing w:val="-1"/>
                <w:kern w:val="30"/>
                <w:position w:val="-1"/>
                <w:szCs w:val="21"/>
              </w:rPr>
            </w:pPr>
            <w:r>
              <w:rPr>
                <w:rFonts w:hint="eastAsia"/>
                <w:bCs/>
                <w:color w:val="auto"/>
                <w:spacing w:val="-1"/>
                <w:kern w:val="30"/>
                <w:position w:val="-1"/>
                <w:szCs w:val="21"/>
              </w:rPr>
              <w:t>900</w:t>
            </w:r>
            <w:r>
              <w:rPr>
                <w:bCs/>
                <w:color w:val="auto"/>
                <w:spacing w:val="-1"/>
                <w:kern w:val="30"/>
                <w:position w:val="-1"/>
                <w:szCs w:val="21"/>
              </w:rPr>
              <w:t>μg/m</w:t>
            </w:r>
            <w:r>
              <w:rPr>
                <w:bCs/>
                <w:color w:val="auto"/>
                <w:spacing w:val="-1"/>
                <w:kern w:val="30"/>
                <w:position w:val="-1"/>
                <w:szCs w:val="21"/>
                <w:vertAlign w:val="superscript"/>
              </w:rPr>
              <w:t>3</w:t>
            </w:r>
          </w:p>
        </w:tc>
        <w:tc>
          <w:tcPr>
            <w:tcW w:w="4286" w:type="dxa"/>
            <w:vMerge w:val="continue"/>
            <w:tcBorders>
              <w:tl2br w:val="nil"/>
              <w:tr2bl w:val="nil"/>
            </w:tcBorders>
            <w:vAlign w:val="center"/>
          </w:tcPr>
          <w:p>
            <w:pPr>
              <w:tabs>
                <w:tab w:val="left" w:pos="1081"/>
              </w:tabs>
              <w:adjustRightInd w:val="0"/>
              <w:jc w:val="center"/>
              <w:rPr>
                <w:color w:val="auto"/>
                <w:szCs w:val="21"/>
              </w:rPr>
            </w:pPr>
          </w:p>
        </w:tc>
      </w:tr>
    </w:tbl>
    <w:p>
      <w:pPr>
        <w:adjustRightInd w:val="0"/>
        <w:snapToGrid w:val="0"/>
        <w:spacing w:line="360" w:lineRule="auto"/>
        <w:jc w:val="left"/>
        <w:rPr>
          <w:color w:val="auto"/>
          <w:kern w:val="0"/>
          <w:szCs w:val="21"/>
        </w:rPr>
      </w:pPr>
      <w:r>
        <w:rPr>
          <w:rFonts w:hint="eastAsia"/>
          <w:color w:val="auto"/>
          <w:kern w:val="0"/>
          <w:szCs w:val="21"/>
        </w:rPr>
        <w:t>注：</w:t>
      </w:r>
      <w:r>
        <w:rPr>
          <w:color w:val="auto"/>
          <w:szCs w:val="21"/>
        </w:rPr>
        <w:t>苯并[a]芘</w:t>
      </w:r>
      <w:r>
        <w:rPr>
          <w:rFonts w:hint="eastAsia"/>
          <w:color w:val="auto"/>
          <w:szCs w:val="21"/>
        </w:rPr>
        <w:t>和TSP的</w:t>
      </w:r>
      <w:r>
        <w:rPr>
          <w:color w:val="auto"/>
          <w:kern w:val="0"/>
          <w:szCs w:val="21"/>
        </w:rPr>
        <w:t>1 h 平均质量浓度限值</w:t>
      </w:r>
      <w:r>
        <w:rPr>
          <w:rFonts w:hint="eastAsia"/>
          <w:color w:val="auto"/>
          <w:kern w:val="0"/>
          <w:szCs w:val="21"/>
        </w:rPr>
        <w:t>取</w:t>
      </w:r>
      <w:r>
        <w:rPr>
          <w:color w:val="auto"/>
          <w:kern w:val="0"/>
          <w:szCs w:val="21"/>
        </w:rPr>
        <w:t>日平均质量浓度限值</w:t>
      </w:r>
      <w:r>
        <w:rPr>
          <w:rFonts w:hint="eastAsia"/>
          <w:color w:val="auto"/>
          <w:kern w:val="0"/>
          <w:szCs w:val="21"/>
        </w:rPr>
        <w:t>的</w:t>
      </w:r>
      <w:r>
        <w:rPr>
          <w:color w:val="auto"/>
          <w:kern w:val="0"/>
          <w:szCs w:val="21"/>
        </w:rPr>
        <w:t>3倍</w:t>
      </w:r>
      <w:r>
        <w:rPr>
          <w:rFonts w:hint="eastAsia"/>
          <w:color w:val="auto"/>
          <w:kern w:val="0"/>
          <w:szCs w:val="21"/>
        </w:rPr>
        <w:t>折算。</w:t>
      </w:r>
    </w:p>
    <w:p>
      <w:pPr>
        <w:adjustRightInd w:val="0"/>
        <w:snapToGrid w:val="0"/>
        <w:spacing w:line="360" w:lineRule="auto"/>
        <w:ind w:left="420" w:leftChars="200"/>
        <w:jc w:val="left"/>
        <w:rPr>
          <w:b/>
          <w:bCs/>
          <w:color w:val="auto"/>
          <w:kern w:val="0"/>
          <w:sz w:val="24"/>
        </w:rPr>
      </w:pPr>
      <w:r>
        <w:rPr>
          <w:b/>
          <w:bCs/>
          <w:color w:val="auto"/>
          <w:kern w:val="0"/>
          <w:sz w:val="24"/>
        </w:rPr>
        <w:t>（3）估算模型参数</w:t>
      </w:r>
    </w:p>
    <w:p>
      <w:pPr>
        <w:spacing w:line="360" w:lineRule="auto"/>
        <w:ind w:firstLine="480" w:firstLineChars="200"/>
        <w:rPr>
          <w:color w:val="auto"/>
          <w:sz w:val="24"/>
        </w:rPr>
      </w:pPr>
      <w:r>
        <w:rPr>
          <w:color w:val="auto"/>
          <w:sz w:val="24"/>
        </w:rPr>
        <w:t>本次估算模型参数详见下表；项目周边3km范围内除西北方向为北江及荒地外，其他区域基本为城市建成区。</w:t>
      </w:r>
    </w:p>
    <w:p>
      <w:pPr>
        <w:adjustRightInd w:val="0"/>
        <w:snapToGrid w:val="0"/>
        <w:ind w:firstLine="422" w:firstLineChars="200"/>
        <w:jc w:val="center"/>
        <w:rPr>
          <w:b/>
          <w:color w:val="auto"/>
          <w:kern w:val="0"/>
          <w:szCs w:val="21"/>
        </w:rPr>
      </w:pPr>
      <w:r>
        <w:rPr>
          <w:b/>
          <w:color w:val="auto"/>
          <w:kern w:val="0"/>
          <w:szCs w:val="21"/>
        </w:rPr>
        <w:t>表</w:t>
      </w:r>
      <w:r>
        <w:rPr>
          <w:b/>
          <w:bCs/>
          <w:color w:val="auto"/>
          <w:szCs w:val="21"/>
        </w:rPr>
        <w:t>2.6</w:t>
      </w:r>
      <w:r>
        <w:rPr>
          <w:b/>
          <w:bCs/>
          <w:color w:val="auto"/>
          <w:szCs w:val="21"/>
        </w:rPr>
        <w:noBreakHyphen/>
      </w:r>
      <w:r>
        <w:rPr>
          <w:rFonts w:hint="eastAsia"/>
          <w:b/>
          <w:bCs/>
          <w:color w:val="auto"/>
          <w:szCs w:val="21"/>
        </w:rPr>
        <w:t>4</w:t>
      </w:r>
      <w:r>
        <w:rPr>
          <w:b/>
          <w:bCs/>
          <w:color w:val="auto"/>
          <w:szCs w:val="21"/>
        </w:rPr>
        <w:t xml:space="preserve"> </w:t>
      </w:r>
      <w:r>
        <w:rPr>
          <w:b/>
          <w:color w:val="auto"/>
          <w:kern w:val="0"/>
          <w:szCs w:val="21"/>
        </w:rPr>
        <w:t xml:space="preserve"> 估算模型参数一览表</w:t>
      </w:r>
    </w:p>
    <w:tbl>
      <w:tblPr>
        <w:tblStyle w:val="23"/>
        <w:tblW w:w="8874" w:type="dxa"/>
        <w:tblInd w:w="-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2468"/>
        <w:gridCol w:w="3298"/>
        <w:gridCol w:w="3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5766" w:type="dxa"/>
            <w:gridSpan w:val="2"/>
            <w:shd w:val="clear" w:color="auto" w:fill="FFFFFF"/>
            <w:vAlign w:val="center"/>
          </w:tcPr>
          <w:p>
            <w:pPr>
              <w:adjustRightInd w:val="0"/>
              <w:snapToGrid w:val="0"/>
              <w:jc w:val="center"/>
              <w:rPr>
                <w:b/>
                <w:color w:val="auto"/>
                <w:szCs w:val="21"/>
              </w:rPr>
            </w:pPr>
            <w:r>
              <w:rPr>
                <w:b/>
                <w:color w:val="auto"/>
                <w:szCs w:val="21"/>
              </w:rPr>
              <w:t>参数</w:t>
            </w:r>
          </w:p>
        </w:tc>
        <w:tc>
          <w:tcPr>
            <w:tcW w:w="3108" w:type="dxa"/>
            <w:shd w:val="clear" w:color="auto" w:fill="FFFFFF"/>
            <w:vAlign w:val="center"/>
          </w:tcPr>
          <w:p>
            <w:pPr>
              <w:adjustRightInd w:val="0"/>
              <w:snapToGrid w:val="0"/>
              <w:jc w:val="center"/>
              <w:rPr>
                <w:b/>
                <w:color w:val="auto"/>
                <w:szCs w:val="21"/>
              </w:rPr>
            </w:pPr>
            <w:r>
              <w:rPr>
                <w:b/>
                <w:color w:val="auto"/>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restart"/>
            <w:shd w:val="clear" w:color="auto" w:fill="FFFFFF"/>
            <w:vAlign w:val="center"/>
          </w:tcPr>
          <w:p>
            <w:pPr>
              <w:adjustRightInd w:val="0"/>
              <w:snapToGrid w:val="0"/>
              <w:jc w:val="center"/>
              <w:rPr>
                <w:bCs/>
                <w:color w:val="auto"/>
                <w:szCs w:val="21"/>
              </w:rPr>
            </w:pPr>
            <w:r>
              <w:rPr>
                <w:bCs/>
                <w:color w:val="auto"/>
                <w:szCs w:val="21"/>
              </w:rPr>
              <w:t>城市/农村选项</w:t>
            </w:r>
          </w:p>
        </w:tc>
        <w:tc>
          <w:tcPr>
            <w:tcW w:w="3298" w:type="dxa"/>
            <w:shd w:val="clear" w:color="auto" w:fill="FFFFFF"/>
            <w:vAlign w:val="center"/>
          </w:tcPr>
          <w:p>
            <w:pPr>
              <w:adjustRightInd w:val="0"/>
              <w:snapToGrid w:val="0"/>
              <w:jc w:val="center"/>
              <w:rPr>
                <w:bCs/>
                <w:color w:val="auto"/>
                <w:szCs w:val="21"/>
              </w:rPr>
            </w:pPr>
            <w:r>
              <w:rPr>
                <w:bCs/>
                <w:color w:val="auto"/>
                <w:szCs w:val="21"/>
              </w:rPr>
              <w:t>城市/农村</w:t>
            </w:r>
          </w:p>
        </w:tc>
        <w:tc>
          <w:tcPr>
            <w:tcW w:w="3108" w:type="dxa"/>
            <w:shd w:val="clear" w:color="auto" w:fill="FFFFFF"/>
            <w:vAlign w:val="center"/>
          </w:tcPr>
          <w:p>
            <w:pPr>
              <w:adjustRightInd w:val="0"/>
              <w:snapToGrid w:val="0"/>
              <w:jc w:val="center"/>
              <w:rPr>
                <w:bCs/>
                <w:color w:val="auto"/>
                <w:szCs w:val="21"/>
              </w:rPr>
            </w:pPr>
            <w:r>
              <w:rPr>
                <w:bCs/>
                <w:color w:val="auto"/>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continue"/>
            <w:shd w:val="clear" w:color="auto" w:fill="FFFFFF"/>
            <w:vAlign w:val="center"/>
          </w:tcPr>
          <w:p>
            <w:pPr>
              <w:adjustRightInd w:val="0"/>
              <w:snapToGrid w:val="0"/>
              <w:jc w:val="center"/>
              <w:rPr>
                <w:bCs/>
                <w:color w:val="auto"/>
                <w:szCs w:val="21"/>
              </w:rPr>
            </w:pPr>
          </w:p>
        </w:tc>
        <w:tc>
          <w:tcPr>
            <w:tcW w:w="3298" w:type="dxa"/>
            <w:shd w:val="clear" w:color="auto" w:fill="FFFFFF"/>
            <w:vAlign w:val="center"/>
          </w:tcPr>
          <w:p>
            <w:pPr>
              <w:adjustRightInd w:val="0"/>
              <w:snapToGrid w:val="0"/>
              <w:jc w:val="center"/>
              <w:rPr>
                <w:bCs/>
                <w:color w:val="auto"/>
                <w:szCs w:val="21"/>
              </w:rPr>
            </w:pPr>
            <w:r>
              <w:rPr>
                <w:bCs/>
                <w:color w:val="auto"/>
                <w:szCs w:val="21"/>
              </w:rPr>
              <w:t>人口数（城市选项时）</w:t>
            </w:r>
          </w:p>
        </w:tc>
        <w:tc>
          <w:tcPr>
            <w:tcW w:w="3108" w:type="dxa"/>
            <w:shd w:val="clear" w:color="auto" w:fill="FFFFFF"/>
            <w:vAlign w:val="center"/>
          </w:tcPr>
          <w:p>
            <w:pPr>
              <w:adjustRightInd w:val="0"/>
              <w:snapToGrid w:val="0"/>
              <w:jc w:val="center"/>
              <w:rPr>
                <w:bCs/>
                <w:color w:val="auto"/>
                <w:szCs w:val="21"/>
              </w:rPr>
            </w:pPr>
            <w:r>
              <w:rPr>
                <w:rFonts w:hint="eastAsia"/>
                <w:bCs/>
                <w:color w:val="auto"/>
                <w:szCs w:val="21"/>
              </w:rPr>
              <w:t>10</w:t>
            </w:r>
            <w:r>
              <w:rPr>
                <w:bCs/>
                <w:color w:val="auto"/>
                <w:szCs w:val="21"/>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5766" w:type="dxa"/>
            <w:gridSpan w:val="2"/>
            <w:shd w:val="clear" w:color="auto" w:fill="FFFFFF"/>
            <w:vAlign w:val="center"/>
          </w:tcPr>
          <w:p>
            <w:pPr>
              <w:adjustRightInd w:val="0"/>
              <w:snapToGrid w:val="0"/>
              <w:jc w:val="center"/>
              <w:rPr>
                <w:bCs/>
                <w:color w:val="auto"/>
                <w:szCs w:val="21"/>
              </w:rPr>
            </w:pPr>
            <w:r>
              <w:rPr>
                <w:bCs/>
                <w:color w:val="auto"/>
                <w:szCs w:val="21"/>
              </w:rPr>
              <w:t>最高环境温度/℃</w:t>
            </w:r>
          </w:p>
        </w:tc>
        <w:tc>
          <w:tcPr>
            <w:tcW w:w="3108" w:type="dxa"/>
            <w:shd w:val="clear" w:color="auto" w:fill="FFFFFF"/>
            <w:vAlign w:val="center"/>
          </w:tcPr>
          <w:p>
            <w:pPr>
              <w:adjustRightInd w:val="0"/>
              <w:snapToGrid w:val="0"/>
              <w:jc w:val="center"/>
              <w:rPr>
                <w:bCs/>
                <w:color w:val="auto"/>
                <w:szCs w:val="21"/>
              </w:rPr>
            </w:pPr>
            <w:r>
              <w:rPr>
                <w:bCs/>
                <w:color w:val="auto"/>
                <w:szCs w:val="21"/>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5766" w:type="dxa"/>
            <w:gridSpan w:val="2"/>
            <w:shd w:val="clear" w:color="auto" w:fill="FFFFFF"/>
            <w:vAlign w:val="center"/>
          </w:tcPr>
          <w:p>
            <w:pPr>
              <w:adjustRightInd w:val="0"/>
              <w:snapToGrid w:val="0"/>
              <w:jc w:val="center"/>
              <w:rPr>
                <w:bCs/>
                <w:color w:val="auto"/>
                <w:szCs w:val="21"/>
              </w:rPr>
            </w:pPr>
            <w:r>
              <w:rPr>
                <w:bCs/>
                <w:color w:val="auto"/>
                <w:szCs w:val="21"/>
              </w:rPr>
              <w:t>最低环境温度/℃</w:t>
            </w:r>
          </w:p>
        </w:tc>
        <w:tc>
          <w:tcPr>
            <w:tcW w:w="3108" w:type="dxa"/>
            <w:shd w:val="clear" w:color="auto" w:fill="FFFFFF"/>
            <w:vAlign w:val="center"/>
          </w:tcPr>
          <w:p>
            <w:pPr>
              <w:adjustRightInd w:val="0"/>
              <w:snapToGrid w:val="0"/>
              <w:jc w:val="center"/>
              <w:rPr>
                <w:bCs/>
                <w:color w:val="auto"/>
                <w:szCs w:val="21"/>
              </w:rPr>
            </w:pPr>
            <w:r>
              <w:rPr>
                <w:bCs/>
                <w:color w:val="auto"/>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5766" w:type="dxa"/>
            <w:gridSpan w:val="2"/>
            <w:shd w:val="clear" w:color="auto" w:fill="FFFFFF"/>
            <w:vAlign w:val="center"/>
          </w:tcPr>
          <w:p>
            <w:pPr>
              <w:adjustRightInd w:val="0"/>
              <w:snapToGrid w:val="0"/>
              <w:jc w:val="center"/>
              <w:rPr>
                <w:bCs/>
                <w:color w:val="auto"/>
                <w:szCs w:val="21"/>
              </w:rPr>
            </w:pPr>
            <w:r>
              <w:rPr>
                <w:bCs/>
                <w:color w:val="auto"/>
                <w:szCs w:val="21"/>
              </w:rPr>
              <w:t>土地利用类型</w:t>
            </w:r>
          </w:p>
        </w:tc>
        <w:tc>
          <w:tcPr>
            <w:tcW w:w="3108" w:type="dxa"/>
            <w:shd w:val="clear" w:color="auto" w:fill="FFFFFF"/>
            <w:vAlign w:val="center"/>
          </w:tcPr>
          <w:p>
            <w:pPr>
              <w:adjustRightInd w:val="0"/>
              <w:snapToGrid w:val="0"/>
              <w:jc w:val="center"/>
              <w:rPr>
                <w:bCs/>
                <w:color w:val="auto"/>
                <w:szCs w:val="21"/>
              </w:rPr>
            </w:pPr>
            <w:r>
              <w:rPr>
                <w:bCs/>
                <w:color w:val="auto"/>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5766" w:type="dxa"/>
            <w:gridSpan w:val="2"/>
            <w:shd w:val="clear" w:color="auto" w:fill="FFFFFF"/>
            <w:vAlign w:val="center"/>
          </w:tcPr>
          <w:p>
            <w:pPr>
              <w:adjustRightInd w:val="0"/>
              <w:snapToGrid w:val="0"/>
              <w:jc w:val="center"/>
              <w:rPr>
                <w:bCs/>
                <w:color w:val="auto"/>
                <w:szCs w:val="21"/>
              </w:rPr>
            </w:pPr>
            <w:r>
              <w:rPr>
                <w:bCs/>
                <w:color w:val="auto"/>
                <w:szCs w:val="21"/>
              </w:rPr>
              <w:t>区域湿度条件</w:t>
            </w:r>
          </w:p>
        </w:tc>
        <w:tc>
          <w:tcPr>
            <w:tcW w:w="3108" w:type="dxa"/>
            <w:shd w:val="clear" w:color="auto" w:fill="FFFFFF"/>
            <w:vAlign w:val="center"/>
          </w:tcPr>
          <w:p>
            <w:pPr>
              <w:adjustRightInd w:val="0"/>
              <w:snapToGrid w:val="0"/>
              <w:jc w:val="center"/>
              <w:rPr>
                <w:bCs/>
                <w:color w:val="auto"/>
                <w:szCs w:val="21"/>
              </w:rPr>
            </w:pPr>
            <w:r>
              <w:rPr>
                <w:bCs/>
                <w:color w:val="auto"/>
                <w:szCs w:val="21"/>
              </w:rPr>
              <w:t>湿润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6" w:hRule="atLeast"/>
        </w:trPr>
        <w:tc>
          <w:tcPr>
            <w:tcW w:w="2468" w:type="dxa"/>
            <w:vMerge w:val="restart"/>
            <w:shd w:val="clear" w:color="auto" w:fill="FFFFFF"/>
            <w:vAlign w:val="center"/>
          </w:tcPr>
          <w:p>
            <w:pPr>
              <w:adjustRightInd w:val="0"/>
              <w:snapToGrid w:val="0"/>
              <w:jc w:val="center"/>
              <w:rPr>
                <w:bCs/>
                <w:color w:val="auto"/>
                <w:szCs w:val="21"/>
              </w:rPr>
            </w:pPr>
          </w:p>
        </w:tc>
        <w:tc>
          <w:tcPr>
            <w:tcW w:w="3298" w:type="dxa"/>
            <w:shd w:val="clear" w:color="auto" w:fill="FFFFFF"/>
            <w:vAlign w:val="center"/>
          </w:tcPr>
          <w:p>
            <w:pPr>
              <w:adjustRightInd w:val="0"/>
              <w:snapToGrid w:val="0"/>
              <w:jc w:val="center"/>
              <w:rPr>
                <w:bCs/>
                <w:color w:val="auto"/>
                <w:szCs w:val="21"/>
              </w:rPr>
            </w:pPr>
            <w:r>
              <w:rPr>
                <w:bCs/>
                <w:color w:val="auto"/>
                <w:szCs w:val="21"/>
              </w:rPr>
              <w:t>考虑地形</w:t>
            </w:r>
          </w:p>
        </w:tc>
        <w:tc>
          <w:tcPr>
            <w:tcW w:w="3108" w:type="dxa"/>
            <w:shd w:val="clear" w:color="auto" w:fill="FFFFFF"/>
            <w:vAlign w:val="center"/>
          </w:tcPr>
          <w:p>
            <w:pPr>
              <w:adjustRightInd w:val="0"/>
              <w:snapToGrid w:val="0"/>
              <w:jc w:val="center"/>
              <w:rPr>
                <w:bCs/>
                <w:color w:val="auto"/>
                <w:szCs w:val="21"/>
              </w:rPr>
            </w:pPr>
            <w:r>
              <w:rPr>
                <w:bCs/>
                <w:color w:val="auto"/>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continue"/>
            <w:shd w:val="clear" w:color="auto" w:fill="FFFFFF"/>
            <w:vAlign w:val="center"/>
          </w:tcPr>
          <w:p>
            <w:pPr>
              <w:adjustRightInd w:val="0"/>
              <w:snapToGrid w:val="0"/>
              <w:jc w:val="center"/>
              <w:rPr>
                <w:bCs/>
                <w:color w:val="auto"/>
                <w:szCs w:val="21"/>
              </w:rPr>
            </w:pPr>
          </w:p>
        </w:tc>
        <w:tc>
          <w:tcPr>
            <w:tcW w:w="3298" w:type="dxa"/>
            <w:shd w:val="clear" w:color="auto" w:fill="FFFFFF"/>
            <w:vAlign w:val="center"/>
          </w:tcPr>
          <w:p>
            <w:pPr>
              <w:adjustRightInd w:val="0"/>
              <w:snapToGrid w:val="0"/>
              <w:jc w:val="center"/>
              <w:rPr>
                <w:bCs/>
                <w:color w:val="auto"/>
                <w:szCs w:val="21"/>
              </w:rPr>
            </w:pPr>
            <w:r>
              <w:rPr>
                <w:bCs/>
                <w:color w:val="auto"/>
                <w:szCs w:val="21"/>
              </w:rPr>
              <w:t>地形数据分辨率</w:t>
            </w:r>
          </w:p>
        </w:tc>
        <w:tc>
          <w:tcPr>
            <w:tcW w:w="3108" w:type="dxa"/>
            <w:shd w:val="clear" w:color="auto" w:fill="FFFFFF"/>
            <w:vAlign w:val="center"/>
          </w:tcPr>
          <w:p>
            <w:pPr>
              <w:adjustRightInd w:val="0"/>
              <w:snapToGrid w:val="0"/>
              <w:jc w:val="center"/>
              <w:rPr>
                <w:bCs/>
                <w:color w:val="auto"/>
                <w:szCs w:val="21"/>
              </w:rPr>
            </w:pPr>
            <w:r>
              <w:rPr>
                <w:bCs/>
                <w:color w:val="auto"/>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restart"/>
            <w:shd w:val="clear" w:color="auto" w:fill="FFFFFF"/>
            <w:vAlign w:val="center"/>
          </w:tcPr>
          <w:p>
            <w:pPr>
              <w:adjustRightInd w:val="0"/>
              <w:snapToGrid w:val="0"/>
              <w:jc w:val="center"/>
              <w:rPr>
                <w:bCs/>
                <w:color w:val="auto"/>
                <w:szCs w:val="21"/>
              </w:rPr>
            </w:pPr>
            <w:r>
              <w:rPr>
                <w:bCs/>
                <w:color w:val="auto"/>
                <w:szCs w:val="21"/>
              </w:rPr>
              <w:t>是否考虑海岸线熏烟</w:t>
            </w:r>
          </w:p>
        </w:tc>
        <w:tc>
          <w:tcPr>
            <w:tcW w:w="3298" w:type="dxa"/>
            <w:shd w:val="clear" w:color="auto" w:fill="FFFFFF"/>
            <w:vAlign w:val="center"/>
          </w:tcPr>
          <w:p>
            <w:pPr>
              <w:adjustRightInd w:val="0"/>
              <w:snapToGrid w:val="0"/>
              <w:jc w:val="center"/>
              <w:rPr>
                <w:bCs/>
                <w:color w:val="auto"/>
                <w:szCs w:val="21"/>
              </w:rPr>
            </w:pPr>
            <w:r>
              <w:rPr>
                <w:bCs/>
                <w:color w:val="auto"/>
                <w:szCs w:val="21"/>
              </w:rPr>
              <w:t>是/否</w:t>
            </w:r>
          </w:p>
        </w:tc>
        <w:tc>
          <w:tcPr>
            <w:tcW w:w="3108" w:type="dxa"/>
            <w:shd w:val="clear" w:color="auto" w:fill="FFFFFF"/>
            <w:vAlign w:val="center"/>
          </w:tcPr>
          <w:p>
            <w:pPr>
              <w:adjustRightInd w:val="0"/>
              <w:snapToGrid w:val="0"/>
              <w:jc w:val="center"/>
              <w:rPr>
                <w:bCs/>
                <w:color w:val="auto"/>
                <w:szCs w:val="21"/>
              </w:rPr>
            </w:pPr>
            <w:r>
              <w:rPr>
                <w:bCs/>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continue"/>
            <w:shd w:val="clear" w:color="auto" w:fill="FFFFFF"/>
            <w:vAlign w:val="center"/>
          </w:tcPr>
          <w:p>
            <w:pPr>
              <w:adjustRightInd w:val="0"/>
              <w:snapToGrid w:val="0"/>
              <w:jc w:val="center"/>
              <w:rPr>
                <w:bCs/>
                <w:color w:val="auto"/>
                <w:szCs w:val="21"/>
              </w:rPr>
            </w:pPr>
          </w:p>
        </w:tc>
        <w:tc>
          <w:tcPr>
            <w:tcW w:w="3298" w:type="dxa"/>
            <w:shd w:val="clear" w:color="auto" w:fill="FFFFFF"/>
            <w:vAlign w:val="center"/>
          </w:tcPr>
          <w:p>
            <w:pPr>
              <w:adjustRightInd w:val="0"/>
              <w:snapToGrid w:val="0"/>
              <w:jc w:val="center"/>
              <w:rPr>
                <w:bCs/>
                <w:color w:val="auto"/>
                <w:szCs w:val="21"/>
              </w:rPr>
            </w:pPr>
            <w:r>
              <w:rPr>
                <w:bCs/>
                <w:color w:val="auto"/>
                <w:szCs w:val="21"/>
              </w:rPr>
              <w:t>海岸线距离/m</w:t>
            </w:r>
          </w:p>
        </w:tc>
        <w:tc>
          <w:tcPr>
            <w:tcW w:w="3108" w:type="dxa"/>
            <w:shd w:val="clear" w:color="auto" w:fill="FFFFFF"/>
            <w:vAlign w:val="center"/>
          </w:tcPr>
          <w:p>
            <w:pPr>
              <w:adjustRightInd w:val="0"/>
              <w:snapToGrid w:val="0"/>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trPr>
        <w:tc>
          <w:tcPr>
            <w:tcW w:w="2468" w:type="dxa"/>
            <w:vMerge w:val="continue"/>
            <w:shd w:val="clear" w:color="auto" w:fill="FFFFFF"/>
            <w:vAlign w:val="center"/>
          </w:tcPr>
          <w:p>
            <w:pPr>
              <w:adjustRightInd w:val="0"/>
              <w:snapToGrid w:val="0"/>
              <w:jc w:val="center"/>
              <w:rPr>
                <w:bCs/>
                <w:color w:val="auto"/>
                <w:szCs w:val="21"/>
              </w:rPr>
            </w:pPr>
          </w:p>
        </w:tc>
        <w:tc>
          <w:tcPr>
            <w:tcW w:w="3298" w:type="dxa"/>
            <w:shd w:val="clear" w:color="auto" w:fill="FFFFFF"/>
            <w:vAlign w:val="center"/>
          </w:tcPr>
          <w:p>
            <w:pPr>
              <w:adjustRightInd w:val="0"/>
              <w:snapToGrid w:val="0"/>
              <w:jc w:val="center"/>
              <w:rPr>
                <w:color w:val="auto"/>
              </w:rPr>
            </w:pPr>
            <w:r>
              <w:rPr>
                <w:bCs/>
                <w:color w:val="auto"/>
                <w:szCs w:val="21"/>
              </w:rPr>
              <w:t>海岸线方向/°</w:t>
            </w:r>
          </w:p>
        </w:tc>
        <w:tc>
          <w:tcPr>
            <w:tcW w:w="3108" w:type="dxa"/>
            <w:shd w:val="clear" w:color="auto" w:fill="FFFFFF"/>
            <w:vAlign w:val="center"/>
          </w:tcPr>
          <w:p>
            <w:pPr>
              <w:adjustRightInd w:val="0"/>
              <w:snapToGrid w:val="0"/>
              <w:jc w:val="center"/>
              <w:rPr>
                <w:bCs/>
                <w:color w:val="auto"/>
                <w:szCs w:val="21"/>
              </w:rPr>
            </w:pPr>
            <w:r>
              <w:rPr>
                <w:bCs/>
                <w:color w:val="auto"/>
                <w:szCs w:val="21"/>
              </w:rPr>
              <w:t>/</w:t>
            </w:r>
          </w:p>
        </w:tc>
      </w:tr>
    </w:tbl>
    <w:p>
      <w:pPr>
        <w:pStyle w:val="32"/>
        <w:spacing w:line="360" w:lineRule="auto"/>
        <w:ind w:firstLine="480" w:firstLineChars="200"/>
        <w:rPr>
          <w:color w:val="auto"/>
          <w:szCs w:val="20"/>
        </w:rPr>
      </w:pPr>
      <w:r>
        <w:rPr>
          <w:color w:val="auto"/>
          <w:szCs w:val="20"/>
        </w:rPr>
        <w:t>（4）污染源评价参数</w:t>
      </w:r>
    </w:p>
    <w:p>
      <w:pPr>
        <w:pStyle w:val="32"/>
        <w:spacing w:line="360" w:lineRule="auto"/>
        <w:ind w:firstLine="480" w:firstLineChars="200"/>
        <w:rPr>
          <w:color w:val="auto"/>
          <w:szCs w:val="20"/>
        </w:rPr>
      </w:pPr>
      <w:r>
        <w:rPr>
          <w:color w:val="auto"/>
          <w:szCs w:val="20"/>
        </w:rPr>
        <w:t>本报告采用EIAPro2018软件的AERSCREEN估算模型，以项目厂界南角作为坐标原点（0,0）（北纬</w:t>
      </w:r>
      <w:r>
        <w:rPr>
          <w:rFonts w:hint="eastAsia"/>
          <w:color w:val="auto"/>
          <w:szCs w:val="20"/>
        </w:rPr>
        <w:t>23.50134</w:t>
      </w:r>
      <w:r>
        <w:rPr>
          <w:color w:val="auto"/>
          <w:szCs w:val="20"/>
        </w:rPr>
        <w:t>°，东经</w:t>
      </w:r>
      <w:r>
        <w:rPr>
          <w:rFonts w:hint="eastAsia"/>
          <w:color w:val="auto"/>
          <w:szCs w:val="20"/>
        </w:rPr>
        <w:t>112.95144</w:t>
      </w:r>
      <w:r>
        <w:rPr>
          <w:color w:val="auto"/>
          <w:szCs w:val="20"/>
        </w:rPr>
        <w:t>°），以正东方向为X轴正方向，正北方为Y轴正方向，建立此次大气预测坐标系统。根据工程分析，本项目各污染源评价参数详见下表。</w:t>
      </w:r>
    </w:p>
    <w:p>
      <w:pPr>
        <w:tabs>
          <w:tab w:val="left" w:pos="1081"/>
        </w:tabs>
        <w:adjustRightInd w:val="0"/>
        <w:spacing w:line="480" w:lineRule="exact"/>
        <w:jc w:val="center"/>
        <w:rPr>
          <w:b/>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adjustRightInd w:val="0"/>
        <w:snapToGrid w:val="0"/>
        <w:ind w:firstLine="422" w:firstLineChars="200"/>
        <w:jc w:val="center"/>
        <w:rPr>
          <w:b/>
          <w:color w:val="auto"/>
          <w:kern w:val="0"/>
          <w:szCs w:val="20"/>
        </w:rPr>
      </w:pPr>
      <w:r>
        <w:rPr>
          <w:b/>
          <w:color w:val="auto"/>
          <w:kern w:val="0"/>
          <w:szCs w:val="20"/>
        </w:rPr>
        <w:t>表2.6-</w:t>
      </w:r>
      <w:r>
        <w:rPr>
          <w:rFonts w:hint="eastAsia"/>
          <w:b/>
          <w:color w:val="auto"/>
          <w:kern w:val="0"/>
          <w:szCs w:val="20"/>
        </w:rPr>
        <w:t xml:space="preserve">5 </w:t>
      </w:r>
      <w:r>
        <w:rPr>
          <w:b/>
          <w:color w:val="auto"/>
          <w:kern w:val="0"/>
          <w:szCs w:val="20"/>
        </w:rPr>
        <w:t xml:space="preserve"> 点源参数表</w:t>
      </w:r>
    </w:p>
    <w:p>
      <w:pPr>
        <w:adjustRightInd w:val="0"/>
        <w:snapToGrid w:val="0"/>
        <w:ind w:firstLine="422" w:firstLineChars="200"/>
        <w:jc w:val="center"/>
        <w:rPr>
          <w:b/>
          <w:color w:val="auto"/>
          <w:kern w:val="0"/>
          <w:szCs w:val="20"/>
        </w:rPr>
      </w:pPr>
    </w:p>
    <w:tbl>
      <w:tblPr>
        <w:tblStyle w:val="2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732"/>
        <w:gridCol w:w="775"/>
        <w:gridCol w:w="1163"/>
        <w:gridCol w:w="1100"/>
        <w:gridCol w:w="1162"/>
        <w:gridCol w:w="1100"/>
        <w:gridCol w:w="1000"/>
        <w:gridCol w:w="1088"/>
        <w:gridCol w:w="1225"/>
        <w:gridCol w:w="1250"/>
        <w:gridCol w:w="1387"/>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名称</w:t>
            </w:r>
          </w:p>
        </w:tc>
        <w:tc>
          <w:tcPr>
            <w:tcW w:w="1507" w:type="dxa"/>
            <w:gridSpan w:val="2"/>
            <w:tcBorders>
              <w:tl2br w:val="nil"/>
              <w:tr2bl w:val="nil"/>
            </w:tcBorders>
            <w:vAlign w:val="center"/>
          </w:tcPr>
          <w:p>
            <w:pPr>
              <w:adjustRightInd w:val="0"/>
              <w:snapToGrid w:val="0"/>
              <w:jc w:val="center"/>
              <w:rPr>
                <w:color w:val="auto"/>
                <w:szCs w:val="21"/>
              </w:rPr>
            </w:pPr>
            <w:r>
              <w:rPr>
                <w:color w:val="auto"/>
                <w:szCs w:val="21"/>
              </w:rPr>
              <w:t>排气筒底部中心坐标（m）</w:t>
            </w:r>
          </w:p>
        </w:tc>
        <w:tc>
          <w:tcPr>
            <w:tcW w:w="1163" w:type="dxa"/>
            <w:vMerge w:val="restart"/>
            <w:tcBorders>
              <w:tl2br w:val="nil"/>
              <w:tr2bl w:val="nil"/>
            </w:tcBorders>
            <w:vAlign w:val="center"/>
          </w:tcPr>
          <w:p>
            <w:pPr>
              <w:adjustRightInd w:val="0"/>
              <w:snapToGrid w:val="0"/>
              <w:jc w:val="center"/>
              <w:rPr>
                <w:color w:val="auto"/>
                <w:szCs w:val="21"/>
              </w:rPr>
            </w:pPr>
            <w:r>
              <w:rPr>
                <w:color w:val="auto"/>
                <w:szCs w:val="21"/>
              </w:rPr>
              <w:t>排气筒底部海拔高度/m</w:t>
            </w:r>
          </w:p>
        </w:tc>
        <w:tc>
          <w:tcPr>
            <w:tcW w:w="1100" w:type="dxa"/>
            <w:vMerge w:val="restart"/>
            <w:tcBorders>
              <w:tl2br w:val="nil"/>
              <w:tr2bl w:val="nil"/>
            </w:tcBorders>
            <w:vAlign w:val="center"/>
          </w:tcPr>
          <w:p>
            <w:pPr>
              <w:adjustRightInd w:val="0"/>
              <w:snapToGrid w:val="0"/>
              <w:jc w:val="center"/>
              <w:rPr>
                <w:color w:val="auto"/>
                <w:szCs w:val="21"/>
              </w:rPr>
            </w:pPr>
            <w:r>
              <w:rPr>
                <w:color w:val="auto"/>
                <w:szCs w:val="21"/>
              </w:rPr>
              <w:t>排气筒排气口高度/m</w:t>
            </w:r>
          </w:p>
        </w:tc>
        <w:tc>
          <w:tcPr>
            <w:tcW w:w="1162" w:type="dxa"/>
            <w:vMerge w:val="restart"/>
            <w:tcBorders>
              <w:tl2br w:val="nil"/>
              <w:tr2bl w:val="nil"/>
            </w:tcBorders>
            <w:vAlign w:val="center"/>
          </w:tcPr>
          <w:p>
            <w:pPr>
              <w:adjustRightInd w:val="0"/>
              <w:snapToGrid w:val="0"/>
              <w:jc w:val="center"/>
              <w:rPr>
                <w:color w:val="auto"/>
                <w:szCs w:val="21"/>
              </w:rPr>
            </w:pPr>
            <w:r>
              <w:rPr>
                <w:color w:val="auto"/>
                <w:szCs w:val="21"/>
              </w:rPr>
              <w:t>排气筒出口内径/m</w:t>
            </w:r>
          </w:p>
        </w:tc>
        <w:tc>
          <w:tcPr>
            <w:tcW w:w="110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烟气流量/（m</w:t>
            </w:r>
            <w:r>
              <w:rPr>
                <w:color w:val="auto"/>
                <w:kern w:val="0"/>
                <w:szCs w:val="21"/>
                <w:vertAlign w:val="superscript"/>
                <w:lang w:bidi="ar"/>
              </w:rPr>
              <w:t>3</w:t>
            </w:r>
            <w:r>
              <w:rPr>
                <w:color w:val="auto"/>
                <w:kern w:val="0"/>
                <w:szCs w:val="21"/>
                <w:lang w:bidi="ar"/>
              </w:rPr>
              <w:t>/h）</w:t>
            </w:r>
          </w:p>
        </w:tc>
        <w:tc>
          <w:tcPr>
            <w:tcW w:w="100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烟气温度/℃</w:t>
            </w:r>
          </w:p>
        </w:tc>
        <w:tc>
          <w:tcPr>
            <w:tcW w:w="1088"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年排放小时数/h</w:t>
            </w:r>
          </w:p>
        </w:tc>
        <w:tc>
          <w:tcPr>
            <w:tcW w:w="1225"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排放工况</w:t>
            </w:r>
          </w:p>
        </w:tc>
        <w:tc>
          <w:tcPr>
            <w:tcW w:w="4014" w:type="dxa"/>
            <w:gridSpan w:val="3"/>
            <w:tcBorders>
              <w:tl2br w:val="nil"/>
              <w:tr2bl w:val="nil"/>
            </w:tcBorders>
            <w:vAlign w:val="center"/>
          </w:tcPr>
          <w:p>
            <w:pPr>
              <w:widowControl/>
              <w:jc w:val="center"/>
              <w:textAlignment w:val="center"/>
              <w:rPr>
                <w:color w:val="auto"/>
                <w:szCs w:val="21"/>
              </w:rPr>
            </w:pPr>
            <w:r>
              <w:rPr>
                <w:color w:val="auto"/>
                <w:szCs w:val="21"/>
              </w:rPr>
              <w:t>污染物最大排放速率/(kg/h)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tcBorders>
              <w:tl2br w:val="nil"/>
              <w:tr2bl w:val="nil"/>
            </w:tcBorders>
            <w:vAlign w:val="center"/>
          </w:tcPr>
          <w:p>
            <w:pPr>
              <w:adjustRightInd w:val="0"/>
              <w:snapToGrid w:val="0"/>
              <w:jc w:val="center"/>
              <w:rPr>
                <w:color w:val="auto"/>
                <w:szCs w:val="21"/>
              </w:rPr>
            </w:pPr>
            <w:r>
              <w:rPr>
                <w:color w:val="auto"/>
                <w:szCs w:val="21"/>
              </w:rPr>
              <w:t>X</w:t>
            </w:r>
          </w:p>
        </w:tc>
        <w:tc>
          <w:tcPr>
            <w:tcW w:w="775" w:type="dxa"/>
            <w:tcBorders>
              <w:tl2br w:val="nil"/>
              <w:tr2bl w:val="nil"/>
            </w:tcBorders>
            <w:vAlign w:val="center"/>
          </w:tcPr>
          <w:p>
            <w:pPr>
              <w:adjustRightInd w:val="0"/>
              <w:snapToGrid w:val="0"/>
              <w:jc w:val="center"/>
              <w:rPr>
                <w:color w:val="auto"/>
                <w:szCs w:val="21"/>
              </w:rPr>
            </w:pPr>
            <w:r>
              <w:rPr>
                <w:color w:val="auto"/>
                <w:szCs w:val="21"/>
              </w:rPr>
              <w:t>Y</w:t>
            </w: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vMerge w:val="continue"/>
            <w:tcBorders>
              <w:tl2br w:val="nil"/>
              <w:tr2bl w:val="nil"/>
            </w:tcBorders>
            <w:vAlign w:val="center"/>
          </w:tcPr>
          <w:p>
            <w:pPr>
              <w:adjustRightInd w:val="0"/>
              <w:snapToGrid w:val="0"/>
              <w:jc w:val="center"/>
              <w:rPr>
                <w:color w:val="auto"/>
                <w:szCs w:val="21"/>
              </w:rPr>
            </w:pP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颗粒物</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苯并[a]芘</w:t>
            </w:r>
          </w:p>
        </w:tc>
        <w:tc>
          <w:tcPr>
            <w:tcW w:w="1377" w:type="dxa"/>
            <w:tcBorders>
              <w:tl2br w:val="nil"/>
              <w:tr2bl w:val="nil"/>
            </w:tcBorders>
            <w:vAlign w:val="center"/>
          </w:tcPr>
          <w:p>
            <w:pPr>
              <w:adjustRightInd w:val="0"/>
              <w:snapToGrid w:val="0"/>
              <w:jc w:val="center"/>
              <w:rPr>
                <w:color w:val="auto"/>
                <w:szCs w:val="21"/>
              </w:rPr>
            </w:pPr>
            <w:r>
              <w:rPr>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排气筒G1</w:t>
            </w:r>
          </w:p>
        </w:tc>
        <w:tc>
          <w:tcPr>
            <w:tcW w:w="73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-53</w:t>
            </w:r>
          </w:p>
        </w:tc>
        <w:tc>
          <w:tcPr>
            <w:tcW w:w="775"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131</w:t>
            </w:r>
          </w:p>
        </w:tc>
        <w:tc>
          <w:tcPr>
            <w:tcW w:w="1163" w:type="dxa"/>
            <w:vMerge w:val="restart"/>
            <w:tcBorders>
              <w:tl2br w:val="nil"/>
              <w:tr2bl w:val="nil"/>
            </w:tcBorders>
            <w:vAlign w:val="center"/>
          </w:tcPr>
          <w:p>
            <w:pPr>
              <w:adjustRightInd w:val="0"/>
              <w:snapToGrid w:val="0"/>
              <w:jc w:val="center"/>
              <w:rPr>
                <w:color w:val="auto"/>
                <w:szCs w:val="21"/>
              </w:rPr>
            </w:pPr>
            <w:r>
              <w:rPr>
                <w:color w:val="auto"/>
                <w:szCs w:val="21"/>
              </w:rPr>
              <w:t>1</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20</w:t>
            </w:r>
          </w:p>
        </w:tc>
        <w:tc>
          <w:tcPr>
            <w:tcW w:w="1162" w:type="dxa"/>
            <w:vMerge w:val="restart"/>
            <w:tcBorders>
              <w:tl2br w:val="nil"/>
              <w:tr2bl w:val="nil"/>
            </w:tcBorders>
            <w:vAlign w:val="center"/>
          </w:tcPr>
          <w:p>
            <w:pPr>
              <w:adjustRightInd w:val="0"/>
              <w:snapToGrid w:val="0"/>
              <w:jc w:val="center"/>
              <w:rPr>
                <w:color w:val="auto"/>
                <w:szCs w:val="21"/>
              </w:rPr>
            </w:pPr>
            <w:r>
              <w:rPr>
                <w:color w:val="auto"/>
                <w:szCs w:val="21"/>
              </w:rPr>
              <w:t>0.</w:t>
            </w:r>
            <w:r>
              <w:rPr>
                <w:rFonts w:hint="eastAsia"/>
                <w:color w:val="auto"/>
                <w:szCs w:val="21"/>
              </w:rPr>
              <w:t>8</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30</w:t>
            </w:r>
            <w:r>
              <w:rPr>
                <w:color w:val="auto"/>
                <w:szCs w:val="21"/>
              </w:rPr>
              <w:t>000</w:t>
            </w:r>
          </w:p>
        </w:tc>
        <w:tc>
          <w:tcPr>
            <w:tcW w:w="10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80</w:t>
            </w:r>
          </w:p>
        </w:tc>
        <w:tc>
          <w:tcPr>
            <w:tcW w:w="1088"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7920</w:t>
            </w:r>
          </w:p>
        </w:tc>
        <w:tc>
          <w:tcPr>
            <w:tcW w:w="1225" w:type="dxa"/>
            <w:tcBorders>
              <w:tl2br w:val="nil"/>
              <w:tr2bl w:val="nil"/>
            </w:tcBorders>
            <w:vAlign w:val="center"/>
          </w:tcPr>
          <w:p>
            <w:pPr>
              <w:adjustRightInd w:val="0"/>
              <w:snapToGrid w:val="0"/>
              <w:jc w:val="center"/>
              <w:rPr>
                <w:color w:val="auto"/>
                <w:szCs w:val="21"/>
              </w:rPr>
            </w:pPr>
            <w:r>
              <w:rPr>
                <w:color w:val="auto"/>
                <w:szCs w:val="21"/>
              </w:rPr>
              <w:t>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0.0298</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0.000005</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0.0283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vMerge w:val="continue"/>
            <w:tcBorders>
              <w:tl2br w:val="nil"/>
              <w:tr2bl w:val="nil"/>
            </w:tcBorders>
            <w:vAlign w:val="center"/>
          </w:tcPr>
          <w:p>
            <w:pPr>
              <w:adjustRightInd w:val="0"/>
              <w:snapToGrid w:val="0"/>
              <w:jc w:val="center"/>
              <w:rPr>
                <w:color w:val="auto"/>
                <w:szCs w:val="21"/>
              </w:rPr>
            </w:pPr>
          </w:p>
        </w:tc>
        <w:tc>
          <w:tcPr>
            <w:tcW w:w="775" w:type="dxa"/>
            <w:vMerge w:val="continue"/>
            <w:tcBorders>
              <w:tl2br w:val="nil"/>
              <w:tr2bl w:val="nil"/>
            </w:tcBorders>
            <w:vAlign w:val="center"/>
          </w:tcPr>
          <w:p>
            <w:pPr>
              <w:adjustRightInd w:val="0"/>
              <w:snapToGrid w:val="0"/>
              <w:jc w:val="center"/>
              <w:rPr>
                <w:color w:val="auto"/>
                <w:szCs w:val="21"/>
              </w:rPr>
            </w:pP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tcBorders>
              <w:tl2br w:val="nil"/>
              <w:tr2bl w:val="nil"/>
            </w:tcBorders>
            <w:vAlign w:val="center"/>
          </w:tcPr>
          <w:p>
            <w:pPr>
              <w:adjustRightInd w:val="0"/>
              <w:snapToGrid w:val="0"/>
              <w:jc w:val="center"/>
              <w:rPr>
                <w:color w:val="auto"/>
                <w:szCs w:val="21"/>
              </w:rPr>
            </w:pPr>
            <w:r>
              <w:rPr>
                <w:color w:val="auto"/>
                <w:szCs w:val="21"/>
              </w:rPr>
              <w:t>非正常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0.5962</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0.00005</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0.2825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排气筒G</w:t>
            </w:r>
            <w:r>
              <w:rPr>
                <w:rFonts w:hint="eastAsia"/>
                <w:color w:val="auto"/>
                <w:szCs w:val="21"/>
              </w:rPr>
              <w:t>2</w:t>
            </w:r>
          </w:p>
        </w:tc>
        <w:tc>
          <w:tcPr>
            <w:tcW w:w="73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-44</w:t>
            </w:r>
          </w:p>
        </w:tc>
        <w:tc>
          <w:tcPr>
            <w:tcW w:w="775"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53</w:t>
            </w:r>
          </w:p>
        </w:tc>
        <w:tc>
          <w:tcPr>
            <w:tcW w:w="1163"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15</w:t>
            </w:r>
          </w:p>
        </w:tc>
        <w:tc>
          <w:tcPr>
            <w:tcW w:w="11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0.8</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15000</w:t>
            </w:r>
          </w:p>
        </w:tc>
        <w:tc>
          <w:tcPr>
            <w:tcW w:w="10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22.6</w:t>
            </w:r>
          </w:p>
        </w:tc>
        <w:tc>
          <w:tcPr>
            <w:tcW w:w="1088"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2640</w:t>
            </w:r>
          </w:p>
        </w:tc>
        <w:tc>
          <w:tcPr>
            <w:tcW w:w="1225" w:type="dxa"/>
            <w:tcBorders>
              <w:tl2br w:val="nil"/>
              <w:tr2bl w:val="nil"/>
            </w:tcBorders>
            <w:vAlign w:val="center"/>
          </w:tcPr>
          <w:p>
            <w:pPr>
              <w:adjustRightInd w:val="0"/>
              <w:snapToGrid w:val="0"/>
              <w:jc w:val="center"/>
              <w:rPr>
                <w:color w:val="auto"/>
                <w:szCs w:val="21"/>
              </w:rPr>
            </w:pPr>
            <w:r>
              <w:rPr>
                <w:color w:val="auto"/>
                <w:szCs w:val="21"/>
              </w:rPr>
              <w:t>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0.0358</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vMerge w:val="continue"/>
            <w:tcBorders>
              <w:tl2br w:val="nil"/>
              <w:tr2bl w:val="nil"/>
            </w:tcBorders>
            <w:vAlign w:val="center"/>
          </w:tcPr>
          <w:p>
            <w:pPr>
              <w:adjustRightInd w:val="0"/>
              <w:snapToGrid w:val="0"/>
              <w:jc w:val="center"/>
              <w:rPr>
                <w:color w:val="auto"/>
                <w:szCs w:val="21"/>
              </w:rPr>
            </w:pPr>
          </w:p>
        </w:tc>
        <w:tc>
          <w:tcPr>
            <w:tcW w:w="775" w:type="dxa"/>
            <w:vMerge w:val="continue"/>
            <w:tcBorders>
              <w:tl2br w:val="nil"/>
              <w:tr2bl w:val="nil"/>
            </w:tcBorders>
            <w:vAlign w:val="center"/>
          </w:tcPr>
          <w:p>
            <w:pPr>
              <w:adjustRightInd w:val="0"/>
              <w:snapToGrid w:val="0"/>
              <w:jc w:val="center"/>
              <w:rPr>
                <w:color w:val="auto"/>
                <w:szCs w:val="21"/>
              </w:rPr>
            </w:pP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tcBorders>
              <w:tl2br w:val="nil"/>
              <w:tr2bl w:val="nil"/>
            </w:tcBorders>
            <w:vAlign w:val="center"/>
          </w:tcPr>
          <w:p>
            <w:pPr>
              <w:adjustRightInd w:val="0"/>
              <w:snapToGrid w:val="0"/>
              <w:jc w:val="center"/>
              <w:rPr>
                <w:color w:val="auto"/>
                <w:szCs w:val="21"/>
              </w:rPr>
            </w:pPr>
            <w:r>
              <w:rPr>
                <w:color w:val="auto"/>
                <w:szCs w:val="21"/>
              </w:rPr>
              <w:t>非正常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0.7159</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w:t>
            </w:r>
          </w:p>
        </w:tc>
      </w:tr>
    </w:tbl>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r>
        <w:rPr>
          <w:b/>
          <w:color w:val="auto"/>
          <w:kern w:val="0"/>
          <w:szCs w:val="20"/>
        </w:rPr>
        <w:t>表2.6-</w:t>
      </w:r>
      <w:r>
        <w:rPr>
          <w:rFonts w:hint="eastAsia"/>
          <w:b/>
          <w:color w:val="auto"/>
          <w:kern w:val="0"/>
          <w:szCs w:val="20"/>
        </w:rPr>
        <w:t>6</w:t>
      </w:r>
      <w:r>
        <w:rPr>
          <w:b/>
          <w:color w:val="auto"/>
          <w:kern w:val="0"/>
          <w:szCs w:val="20"/>
        </w:rPr>
        <w:t xml:space="preserve"> </w:t>
      </w:r>
      <w:r>
        <w:rPr>
          <w:rFonts w:hint="eastAsia"/>
          <w:b/>
          <w:color w:val="auto"/>
          <w:kern w:val="0"/>
          <w:szCs w:val="20"/>
        </w:rPr>
        <w:t xml:space="preserve"> </w:t>
      </w:r>
      <w:r>
        <w:rPr>
          <w:b/>
          <w:color w:val="auto"/>
          <w:kern w:val="0"/>
          <w:szCs w:val="20"/>
        </w:rPr>
        <w:t>面源参数表</w:t>
      </w:r>
    </w:p>
    <w:tbl>
      <w:tblPr>
        <w:tblStyle w:val="2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377"/>
        <w:gridCol w:w="1359"/>
        <w:gridCol w:w="1611"/>
        <w:gridCol w:w="1920"/>
        <w:gridCol w:w="1610"/>
        <w:gridCol w:w="1073"/>
        <w:gridCol w:w="1262"/>
        <w:gridCol w:w="1350"/>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restart"/>
            <w:tcBorders>
              <w:tl2br w:val="nil"/>
              <w:tr2bl w:val="nil"/>
            </w:tcBorders>
            <w:vAlign w:val="center"/>
          </w:tcPr>
          <w:p>
            <w:pPr>
              <w:adjustRightInd w:val="0"/>
              <w:snapToGrid w:val="0"/>
              <w:jc w:val="center"/>
              <w:rPr>
                <w:color w:val="auto"/>
                <w:szCs w:val="21"/>
              </w:rPr>
            </w:pPr>
            <w:r>
              <w:rPr>
                <w:color w:val="auto"/>
                <w:szCs w:val="21"/>
              </w:rPr>
              <w:t>名称</w:t>
            </w:r>
          </w:p>
        </w:tc>
        <w:tc>
          <w:tcPr>
            <w:tcW w:w="2736" w:type="dxa"/>
            <w:gridSpan w:val="2"/>
            <w:tcBorders>
              <w:tl2br w:val="nil"/>
              <w:tr2bl w:val="nil"/>
            </w:tcBorders>
            <w:vAlign w:val="center"/>
          </w:tcPr>
          <w:p>
            <w:pPr>
              <w:adjustRightInd w:val="0"/>
              <w:snapToGrid w:val="0"/>
              <w:jc w:val="center"/>
              <w:rPr>
                <w:color w:val="auto"/>
                <w:szCs w:val="21"/>
              </w:rPr>
            </w:pPr>
            <w:r>
              <w:rPr>
                <w:color w:val="auto"/>
                <w:szCs w:val="21"/>
              </w:rPr>
              <w:t>面源各顶点坐标/m</w:t>
            </w:r>
          </w:p>
        </w:tc>
        <w:tc>
          <w:tcPr>
            <w:tcW w:w="1611" w:type="dxa"/>
            <w:vMerge w:val="restart"/>
            <w:tcBorders>
              <w:tl2br w:val="nil"/>
              <w:tr2bl w:val="nil"/>
            </w:tcBorders>
            <w:vAlign w:val="center"/>
          </w:tcPr>
          <w:p>
            <w:pPr>
              <w:widowControl/>
              <w:jc w:val="center"/>
              <w:textAlignment w:val="center"/>
              <w:rPr>
                <w:color w:val="auto"/>
                <w:szCs w:val="21"/>
              </w:rPr>
            </w:pPr>
            <w:r>
              <w:rPr>
                <w:color w:val="auto"/>
                <w:szCs w:val="21"/>
              </w:rPr>
              <w:t>面源海拔高度/m</w:t>
            </w:r>
          </w:p>
        </w:tc>
        <w:tc>
          <w:tcPr>
            <w:tcW w:w="192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面源有效排放高度/m</w:t>
            </w:r>
          </w:p>
        </w:tc>
        <w:tc>
          <w:tcPr>
            <w:tcW w:w="1610"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年排放小时数/h</w:t>
            </w:r>
          </w:p>
        </w:tc>
        <w:tc>
          <w:tcPr>
            <w:tcW w:w="1073"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排放工况</w:t>
            </w:r>
          </w:p>
        </w:tc>
        <w:tc>
          <w:tcPr>
            <w:tcW w:w="3989" w:type="dxa"/>
            <w:gridSpan w:val="3"/>
            <w:tcBorders>
              <w:tl2br w:val="nil"/>
              <w:tr2bl w:val="nil"/>
            </w:tcBorders>
            <w:vAlign w:val="center"/>
          </w:tcPr>
          <w:p>
            <w:pPr>
              <w:adjustRightInd w:val="0"/>
              <w:snapToGrid w:val="0"/>
              <w:jc w:val="center"/>
              <w:rPr>
                <w:color w:val="auto"/>
                <w:szCs w:val="21"/>
              </w:rPr>
            </w:pPr>
            <w:r>
              <w:rPr>
                <w:color w:val="auto"/>
                <w:szCs w:val="21"/>
              </w:rPr>
              <w:t>污染物最大排放速率/kg/h）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szCs w:val="21"/>
              </w:rPr>
            </w:pPr>
            <w:r>
              <w:rPr>
                <w:color w:val="auto"/>
                <w:szCs w:val="21"/>
              </w:rPr>
              <w:t>X</w:t>
            </w:r>
          </w:p>
        </w:tc>
        <w:tc>
          <w:tcPr>
            <w:tcW w:w="1359" w:type="dxa"/>
            <w:tcBorders>
              <w:tl2br w:val="nil"/>
              <w:tr2bl w:val="nil"/>
            </w:tcBorders>
            <w:vAlign w:val="center"/>
          </w:tcPr>
          <w:p>
            <w:pPr>
              <w:adjustRightInd w:val="0"/>
              <w:snapToGrid w:val="0"/>
              <w:jc w:val="center"/>
              <w:rPr>
                <w:color w:val="auto"/>
                <w:szCs w:val="21"/>
              </w:rPr>
            </w:pPr>
            <w:r>
              <w:rPr>
                <w:color w:val="auto"/>
                <w:szCs w:val="21"/>
              </w:rPr>
              <w:t>Y</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tcBorders>
              <w:tl2br w:val="nil"/>
              <w:tr2bl w:val="nil"/>
            </w:tcBorders>
            <w:vAlign w:val="center"/>
          </w:tcPr>
          <w:p>
            <w:pPr>
              <w:adjustRightInd w:val="0"/>
              <w:snapToGrid w:val="0"/>
              <w:jc w:val="center"/>
              <w:rPr>
                <w:color w:val="auto"/>
                <w:szCs w:val="21"/>
              </w:rPr>
            </w:pPr>
            <w:r>
              <w:rPr>
                <w:rFonts w:hint="eastAsia"/>
                <w:color w:val="auto"/>
                <w:szCs w:val="21"/>
              </w:rPr>
              <w:t>颗粒物</w:t>
            </w:r>
          </w:p>
        </w:tc>
        <w:tc>
          <w:tcPr>
            <w:tcW w:w="1350" w:type="dxa"/>
            <w:tcBorders>
              <w:tl2br w:val="nil"/>
              <w:tr2bl w:val="nil"/>
            </w:tcBorders>
            <w:vAlign w:val="center"/>
          </w:tcPr>
          <w:p>
            <w:pPr>
              <w:adjustRightInd w:val="0"/>
              <w:snapToGrid w:val="0"/>
              <w:jc w:val="center"/>
              <w:rPr>
                <w:color w:val="auto"/>
                <w:szCs w:val="21"/>
              </w:rPr>
            </w:pPr>
            <w:r>
              <w:rPr>
                <w:rFonts w:hint="eastAsia"/>
                <w:color w:val="auto"/>
                <w:szCs w:val="21"/>
              </w:rPr>
              <w:t>苯并[a]芘</w:t>
            </w:r>
          </w:p>
        </w:tc>
        <w:tc>
          <w:tcPr>
            <w:tcW w:w="1377" w:type="dxa"/>
            <w:tcBorders>
              <w:tl2br w:val="nil"/>
              <w:tr2bl w:val="nil"/>
            </w:tcBorders>
            <w:vAlign w:val="center"/>
          </w:tcPr>
          <w:p>
            <w:pPr>
              <w:adjustRightInd w:val="0"/>
              <w:snapToGrid w:val="0"/>
              <w:jc w:val="center"/>
              <w:rPr>
                <w:color w:val="auto"/>
                <w:szCs w:val="21"/>
              </w:rPr>
            </w:pPr>
            <w:r>
              <w:rPr>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restart"/>
            <w:tcBorders>
              <w:tl2br w:val="nil"/>
              <w:tr2bl w:val="nil"/>
            </w:tcBorders>
            <w:vAlign w:val="center"/>
          </w:tcPr>
          <w:p>
            <w:pPr>
              <w:adjustRightInd w:val="0"/>
              <w:snapToGrid w:val="0"/>
              <w:jc w:val="center"/>
              <w:rPr>
                <w:color w:val="auto"/>
                <w:szCs w:val="21"/>
              </w:rPr>
            </w:pPr>
            <w:r>
              <w:rPr>
                <w:color w:val="auto"/>
                <w:szCs w:val="21"/>
              </w:rPr>
              <w:t>车间</w:t>
            </w: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0</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0</w:t>
            </w:r>
          </w:p>
        </w:tc>
        <w:tc>
          <w:tcPr>
            <w:tcW w:w="1611" w:type="dxa"/>
            <w:vMerge w:val="restart"/>
            <w:tcBorders>
              <w:tl2br w:val="nil"/>
              <w:tr2bl w:val="nil"/>
            </w:tcBorders>
            <w:vAlign w:val="center"/>
          </w:tcPr>
          <w:p>
            <w:pPr>
              <w:adjustRightInd w:val="0"/>
              <w:snapToGrid w:val="0"/>
              <w:jc w:val="center"/>
              <w:rPr>
                <w:color w:val="auto"/>
                <w:szCs w:val="21"/>
              </w:rPr>
            </w:pPr>
            <w:r>
              <w:rPr>
                <w:color w:val="auto"/>
                <w:szCs w:val="21"/>
              </w:rPr>
              <w:t>1</w:t>
            </w:r>
          </w:p>
        </w:tc>
        <w:tc>
          <w:tcPr>
            <w:tcW w:w="192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4</w:t>
            </w:r>
          </w:p>
        </w:tc>
        <w:tc>
          <w:tcPr>
            <w:tcW w:w="1610" w:type="dxa"/>
            <w:vMerge w:val="restart"/>
            <w:tcBorders>
              <w:tl2br w:val="nil"/>
              <w:tr2bl w:val="nil"/>
            </w:tcBorders>
            <w:vAlign w:val="center"/>
          </w:tcPr>
          <w:p>
            <w:pPr>
              <w:adjustRightInd w:val="0"/>
              <w:snapToGrid w:val="0"/>
              <w:jc w:val="center"/>
              <w:rPr>
                <w:color w:val="auto"/>
              </w:rPr>
            </w:pPr>
            <w:r>
              <w:rPr>
                <w:rFonts w:hint="eastAsia"/>
                <w:color w:val="auto"/>
                <w:szCs w:val="21"/>
              </w:rPr>
              <w:t>7920</w:t>
            </w:r>
          </w:p>
        </w:tc>
        <w:tc>
          <w:tcPr>
            <w:tcW w:w="1073" w:type="dxa"/>
            <w:vMerge w:val="restart"/>
            <w:tcBorders>
              <w:tl2br w:val="nil"/>
              <w:tr2bl w:val="nil"/>
            </w:tcBorders>
            <w:vAlign w:val="center"/>
          </w:tcPr>
          <w:p>
            <w:pPr>
              <w:adjustRightInd w:val="0"/>
              <w:snapToGrid w:val="0"/>
              <w:jc w:val="center"/>
              <w:rPr>
                <w:color w:val="auto"/>
                <w:szCs w:val="21"/>
              </w:rPr>
            </w:pPr>
            <w:r>
              <w:rPr>
                <w:color w:val="auto"/>
                <w:szCs w:val="21"/>
              </w:rPr>
              <w:t>正常</w:t>
            </w:r>
          </w:p>
        </w:tc>
        <w:tc>
          <w:tcPr>
            <w:tcW w:w="12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0.1109</w:t>
            </w:r>
          </w:p>
        </w:tc>
        <w:tc>
          <w:tcPr>
            <w:tcW w:w="135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0.000001</w:t>
            </w:r>
          </w:p>
        </w:tc>
        <w:tc>
          <w:tcPr>
            <w:tcW w:w="1377"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58</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41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40</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63</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22</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51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restart"/>
            <w:tcBorders>
              <w:tl2br w:val="nil"/>
              <w:tr2bl w:val="nil"/>
            </w:tcBorders>
            <w:vAlign w:val="center"/>
          </w:tcPr>
          <w:p>
            <w:pPr>
              <w:adjustRightInd w:val="0"/>
              <w:snapToGrid w:val="0"/>
              <w:jc w:val="center"/>
              <w:rPr>
                <w:color w:val="auto"/>
                <w:szCs w:val="21"/>
              </w:rPr>
            </w:pPr>
            <w:r>
              <w:rPr>
                <w:color w:val="auto"/>
                <w:szCs w:val="21"/>
              </w:rPr>
              <w:t>非正常</w:t>
            </w:r>
          </w:p>
        </w:tc>
        <w:tc>
          <w:tcPr>
            <w:tcW w:w="12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0.1109</w:t>
            </w:r>
          </w:p>
        </w:tc>
        <w:tc>
          <w:tcPr>
            <w:tcW w:w="135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0.000001</w:t>
            </w:r>
          </w:p>
        </w:tc>
        <w:tc>
          <w:tcPr>
            <w:tcW w:w="1377"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-47</w:t>
            </w:r>
          </w:p>
        </w:tc>
        <w:tc>
          <w:tcPr>
            <w:tcW w:w="1359" w:type="dxa"/>
            <w:tcBorders>
              <w:tl2br w:val="nil"/>
              <w:tr2bl w:val="nil"/>
            </w:tcBorders>
            <w:vAlign w:val="center"/>
          </w:tcPr>
          <w:p>
            <w:pPr>
              <w:adjustRightInd w:val="0"/>
              <w:snapToGrid w:val="0"/>
              <w:jc w:val="center"/>
              <w:rPr>
                <w:b/>
                <w:bCs/>
                <w:color w:val="auto"/>
              </w:rPr>
            </w:pPr>
            <w:r>
              <w:rPr>
                <w:rFonts w:hint="eastAsia"/>
                <w:color w:val="auto"/>
              </w:rPr>
              <w:t>141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-136</w:t>
            </w:r>
          </w:p>
        </w:tc>
        <w:tc>
          <w:tcPr>
            <w:tcW w:w="1359" w:type="dxa"/>
            <w:tcBorders>
              <w:tl2br w:val="nil"/>
              <w:tr2bl w:val="nil"/>
            </w:tcBorders>
            <w:vAlign w:val="center"/>
          </w:tcPr>
          <w:p>
            <w:pPr>
              <w:adjustRightInd w:val="0"/>
              <w:snapToGrid w:val="0"/>
              <w:jc w:val="center"/>
              <w:rPr>
                <w:b/>
                <w:bCs/>
                <w:color w:val="auto"/>
              </w:rPr>
            </w:pPr>
            <w:r>
              <w:rPr>
                <w:rFonts w:hint="eastAsia"/>
                <w:color w:val="auto"/>
              </w:rPr>
              <w:t>86</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-87</w:t>
            </w:r>
          </w:p>
        </w:tc>
        <w:tc>
          <w:tcPr>
            <w:tcW w:w="1359" w:type="dxa"/>
            <w:tcBorders>
              <w:tl2br w:val="nil"/>
              <w:tr2bl w:val="nil"/>
            </w:tcBorders>
            <w:vAlign w:val="center"/>
          </w:tcPr>
          <w:p>
            <w:pPr>
              <w:adjustRightInd w:val="0"/>
              <w:snapToGrid w:val="0"/>
              <w:jc w:val="center"/>
              <w:rPr>
                <w:b/>
                <w:bCs/>
                <w:color w:val="auto"/>
              </w:rPr>
            </w:pPr>
            <w:r>
              <w:rPr>
                <w:rFonts w:hint="eastAsia"/>
                <w:color w:val="auto"/>
              </w:rPr>
              <w:t>18</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rPr>
            </w:pPr>
            <w:r>
              <w:rPr>
                <w:rFonts w:hint="eastAsia"/>
                <w:color w:val="auto"/>
              </w:rPr>
              <w:t>-46</w:t>
            </w:r>
          </w:p>
        </w:tc>
        <w:tc>
          <w:tcPr>
            <w:tcW w:w="1359" w:type="dxa"/>
            <w:tcBorders>
              <w:tl2br w:val="nil"/>
              <w:tr2bl w:val="nil"/>
            </w:tcBorders>
            <w:vAlign w:val="center"/>
          </w:tcPr>
          <w:p>
            <w:pPr>
              <w:adjustRightInd w:val="0"/>
              <w:snapToGrid w:val="0"/>
              <w:jc w:val="center"/>
              <w:rPr>
                <w:color w:val="auto"/>
              </w:rPr>
            </w:pPr>
            <w:r>
              <w:rPr>
                <w:rFonts w:hint="eastAsia"/>
                <w:color w:val="auto"/>
              </w:rPr>
              <w:t>45</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rPr>
            </w:pPr>
            <w:r>
              <w:rPr>
                <w:rFonts w:hint="eastAsia"/>
                <w:color w:val="auto"/>
              </w:rPr>
              <w:t>-10</w:t>
            </w:r>
          </w:p>
        </w:tc>
        <w:tc>
          <w:tcPr>
            <w:tcW w:w="1359" w:type="dxa"/>
            <w:tcBorders>
              <w:tl2br w:val="nil"/>
              <w:tr2bl w:val="nil"/>
            </w:tcBorders>
            <w:vAlign w:val="center"/>
          </w:tcPr>
          <w:p>
            <w:pPr>
              <w:adjustRightInd w:val="0"/>
              <w:snapToGrid w:val="0"/>
              <w:jc w:val="center"/>
              <w:rPr>
                <w:color w:val="auto"/>
              </w:rPr>
            </w:pPr>
            <w:r>
              <w:rPr>
                <w:rFonts w:hint="eastAsia"/>
                <w:color w:val="auto"/>
              </w:rPr>
              <w:t>-2</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bl>
    <w:p>
      <w:pPr>
        <w:pStyle w:val="2"/>
        <w:ind w:firstLine="400"/>
        <w:rPr>
          <w:color w:val="auto"/>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p>
    <w:p>
      <w:pPr>
        <w:adjustRightInd w:val="0"/>
        <w:snapToGrid w:val="0"/>
        <w:spacing w:line="360" w:lineRule="auto"/>
        <w:ind w:left="420" w:leftChars="200"/>
        <w:jc w:val="left"/>
        <w:rPr>
          <w:b/>
          <w:bCs/>
          <w:color w:val="auto"/>
          <w:kern w:val="0"/>
          <w:sz w:val="24"/>
        </w:rPr>
      </w:pPr>
      <w:r>
        <w:rPr>
          <w:b/>
          <w:bCs/>
          <w:color w:val="auto"/>
          <w:kern w:val="0"/>
          <w:sz w:val="24"/>
        </w:rPr>
        <w:t>（</w:t>
      </w:r>
      <w:r>
        <w:rPr>
          <w:rFonts w:hint="eastAsia"/>
          <w:b/>
          <w:bCs/>
          <w:color w:val="auto"/>
          <w:kern w:val="0"/>
          <w:sz w:val="24"/>
        </w:rPr>
        <w:t>5</w:t>
      </w:r>
      <w:r>
        <w:rPr>
          <w:b/>
          <w:bCs/>
          <w:color w:val="auto"/>
          <w:kern w:val="0"/>
          <w:sz w:val="24"/>
        </w:rPr>
        <w:t>）主要污染源估算模型计算结果</w:t>
      </w:r>
    </w:p>
    <w:p>
      <w:pPr>
        <w:adjustRightInd w:val="0"/>
        <w:snapToGrid w:val="0"/>
        <w:spacing w:line="360" w:lineRule="auto"/>
        <w:ind w:firstLine="480" w:firstLineChars="200"/>
        <w:rPr>
          <w:color w:val="auto"/>
          <w:kern w:val="0"/>
          <w:sz w:val="24"/>
        </w:rPr>
      </w:pPr>
      <w:r>
        <w:rPr>
          <w:color w:val="auto"/>
          <w:kern w:val="0"/>
          <w:sz w:val="24"/>
        </w:rPr>
        <w:t>采用估算模式分别计算各污染源的下风向轴线浓度，并计算相应浓度占标率，估算结果见下</w:t>
      </w:r>
      <w:r>
        <w:rPr>
          <w:rFonts w:hint="eastAsia"/>
          <w:color w:val="auto"/>
          <w:kern w:val="0"/>
          <w:sz w:val="24"/>
        </w:rPr>
        <w:t>图</w:t>
      </w:r>
      <w:r>
        <w:rPr>
          <w:color w:val="auto"/>
          <w:kern w:val="0"/>
          <w:sz w:val="24"/>
        </w:rPr>
        <w:t>。</w:t>
      </w:r>
    </w:p>
    <w:p>
      <w:pPr>
        <w:adjustRightInd w:val="0"/>
        <w:snapToGrid w:val="0"/>
        <w:spacing w:line="360" w:lineRule="auto"/>
        <w:rPr>
          <w:color w:val="auto"/>
        </w:rPr>
      </w:pPr>
      <w:bookmarkStart w:id="204" w:name="_Toc461434733"/>
      <w:bookmarkStart w:id="205" w:name="_Toc27805"/>
      <w:bookmarkStart w:id="206" w:name="_Toc465089651"/>
      <w:bookmarkStart w:id="207" w:name="_Toc465156543"/>
      <w:bookmarkStart w:id="208" w:name="_Toc10389"/>
      <w:r>
        <w:rPr>
          <w:color w:val="auto"/>
        </w:rPr>
        <w:drawing>
          <wp:inline distT="0" distB="0" distL="114300" distR="114300">
            <wp:extent cx="5530215" cy="3232150"/>
            <wp:effectExtent l="0" t="0" r="13335" b="635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26"/>
                    <a:stretch>
                      <a:fillRect/>
                    </a:stretch>
                  </pic:blipFill>
                  <pic:spPr>
                    <a:xfrm>
                      <a:off x="0" y="0"/>
                      <a:ext cx="5530215" cy="3232150"/>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图2.6-1  G1排气筒估算结果（苯并[a]芘）</w:t>
      </w:r>
    </w:p>
    <w:p>
      <w:pPr>
        <w:adjustRightInd w:val="0"/>
        <w:snapToGrid w:val="0"/>
        <w:spacing w:line="360" w:lineRule="auto"/>
        <w:jc w:val="center"/>
        <w:rPr>
          <w:b/>
          <w:bCs/>
          <w:color w:val="auto"/>
          <w:sz w:val="24"/>
        </w:rPr>
      </w:pPr>
      <w:r>
        <w:rPr>
          <w:color w:val="auto"/>
        </w:rPr>
        <w:drawing>
          <wp:inline distT="0" distB="0" distL="114300" distR="114300">
            <wp:extent cx="5494020" cy="3155950"/>
            <wp:effectExtent l="0" t="0" r="11430" b="635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27"/>
                    <a:stretch>
                      <a:fillRect/>
                    </a:stretch>
                  </pic:blipFill>
                  <pic:spPr>
                    <a:xfrm>
                      <a:off x="0" y="0"/>
                      <a:ext cx="5494020" cy="3155950"/>
                    </a:xfrm>
                    <a:prstGeom prst="rect">
                      <a:avLst/>
                    </a:prstGeom>
                    <a:noFill/>
                    <a:ln w="9525">
                      <a:noFill/>
                    </a:ln>
                  </pic:spPr>
                </pic:pic>
              </a:graphicData>
            </a:graphic>
          </wp:inline>
        </w:drawing>
      </w:r>
      <w:r>
        <w:rPr>
          <w:rFonts w:hint="eastAsia"/>
          <w:b/>
          <w:bCs/>
          <w:color w:val="auto"/>
          <w:sz w:val="24"/>
        </w:rPr>
        <w:t>图2.6-2  G1排气筒估算结果（非甲烷总烃）</w:t>
      </w:r>
    </w:p>
    <w:p>
      <w:pPr>
        <w:adjustRightInd w:val="0"/>
        <w:snapToGrid w:val="0"/>
        <w:spacing w:line="360" w:lineRule="auto"/>
        <w:rPr>
          <w:color w:val="auto"/>
        </w:rPr>
      </w:pPr>
      <w:r>
        <w:rPr>
          <w:color w:val="auto"/>
        </w:rPr>
        <w:drawing>
          <wp:inline distT="0" distB="0" distL="114300" distR="114300">
            <wp:extent cx="5485765" cy="3042920"/>
            <wp:effectExtent l="0" t="0" r="635" b="508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28"/>
                    <a:stretch>
                      <a:fillRect/>
                    </a:stretch>
                  </pic:blipFill>
                  <pic:spPr>
                    <a:xfrm>
                      <a:off x="0" y="0"/>
                      <a:ext cx="5485765" cy="3042920"/>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图2.6-3  G1排气筒估算结果（TSP）</w:t>
      </w:r>
    </w:p>
    <w:p>
      <w:pPr>
        <w:adjustRightInd w:val="0"/>
        <w:snapToGrid w:val="0"/>
        <w:spacing w:line="360" w:lineRule="auto"/>
        <w:rPr>
          <w:color w:val="auto"/>
        </w:rPr>
      </w:pPr>
      <w:r>
        <w:rPr>
          <w:color w:val="auto"/>
        </w:rPr>
        <w:drawing>
          <wp:inline distT="0" distB="0" distL="114300" distR="114300">
            <wp:extent cx="5480050" cy="2975610"/>
            <wp:effectExtent l="0" t="0" r="6350" b="11430"/>
            <wp:docPr id="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3"/>
                    <pic:cNvPicPr>
                      <a:picLocks noChangeAspect="1"/>
                    </pic:cNvPicPr>
                  </pic:nvPicPr>
                  <pic:blipFill>
                    <a:blip r:embed="rId29"/>
                    <a:stretch>
                      <a:fillRect/>
                    </a:stretch>
                  </pic:blipFill>
                  <pic:spPr>
                    <a:xfrm>
                      <a:off x="0" y="0"/>
                      <a:ext cx="5480050" cy="2975610"/>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图2.6-4  G2排气筒估算结果（TSP）</w:t>
      </w:r>
    </w:p>
    <w:p>
      <w:pPr>
        <w:adjustRightInd w:val="0"/>
        <w:snapToGrid w:val="0"/>
        <w:spacing w:line="360" w:lineRule="auto"/>
        <w:rPr>
          <w:color w:val="auto"/>
        </w:rPr>
      </w:pPr>
      <w:r>
        <w:rPr>
          <w:color w:val="auto"/>
        </w:rPr>
        <w:drawing>
          <wp:inline distT="0" distB="0" distL="114300" distR="114300">
            <wp:extent cx="5503545" cy="3317240"/>
            <wp:effectExtent l="0" t="0" r="13335" b="5080"/>
            <wp:docPr id="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5"/>
                    <pic:cNvPicPr>
                      <a:picLocks noChangeAspect="1"/>
                    </pic:cNvPicPr>
                  </pic:nvPicPr>
                  <pic:blipFill>
                    <a:blip r:embed="rId30"/>
                    <a:stretch>
                      <a:fillRect/>
                    </a:stretch>
                  </pic:blipFill>
                  <pic:spPr>
                    <a:xfrm>
                      <a:off x="0" y="0"/>
                      <a:ext cx="5503545" cy="3317240"/>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图2.6-5  车间估算结果（苯并[a]芘）</w:t>
      </w:r>
    </w:p>
    <w:p>
      <w:pPr>
        <w:adjustRightInd w:val="0"/>
        <w:snapToGrid w:val="0"/>
        <w:spacing w:line="360" w:lineRule="auto"/>
        <w:rPr>
          <w:color w:val="auto"/>
        </w:rPr>
      </w:pPr>
      <w:r>
        <w:rPr>
          <w:color w:val="auto"/>
        </w:rPr>
        <w:drawing>
          <wp:inline distT="0" distB="0" distL="114300" distR="114300">
            <wp:extent cx="5467350" cy="3179445"/>
            <wp:effectExtent l="0" t="0" r="3810" b="5715"/>
            <wp:docPr id="1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7"/>
                    <pic:cNvPicPr>
                      <a:picLocks noChangeAspect="1"/>
                    </pic:cNvPicPr>
                  </pic:nvPicPr>
                  <pic:blipFill>
                    <a:blip r:embed="rId31"/>
                    <a:stretch>
                      <a:fillRect/>
                    </a:stretch>
                  </pic:blipFill>
                  <pic:spPr>
                    <a:xfrm>
                      <a:off x="0" y="0"/>
                      <a:ext cx="5467350" cy="3179445"/>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图2.6-6  车间估算结果（非甲烷总烃）</w:t>
      </w:r>
    </w:p>
    <w:p>
      <w:pPr>
        <w:adjustRightInd w:val="0"/>
        <w:snapToGrid w:val="0"/>
        <w:spacing w:line="360" w:lineRule="auto"/>
        <w:rPr>
          <w:color w:val="auto"/>
        </w:rPr>
      </w:pPr>
      <w:r>
        <w:rPr>
          <w:color w:val="auto"/>
        </w:rPr>
        <w:drawing>
          <wp:inline distT="0" distB="0" distL="114300" distR="114300">
            <wp:extent cx="5269865" cy="2938145"/>
            <wp:effectExtent l="0" t="0" r="6985" b="14605"/>
            <wp:docPr id="1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
                    <pic:cNvPicPr>
                      <a:picLocks noChangeAspect="1"/>
                    </pic:cNvPicPr>
                  </pic:nvPicPr>
                  <pic:blipFill>
                    <a:blip r:embed="rId32"/>
                    <a:stretch>
                      <a:fillRect/>
                    </a:stretch>
                  </pic:blipFill>
                  <pic:spPr>
                    <a:xfrm>
                      <a:off x="0" y="0"/>
                      <a:ext cx="5269865" cy="2938145"/>
                    </a:xfrm>
                    <a:prstGeom prst="rect">
                      <a:avLst/>
                    </a:prstGeom>
                    <a:noFill/>
                    <a:ln w="9525">
                      <a:noFill/>
                    </a:ln>
                  </pic:spPr>
                </pic:pic>
              </a:graphicData>
            </a:graphic>
          </wp:inline>
        </w:drawing>
      </w:r>
    </w:p>
    <w:p>
      <w:pPr>
        <w:adjustRightInd w:val="0"/>
        <w:snapToGrid w:val="0"/>
        <w:spacing w:line="360" w:lineRule="auto"/>
        <w:jc w:val="center"/>
        <w:rPr>
          <w:b/>
          <w:bCs/>
          <w:color w:val="auto"/>
          <w:sz w:val="24"/>
        </w:rPr>
      </w:pPr>
      <w:r>
        <w:rPr>
          <w:rFonts w:hint="eastAsia"/>
          <w:b/>
          <w:bCs/>
          <w:color w:val="auto"/>
          <w:sz w:val="24"/>
        </w:rPr>
        <w:t>图2.6-7  车间估算结果（TSP）</w:t>
      </w:r>
    </w:p>
    <w:p>
      <w:pPr>
        <w:keepNext/>
        <w:keepLines/>
        <w:spacing w:line="360" w:lineRule="auto"/>
        <w:ind w:firstLine="480" w:firstLineChars="200"/>
        <w:rPr>
          <w:b/>
          <w:bCs/>
          <w:color w:val="auto"/>
          <w:sz w:val="24"/>
        </w:rPr>
      </w:pPr>
      <w:r>
        <w:rPr>
          <w:rFonts w:hint="eastAsia"/>
          <w:bCs/>
          <w:color w:val="auto"/>
          <w:sz w:val="24"/>
        </w:rPr>
        <w:t>由截图可知，</w:t>
      </w:r>
      <w:r>
        <w:rPr>
          <w:bCs/>
          <w:color w:val="auto"/>
          <w:sz w:val="24"/>
        </w:rPr>
        <w:t>正常工况下，项目排气筒G1有组织排放的污染物最大落地浓度出现在距离排气筒</w:t>
      </w:r>
      <w:r>
        <w:rPr>
          <w:rFonts w:hint="eastAsia"/>
          <w:bCs/>
          <w:color w:val="auto"/>
          <w:sz w:val="24"/>
        </w:rPr>
        <w:t>225</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1.08E-03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.00</w:t>
      </w:r>
      <w:r>
        <w:rPr>
          <w:bCs/>
          <w:color w:val="auto"/>
          <w:sz w:val="24"/>
        </w:rPr>
        <w:t>%</w:t>
      </w:r>
      <w:r>
        <w:rPr>
          <w:rFonts w:hint="eastAsia"/>
          <w:bCs/>
          <w:color w:val="auto"/>
          <w:sz w:val="24"/>
        </w:rPr>
        <w:t>，苯并[a]芘</w:t>
      </w:r>
      <w:r>
        <w:rPr>
          <w:bCs/>
          <w:color w:val="auto"/>
          <w:sz w:val="24"/>
        </w:rPr>
        <w:t>下风向最大落地浓度为</w:t>
      </w:r>
      <w:r>
        <w:rPr>
          <w:rFonts w:hint="eastAsia"/>
          <w:color w:val="auto"/>
          <w:sz w:val="24"/>
        </w:rPr>
        <w:t>1.82E-07</w:t>
      </w:r>
      <w:r>
        <w:rPr>
          <w:bCs/>
          <w:color w:val="auto"/>
          <w:sz w:val="24"/>
        </w:rPr>
        <w:t>mg/m</w:t>
      </w:r>
      <w:r>
        <w:rPr>
          <w:bCs/>
          <w:color w:val="auto"/>
          <w:sz w:val="24"/>
          <w:vertAlign w:val="superscript"/>
        </w:rPr>
        <w:t>3</w:t>
      </w:r>
      <w:r>
        <w:rPr>
          <w:bCs/>
          <w:color w:val="auto"/>
          <w:sz w:val="24"/>
        </w:rPr>
        <w:t>，占标率为</w:t>
      </w:r>
      <w:r>
        <w:rPr>
          <w:rFonts w:hint="eastAsia"/>
          <w:bCs/>
          <w:color w:val="auto"/>
          <w:sz w:val="24"/>
        </w:rPr>
        <w:t>2.42</w:t>
      </w:r>
      <w:r>
        <w:rPr>
          <w:bCs/>
          <w:color w:val="auto"/>
          <w:sz w:val="24"/>
        </w:rPr>
        <w:t>%</w:t>
      </w:r>
      <w:r>
        <w:rPr>
          <w:rFonts w:hint="eastAsia"/>
          <w:bCs/>
          <w:color w:val="auto"/>
          <w:sz w:val="24"/>
        </w:rPr>
        <w:t>，</w:t>
      </w:r>
      <w:r>
        <w:rPr>
          <w:bCs/>
          <w:color w:val="auto"/>
          <w:sz w:val="24"/>
        </w:rPr>
        <w:t>非甲烷总烃下风向最大落地浓度为</w:t>
      </w:r>
      <w:r>
        <w:rPr>
          <w:rFonts w:hint="eastAsia"/>
          <w:bCs/>
          <w:color w:val="auto"/>
          <w:sz w:val="24"/>
        </w:rPr>
        <w:t>1.03</w:t>
      </w:r>
      <w:r>
        <w:rPr>
          <w:rFonts w:hint="eastAsia"/>
          <w:color w:val="auto"/>
          <w:sz w:val="24"/>
        </w:rPr>
        <w:t>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51</w:t>
      </w:r>
      <w:r>
        <w:rPr>
          <w:bCs/>
          <w:color w:val="auto"/>
          <w:sz w:val="24"/>
        </w:rPr>
        <w:t>%。项目排气筒G</w:t>
      </w:r>
      <w:r>
        <w:rPr>
          <w:rFonts w:hint="eastAsia"/>
          <w:bCs/>
          <w:color w:val="auto"/>
          <w:sz w:val="24"/>
        </w:rPr>
        <w:t>2</w:t>
      </w:r>
      <w:r>
        <w:rPr>
          <w:bCs/>
          <w:color w:val="auto"/>
          <w:sz w:val="24"/>
        </w:rPr>
        <w:t>有组织排放的污染物最大落地浓度出现在距离排气筒</w:t>
      </w:r>
      <w:r>
        <w:rPr>
          <w:rFonts w:hint="eastAsia"/>
          <w:bCs/>
          <w:color w:val="auto"/>
          <w:sz w:val="24"/>
        </w:rPr>
        <w:t>92</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7.83E-03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.00</w:t>
      </w:r>
      <w:r>
        <w:rPr>
          <w:bCs/>
          <w:color w:val="auto"/>
          <w:sz w:val="24"/>
        </w:rPr>
        <w:t>%</w:t>
      </w:r>
      <w:r>
        <w:rPr>
          <w:rFonts w:hint="eastAsia"/>
          <w:bCs/>
          <w:color w:val="auto"/>
          <w:sz w:val="24"/>
        </w:rPr>
        <w:t>。车间无组织排放的污染物</w:t>
      </w:r>
      <w:r>
        <w:rPr>
          <w:bCs/>
          <w:color w:val="auto"/>
          <w:sz w:val="24"/>
        </w:rPr>
        <w:t>最大落地浓度出现在距离</w:t>
      </w:r>
      <w:r>
        <w:rPr>
          <w:rFonts w:hint="eastAsia"/>
          <w:bCs/>
          <w:color w:val="auto"/>
          <w:sz w:val="24"/>
        </w:rPr>
        <w:t>车间95</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7.55</w:t>
      </w:r>
      <w:r>
        <w:rPr>
          <w:color w:val="auto"/>
          <w:sz w:val="24"/>
        </w:rPr>
        <w:t>E-0</w:t>
      </w:r>
      <w:r>
        <w:rPr>
          <w:rFonts w:hint="eastAsia"/>
          <w:color w:val="auto"/>
          <w:sz w:val="24"/>
        </w:rPr>
        <w:t>2</w:t>
      </w:r>
      <w:r>
        <w:rPr>
          <w:bCs/>
          <w:color w:val="auto"/>
          <w:sz w:val="24"/>
        </w:rPr>
        <w:t>mg/m</w:t>
      </w:r>
      <w:r>
        <w:rPr>
          <w:bCs/>
          <w:color w:val="auto"/>
          <w:sz w:val="24"/>
          <w:vertAlign w:val="superscript"/>
        </w:rPr>
        <w:t>3</w:t>
      </w:r>
      <w:r>
        <w:rPr>
          <w:bCs/>
          <w:color w:val="auto"/>
          <w:sz w:val="24"/>
        </w:rPr>
        <w:t>，占标率为0.01%，苯并[a]芘下风向最大落地浓度为</w:t>
      </w:r>
      <w:r>
        <w:rPr>
          <w:color w:val="auto"/>
          <w:sz w:val="24"/>
        </w:rPr>
        <w:t>6.</w:t>
      </w:r>
      <w:r>
        <w:rPr>
          <w:rFonts w:hint="eastAsia"/>
          <w:color w:val="auto"/>
          <w:sz w:val="24"/>
        </w:rPr>
        <w:t>77</w:t>
      </w:r>
      <w:r>
        <w:rPr>
          <w:color w:val="auto"/>
          <w:sz w:val="24"/>
        </w:rPr>
        <w:t>E-07</w:t>
      </w:r>
      <w:r>
        <w:rPr>
          <w:bCs/>
          <w:color w:val="auto"/>
          <w:sz w:val="24"/>
        </w:rPr>
        <w:t>mg/m</w:t>
      </w:r>
      <w:r>
        <w:rPr>
          <w:bCs/>
          <w:color w:val="auto"/>
          <w:sz w:val="24"/>
          <w:vertAlign w:val="superscript"/>
        </w:rPr>
        <w:t>3</w:t>
      </w:r>
      <w:r>
        <w:rPr>
          <w:bCs/>
          <w:color w:val="auto"/>
          <w:sz w:val="24"/>
        </w:rPr>
        <w:t>，占标率为9.</w:t>
      </w:r>
      <w:r>
        <w:rPr>
          <w:rFonts w:hint="eastAsia"/>
          <w:bCs/>
          <w:color w:val="auto"/>
          <w:sz w:val="24"/>
        </w:rPr>
        <w:t>0</w:t>
      </w:r>
      <w:r>
        <w:rPr>
          <w:bCs/>
          <w:color w:val="auto"/>
          <w:sz w:val="24"/>
        </w:rPr>
        <w:t>3%，非甲烷总烃下风向最大落地浓度为</w:t>
      </w:r>
      <w:r>
        <w:rPr>
          <w:rFonts w:hint="eastAsia"/>
          <w:color w:val="auto"/>
          <w:sz w:val="24"/>
        </w:rPr>
        <w:t>5.75</w:t>
      </w:r>
      <w:r>
        <w:rPr>
          <w:color w:val="auto"/>
          <w:sz w:val="24"/>
        </w:rPr>
        <w:t>E-03</w:t>
      </w:r>
      <w:r>
        <w:rPr>
          <w:bCs/>
          <w:color w:val="auto"/>
          <w:sz w:val="24"/>
        </w:rPr>
        <w:t>mg/m</w:t>
      </w:r>
      <w:r>
        <w:rPr>
          <w:bCs/>
          <w:color w:val="auto"/>
          <w:sz w:val="24"/>
          <w:vertAlign w:val="superscript"/>
        </w:rPr>
        <w:t>3</w:t>
      </w:r>
      <w:r>
        <w:rPr>
          <w:bCs/>
          <w:color w:val="auto"/>
          <w:sz w:val="24"/>
        </w:rPr>
        <w:t>，占标率为</w:t>
      </w:r>
      <w:r>
        <w:rPr>
          <w:rFonts w:hint="eastAsia"/>
          <w:bCs/>
          <w:color w:val="auto"/>
          <w:sz w:val="24"/>
        </w:rPr>
        <w:t>2.87</w:t>
      </w:r>
      <w:r>
        <w:rPr>
          <w:bCs/>
          <w:color w:val="auto"/>
          <w:sz w:val="24"/>
        </w:rPr>
        <w:t>%。</w:t>
      </w:r>
      <w:r>
        <w:rPr>
          <w:color w:val="auto"/>
          <w:sz w:val="24"/>
        </w:rPr>
        <w:t>根据《环境影响导则 大气环境》（HJ2.2-2018）中规定：“同一项目有多个污染源（两个及以上）时，则按各污染源分别确定评价等级，并取评价等级最高者作为项目的评价等级”。最终确定本项目大气环境影响评价工作等级为二级。</w:t>
      </w:r>
    </w:p>
    <w:p>
      <w:pPr>
        <w:keepNext/>
        <w:keepLines/>
        <w:spacing w:line="360" w:lineRule="auto"/>
        <w:jc w:val="left"/>
        <w:outlineLvl w:val="2"/>
        <w:rPr>
          <w:b/>
          <w:bCs/>
          <w:color w:val="auto"/>
          <w:sz w:val="28"/>
          <w:szCs w:val="28"/>
        </w:rPr>
      </w:pPr>
      <w:bookmarkStart w:id="209" w:name="_Toc7219"/>
      <w:r>
        <w:rPr>
          <w:b/>
          <w:bCs/>
          <w:color w:val="auto"/>
          <w:sz w:val="28"/>
          <w:szCs w:val="28"/>
        </w:rPr>
        <w:t>2.6.3</w:t>
      </w:r>
      <w:r>
        <w:rPr>
          <w:rFonts w:hint="eastAsia"/>
          <w:b/>
          <w:bCs/>
          <w:color w:val="auto"/>
          <w:sz w:val="28"/>
          <w:szCs w:val="28"/>
        </w:rPr>
        <w:t xml:space="preserve">  </w:t>
      </w:r>
      <w:r>
        <w:rPr>
          <w:b/>
          <w:bCs/>
          <w:color w:val="auto"/>
          <w:sz w:val="28"/>
          <w:szCs w:val="28"/>
        </w:rPr>
        <w:t>声环境评价工作等级</w:t>
      </w:r>
      <w:bookmarkEnd w:id="204"/>
      <w:bookmarkEnd w:id="205"/>
      <w:bookmarkEnd w:id="206"/>
      <w:bookmarkEnd w:id="207"/>
      <w:bookmarkEnd w:id="208"/>
      <w:bookmarkEnd w:id="209"/>
    </w:p>
    <w:p>
      <w:pPr>
        <w:spacing w:line="360" w:lineRule="auto"/>
        <w:ind w:firstLine="480" w:firstLineChars="200"/>
        <w:rPr>
          <w:color w:val="auto"/>
          <w:sz w:val="24"/>
        </w:rPr>
      </w:pPr>
      <w:r>
        <w:rPr>
          <w:color w:val="auto"/>
          <w:sz w:val="24"/>
        </w:rPr>
        <w:t>根据《环境影响评价技术导则-声影响》(HJ2.4-2009)中关于声环境影响评价工作等级划分，具体见</w:t>
      </w:r>
      <w:r>
        <w:rPr>
          <w:rFonts w:hint="eastAsia"/>
          <w:color w:val="auto"/>
          <w:sz w:val="24"/>
        </w:rPr>
        <w:t>下表</w:t>
      </w:r>
      <w:r>
        <w:rPr>
          <w:color w:val="auto"/>
          <w:sz w:val="24"/>
        </w:rPr>
        <w:t>。</w:t>
      </w:r>
    </w:p>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p>
    <w:p>
      <w:pPr>
        <w:adjustRightInd w:val="0"/>
        <w:snapToGrid w:val="0"/>
        <w:ind w:firstLine="422" w:firstLineChars="200"/>
        <w:jc w:val="center"/>
        <w:rPr>
          <w:b/>
          <w:color w:val="auto"/>
          <w:kern w:val="0"/>
          <w:szCs w:val="20"/>
        </w:rPr>
      </w:pPr>
      <w:r>
        <w:rPr>
          <w:b/>
          <w:color w:val="auto"/>
          <w:kern w:val="0"/>
          <w:szCs w:val="20"/>
        </w:rPr>
        <w:t>表2.6-</w:t>
      </w:r>
      <w:r>
        <w:rPr>
          <w:rFonts w:hint="eastAsia"/>
          <w:b/>
          <w:color w:val="auto"/>
          <w:kern w:val="0"/>
          <w:szCs w:val="20"/>
        </w:rPr>
        <w:t xml:space="preserve">7  </w:t>
      </w:r>
      <w:r>
        <w:rPr>
          <w:b/>
          <w:color w:val="auto"/>
          <w:kern w:val="0"/>
          <w:szCs w:val="20"/>
        </w:rPr>
        <w:t>声环境评价工作等级划分基本原则</w:t>
      </w:r>
    </w:p>
    <w:tbl>
      <w:tblPr>
        <w:tblStyle w:val="23"/>
        <w:tblW w:w="884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992"/>
        <w:gridCol w:w="785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992" w:type="dxa"/>
            <w:vAlign w:val="center"/>
          </w:tcPr>
          <w:p>
            <w:pPr>
              <w:adjustRightInd w:val="0"/>
              <w:snapToGrid w:val="0"/>
              <w:jc w:val="center"/>
              <w:rPr>
                <w:color w:val="auto"/>
                <w:szCs w:val="21"/>
              </w:rPr>
            </w:pPr>
            <w:r>
              <w:rPr>
                <w:color w:val="auto"/>
                <w:szCs w:val="21"/>
              </w:rPr>
              <w:t>等级分类</w:t>
            </w:r>
          </w:p>
        </w:tc>
        <w:tc>
          <w:tcPr>
            <w:tcW w:w="7852" w:type="dxa"/>
            <w:vAlign w:val="center"/>
          </w:tcPr>
          <w:p>
            <w:pPr>
              <w:adjustRightInd w:val="0"/>
              <w:snapToGrid w:val="0"/>
              <w:jc w:val="center"/>
              <w:rPr>
                <w:color w:val="auto"/>
                <w:szCs w:val="21"/>
              </w:rPr>
            </w:pPr>
            <w:r>
              <w:rPr>
                <w:color w:val="auto"/>
                <w:szCs w:val="21"/>
              </w:rPr>
              <w:t>等级划分基本原则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992" w:type="dxa"/>
            <w:vAlign w:val="center"/>
          </w:tcPr>
          <w:p>
            <w:pPr>
              <w:adjustRightInd w:val="0"/>
              <w:snapToGrid w:val="0"/>
              <w:jc w:val="center"/>
              <w:rPr>
                <w:color w:val="auto"/>
                <w:szCs w:val="21"/>
              </w:rPr>
            </w:pPr>
            <w:r>
              <w:rPr>
                <w:color w:val="auto"/>
                <w:szCs w:val="21"/>
              </w:rPr>
              <w:t>一级</w:t>
            </w:r>
          </w:p>
        </w:tc>
        <w:tc>
          <w:tcPr>
            <w:tcW w:w="7852" w:type="dxa"/>
            <w:vAlign w:val="center"/>
          </w:tcPr>
          <w:p>
            <w:pPr>
              <w:rPr>
                <w:color w:val="auto"/>
                <w:szCs w:val="21"/>
              </w:rPr>
            </w:pPr>
            <w:r>
              <w:rPr>
                <w:color w:val="auto"/>
                <w:szCs w:val="21"/>
              </w:rPr>
              <w:t>评价范围内有适用于GB3096规定的0类声环境功能区域，以及对噪声有特别限值要求的保护区等敏感目标，或建设项目建设前后评价范围内敏感目标噪声级增高量达5dB(A)以上[不含5dB(A)]，或受影响人口数量显著增多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992" w:type="dxa"/>
            <w:vAlign w:val="center"/>
          </w:tcPr>
          <w:p>
            <w:pPr>
              <w:adjustRightInd w:val="0"/>
              <w:snapToGrid w:val="0"/>
              <w:jc w:val="center"/>
              <w:rPr>
                <w:color w:val="auto"/>
                <w:szCs w:val="21"/>
              </w:rPr>
            </w:pPr>
            <w:r>
              <w:rPr>
                <w:color w:val="auto"/>
                <w:szCs w:val="21"/>
              </w:rPr>
              <w:t>二级</w:t>
            </w:r>
          </w:p>
        </w:tc>
        <w:tc>
          <w:tcPr>
            <w:tcW w:w="7852" w:type="dxa"/>
            <w:vAlign w:val="center"/>
          </w:tcPr>
          <w:p>
            <w:pPr>
              <w:rPr>
                <w:color w:val="auto"/>
                <w:szCs w:val="21"/>
              </w:rPr>
            </w:pPr>
            <w:r>
              <w:rPr>
                <w:color w:val="auto"/>
                <w:szCs w:val="21"/>
              </w:rPr>
              <w:t>建设项目所处的声环境功能区为GB3096规定的1类、2类地区，或建设项目建设前后评价范围内敏感目标噪声级增高量达3～5dB(A)[含5dB(A)]，或受噪声影响人口数量增加较多时。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992" w:type="dxa"/>
            <w:vAlign w:val="center"/>
          </w:tcPr>
          <w:p>
            <w:pPr>
              <w:adjustRightInd w:val="0"/>
              <w:snapToGrid w:val="0"/>
              <w:jc w:val="center"/>
              <w:rPr>
                <w:color w:val="auto"/>
                <w:szCs w:val="21"/>
              </w:rPr>
            </w:pPr>
            <w:r>
              <w:rPr>
                <w:color w:val="auto"/>
                <w:szCs w:val="21"/>
              </w:rPr>
              <w:t>三级</w:t>
            </w:r>
          </w:p>
        </w:tc>
        <w:tc>
          <w:tcPr>
            <w:tcW w:w="7852" w:type="dxa"/>
            <w:vAlign w:val="center"/>
          </w:tcPr>
          <w:p>
            <w:pPr>
              <w:rPr>
                <w:color w:val="auto"/>
                <w:szCs w:val="21"/>
              </w:rPr>
            </w:pPr>
            <w:r>
              <w:rPr>
                <w:color w:val="auto"/>
                <w:szCs w:val="21"/>
              </w:rPr>
              <w:t>建设项目所处的声环境功能区为GB3096规定的3类、4类地区，或建设项目建设前后评价范围内敏感目标噪声级增加量在3dB(A)[不含3dB]以下，且受影响人口数量变化不大时。</w:t>
            </w:r>
          </w:p>
        </w:tc>
      </w:tr>
    </w:tbl>
    <w:p>
      <w:pPr>
        <w:spacing w:line="360" w:lineRule="auto"/>
        <w:ind w:firstLine="480" w:firstLineChars="200"/>
        <w:rPr>
          <w:color w:val="auto"/>
          <w:sz w:val="24"/>
        </w:rPr>
      </w:pPr>
      <w:r>
        <w:rPr>
          <w:color w:val="auto"/>
          <w:sz w:val="24"/>
        </w:rPr>
        <w:t>根据清远市清城区人民政府于2020年发布的《清远市清城区声环境功能区划》(清城府办发〔2019〕12号)可知，本项目所在地属于3类声功能区，执行《声环境质量标准》（GB3096-2008)中3类标准。结合对本项目的噪声源类型、源强以及附近敏感点的现场调查分析可知，本项目运营期的噪声对评价范围内敏感目标的增值小于 3dB（A），且受噪声影响人口数量不会明显增加。根据《环境影响评价技术导则-声环境》(HJ 2.4-2009)中的有关规定，本建设项目噪声环境影响评价工作等定为三级。</w:t>
      </w:r>
    </w:p>
    <w:p>
      <w:pPr>
        <w:keepNext/>
        <w:keepLines/>
        <w:spacing w:line="360" w:lineRule="auto"/>
        <w:jc w:val="left"/>
        <w:outlineLvl w:val="2"/>
        <w:rPr>
          <w:b/>
          <w:bCs/>
          <w:color w:val="auto"/>
          <w:sz w:val="28"/>
          <w:szCs w:val="28"/>
        </w:rPr>
      </w:pPr>
      <w:bookmarkStart w:id="210" w:name="_Toc465156544"/>
      <w:bookmarkStart w:id="211" w:name="_Toc461434734"/>
      <w:bookmarkStart w:id="212" w:name="_Toc17069"/>
      <w:bookmarkStart w:id="213" w:name="_Toc465089652"/>
      <w:bookmarkStart w:id="214" w:name="_Toc450"/>
      <w:bookmarkStart w:id="215" w:name="_Toc27368"/>
      <w:r>
        <w:rPr>
          <w:b/>
          <w:bCs/>
          <w:color w:val="auto"/>
          <w:sz w:val="28"/>
          <w:szCs w:val="28"/>
        </w:rPr>
        <w:t>2.6.4</w:t>
      </w:r>
      <w:r>
        <w:rPr>
          <w:rFonts w:hint="eastAsia"/>
          <w:b/>
          <w:bCs/>
          <w:color w:val="auto"/>
          <w:sz w:val="28"/>
          <w:szCs w:val="28"/>
        </w:rPr>
        <w:t xml:space="preserve">  </w:t>
      </w:r>
      <w:r>
        <w:rPr>
          <w:b/>
          <w:bCs/>
          <w:color w:val="auto"/>
          <w:sz w:val="28"/>
          <w:szCs w:val="28"/>
        </w:rPr>
        <w:t>地下水环境评价工作等级</w:t>
      </w:r>
      <w:bookmarkEnd w:id="210"/>
      <w:bookmarkEnd w:id="211"/>
      <w:bookmarkEnd w:id="212"/>
      <w:bookmarkEnd w:id="213"/>
      <w:bookmarkEnd w:id="214"/>
      <w:bookmarkEnd w:id="215"/>
    </w:p>
    <w:p>
      <w:pPr>
        <w:spacing w:line="360" w:lineRule="auto"/>
        <w:ind w:firstLine="480" w:firstLineChars="200"/>
        <w:rPr>
          <w:color w:val="auto"/>
          <w:sz w:val="24"/>
        </w:rPr>
      </w:pPr>
      <w:bookmarkStart w:id="216" w:name="_Toc335981118"/>
      <w:bookmarkStart w:id="217" w:name="_Toc328487909"/>
      <w:r>
        <w:rPr>
          <w:color w:val="auto"/>
          <w:sz w:val="24"/>
        </w:rPr>
        <w:t>（1）建设项目分类</w:t>
      </w:r>
    </w:p>
    <w:p>
      <w:pPr>
        <w:spacing w:line="360" w:lineRule="auto"/>
        <w:ind w:firstLine="480" w:firstLineChars="200"/>
        <w:rPr>
          <w:color w:val="auto"/>
          <w:sz w:val="24"/>
        </w:rPr>
      </w:pPr>
      <w:r>
        <w:rPr>
          <w:color w:val="auto"/>
          <w:sz w:val="24"/>
        </w:rPr>
        <w:t>《环境影响评价技术导则-地下水环境》（HJ 610－2016）中指出，根据建设项目对地下水环境影响的程度，结合《建设项目环境影响评价分类管理名录》，将建设项目分为四类，</w:t>
      </w:r>
      <w:r>
        <w:rPr>
          <w:color w:val="auto"/>
          <w:sz w:val="24"/>
        </w:rPr>
        <w:fldChar w:fldCharType="begin"/>
      </w:r>
      <w:r>
        <w:rPr>
          <w:color w:val="auto"/>
          <w:sz w:val="24"/>
        </w:rPr>
        <w:instrText xml:space="preserve"> = 1 \* ROMAN \* MERGEFORMAT </w:instrText>
      </w:r>
      <w:r>
        <w:rPr>
          <w:color w:val="auto"/>
          <w:sz w:val="24"/>
        </w:rPr>
        <w:fldChar w:fldCharType="separate"/>
      </w:r>
      <w:r>
        <w:rPr>
          <w:color w:val="auto"/>
          <w:sz w:val="24"/>
        </w:rPr>
        <w:t>I</w:t>
      </w:r>
      <w:r>
        <w:rPr>
          <w:color w:val="auto"/>
          <w:sz w:val="24"/>
        </w:rPr>
        <w:fldChar w:fldCharType="end"/>
      </w:r>
      <w:r>
        <w:rPr>
          <w:color w:val="auto"/>
          <w:sz w:val="24"/>
        </w:rPr>
        <w:t>类、</w:t>
      </w:r>
      <w:r>
        <w:rPr>
          <w:color w:val="auto"/>
          <w:sz w:val="24"/>
        </w:rPr>
        <w:fldChar w:fldCharType="begin"/>
      </w:r>
      <w:r>
        <w:rPr>
          <w:color w:val="auto"/>
          <w:sz w:val="24"/>
        </w:rPr>
        <w:instrText xml:space="preserve"> = 2 \* ROMAN \* MERGEFORMAT </w:instrText>
      </w:r>
      <w:r>
        <w:rPr>
          <w:color w:val="auto"/>
          <w:sz w:val="24"/>
        </w:rPr>
        <w:fldChar w:fldCharType="separate"/>
      </w:r>
      <w:r>
        <w:rPr>
          <w:color w:val="auto"/>
          <w:sz w:val="24"/>
        </w:rPr>
        <w:t>II</w:t>
      </w:r>
      <w:r>
        <w:rPr>
          <w:color w:val="auto"/>
          <w:sz w:val="24"/>
        </w:rPr>
        <w:fldChar w:fldCharType="end"/>
      </w:r>
      <w:r>
        <w:rPr>
          <w:color w:val="auto"/>
          <w:sz w:val="24"/>
        </w:rPr>
        <w:t>类、</w:t>
      </w:r>
      <w:r>
        <w:rPr>
          <w:color w:val="auto"/>
          <w:sz w:val="24"/>
        </w:rPr>
        <w:fldChar w:fldCharType="begin"/>
      </w:r>
      <w:r>
        <w:rPr>
          <w:color w:val="auto"/>
          <w:sz w:val="24"/>
        </w:rPr>
        <w:instrText xml:space="preserve"> = 3 \* ROMAN \* MERGEFORMAT </w:instrText>
      </w:r>
      <w:r>
        <w:rPr>
          <w:color w:val="auto"/>
          <w:sz w:val="24"/>
        </w:rPr>
        <w:fldChar w:fldCharType="separate"/>
      </w:r>
      <w:r>
        <w:rPr>
          <w:color w:val="auto"/>
          <w:sz w:val="24"/>
        </w:rPr>
        <w:t>III</w:t>
      </w:r>
      <w:r>
        <w:rPr>
          <w:color w:val="auto"/>
          <w:sz w:val="24"/>
        </w:rPr>
        <w:fldChar w:fldCharType="end"/>
      </w:r>
      <w:r>
        <w:rPr>
          <w:color w:val="auto"/>
          <w:sz w:val="24"/>
        </w:rPr>
        <w:t>类建设项目的地下水环境影响评价应执行本标准，</w:t>
      </w:r>
      <w:r>
        <w:rPr>
          <w:color w:val="auto"/>
          <w:sz w:val="24"/>
        </w:rPr>
        <w:fldChar w:fldCharType="begin"/>
      </w:r>
      <w:r>
        <w:rPr>
          <w:color w:val="auto"/>
          <w:sz w:val="24"/>
        </w:rPr>
        <w:instrText xml:space="preserve"> = 4 \* ROMAN \* MERGEFORMAT </w:instrText>
      </w:r>
      <w:r>
        <w:rPr>
          <w:color w:val="auto"/>
          <w:sz w:val="24"/>
        </w:rPr>
        <w:fldChar w:fldCharType="separate"/>
      </w:r>
      <w:r>
        <w:rPr>
          <w:color w:val="auto"/>
          <w:sz w:val="24"/>
        </w:rPr>
        <w:t>IV</w:t>
      </w:r>
      <w:r>
        <w:rPr>
          <w:color w:val="auto"/>
          <w:sz w:val="24"/>
        </w:rPr>
        <w:fldChar w:fldCharType="end"/>
      </w:r>
      <w:r>
        <w:rPr>
          <w:color w:val="auto"/>
          <w:sz w:val="24"/>
        </w:rPr>
        <w:t>类建设项目不开展地下水环境影响评价。</w:t>
      </w:r>
    </w:p>
    <w:p>
      <w:pPr>
        <w:jc w:val="center"/>
        <w:rPr>
          <w:b/>
          <w:color w:val="auto"/>
          <w:kern w:val="0"/>
          <w:szCs w:val="20"/>
        </w:rPr>
      </w:pPr>
      <w:r>
        <w:rPr>
          <w:rFonts w:hint="eastAsia"/>
          <w:b/>
          <w:color w:val="auto"/>
          <w:kern w:val="0"/>
          <w:szCs w:val="20"/>
        </w:rPr>
        <w:t>表2.6-8  地下水</w:t>
      </w:r>
      <w:r>
        <w:rPr>
          <w:b/>
          <w:color w:val="auto"/>
          <w:kern w:val="0"/>
          <w:szCs w:val="20"/>
        </w:rPr>
        <w:t>环境影响评价类别分类</w:t>
      </w:r>
    </w:p>
    <w:tbl>
      <w:tblPr>
        <w:tblStyle w:val="23"/>
        <w:tblW w:w="87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2562"/>
        <w:gridCol w:w="926"/>
        <w:gridCol w:w="1745"/>
        <w:gridCol w:w="1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1744" w:type="dxa"/>
            <w:vMerge w:val="restart"/>
            <w:vAlign w:val="center"/>
          </w:tcPr>
          <w:p>
            <w:pPr>
              <w:pStyle w:val="32"/>
              <w:snapToGrid w:val="0"/>
              <w:spacing w:line="280" w:lineRule="exact"/>
              <w:jc w:val="center"/>
              <w:rPr>
                <w:b/>
                <w:bCs/>
                <w:color w:val="auto"/>
                <w:sz w:val="21"/>
                <w:szCs w:val="21"/>
              </w:rPr>
            </w:pPr>
            <w:r>
              <w:rPr>
                <w:b/>
                <w:bCs/>
                <w:color w:val="auto"/>
                <w:sz w:val="21"/>
                <w:szCs w:val="21"/>
              </w:rPr>
              <w:t>行业类别</w:t>
            </w:r>
          </w:p>
          <w:p>
            <w:pPr>
              <w:pStyle w:val="32"/>
              <w:spacing w:line="280" w:lineRule="exact"/>
              <w:jc w:val="center"/>
              <w:rPr>
                <w:b/>
                <w:bCs/>
                <w:color w:val="auto"/>
                <w:sz w:val="21"/>
                <w:szCs w:val="21"/>
              </w:rPr>
            </w:pPr>
            <w:r>
              <w:rPr>
                <w:b/>
                <w:bCs/>
                <w:color w:val="auto"/>
                <w:sz w:val="21"/>
                <w:szCs w:val="21"/>
              </w:rPr>
              <w:t>环评类别</w:t>
            </w:r>
          </w:p>
        </w:tc>
        <w:tc>
          <w:tcPr>
            <w:tcW w:w="2562" w:type="dxa"/>
            <w:vMerge w:val="restart"/>
            <w:vAlign w:val="center"/>
          </w:tcPr>
          <w:p>
            <w:pPr>
              <w:pStyle w:val="32"/>
              <w:spacing w:line="280" w:lineRule="exact"/>
              <w:jc w:val="center"/>
              <w:rPr>
                <w:b/>
                <w:bCs/>
                <w:color w:val="auto"/>
                <w:sz w:val="21"/>
                <w:szCs w:val="21"/>
              </w:rPr>
            </w:pPr>
            <w:r>
              <w:rPr>
                <w:b/>
                <w:bCs/>
                <w:color w:val="auto"/>
                <w:sz w:val="21"/>
                <w:szCs w:val="21"/>
              </w:rPr>
              <w:t>报告书</w:t>
            </w:r>
          </w:p>
        </w:tc>
        <w:tc>
          <w:tcPr>
            <w:tcW w:w="926" w:type="dxa"/>
            <w:vMerge w:val="restart"/>
            <w:vAlign w:val="center"/>
          </w:tcPr>
          <w:p>
            <w:pPr>
              <w:pStyle w:val="32"/>
              <w:spacing w:line="280" w:lineRule="exact"/>
              <w:jc w:val="center"/>
              <w:rPr>
                <w:b/>
                <w:bCs/>
                <w:color w:val="auto"/>
                <w:sz w:val="21"/>
                <w:szCs w:val="21"/>
              </w:rPr>
            </w:pPr>
            <w:r>
              <w:rPr>
                <w:b/>
                <w:bCs/>
                <w:color w:val="auto"/>
                <w:sz w:val="21"/>
                <w:szCs w:val="21"/>
              </w:rPr>
              <w:t>报告表</w:t>
            </w:r>
          </w:p>
        </w:tc>
        <w:tc>
          <w:tcPr>
            <w:tcW w:w="3490" w:type="dxa"/>
            <w:gridSpan w:val="2"/>
            <w:vAlign w:val="center"/>
          </w:tcPr>
          <w:p>
            <w:pPr>
              <w:pStyle w:val="32"/>
              <w:spacing w:line="280" w:lineRule="exact"/>
              <w:jc w:val="center"/>
              <w:rPr>
                <w:b/>
                <w:bCs/>
                <w:color w:val="auto"/>
                <w:sz w:val="21"/>
                <w:szCs w:val="21"/>
              </w:rPr>
            </w:pPr>
            <w:r>
              <w:rPr>
                <w:b/>
                <w:bCs/>
                <w:color w:val="auto"/>
                <w:sz w:val="21"/>
                <w:szCs w:val="21"/>
              </w:rPr>
              <w:t>地下水环项目境影响评价类别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744" w:type="dxa"/>
            <w:vMerge w:val="continue"/>
            <w:vAlign w:val="center"/>
          </w:tcPr>
          <w:p>
            <w:pPr>
              <w:pStyle w:val="32"/>
              <w:spacing w:line="280" w:lineRule="exact"/>
              <w:jc w:val="center"/>
              <w:rPr>
                <w:b/>
                <w:bCs/>
                <w:color w:val="auto"/>
                <w:sz w:val="21"/>
                <w:szCs w:val="21"/>
              </w:rPr>
            </w:pPr>
          </w:p>
        </w:tc>
        <w:tc>
          <w:tcPr>
            <w:tcW w:w="2562" w:type="dxa"/>
            <w:vMerge w:val="continue"/>
            <w:vAlign w:val="center"/>
          </w:tcPr>
          <w:p>
            <w:pPr>
              <w:pStyle w:val="32"/>
              <w:spacing w:line="280" w:lineRule="exact"/>
              <w:jc w:val="center"/>
              <w:rPr>
                <w:b/>
                <w:bCs/>
                <w:color w:val="auto"/>
                <w:sz w:val="21"/>
                <w:szCs w:val="21"/>
              </w:rPr>
            </w:pPr>
          </w:p>
        </w:tc>
        <w:tc>
          <w:tcPr>
            <w:tcW w:w="926" w:type="dxa"/>
            <w:vMerge w:val="continue"/>
            <w:vAlign w:val="center"/>
          </w:tcPr>
          <w:p>
            <w:pPr>
              <w:pStyle w:val="32"/>
              <w:spacing w:line="280" w:lineRule="exact"/>
              <w:jc w:val="center"/>
              <w:rPr>
                <w:b/>
                <w:bCs/>
                <w:color w:val="auto"/>
                <w:sz w:val="21"/>
                <w:szCs w:val="21"/>
              </w:rPr>
            </w:pPr>
          </w:p>
        </w:tc>
        <w:tc>
          <w:tcPr>
            <w:tcW w:w="1745" w:type="dxa"/>
            <w:vAlign w:val="center"/>
          </w:tcPr>
          <w:p>
            <w:pPr>
              <w:pStyle w:val="32"/>
              <w:spacing w:line="280" w:lineRule="exact"/>
              <w:jc w:val="center"/>
              <w:rPr>
                <w:b/>
                <w:bCs/>
                <w:color w:val="auto"/>
                <w:sz w:val="21"/>
                <w:szCs w:val="21"/>
              </w:rPr>
            </w:pPr>
            <w:r>
              <w:rPr>
                <w:b/>
                <w:bCs/>
                <w:color w:val="auto"/>
                <w:sz w:val="21"/>
                <w:szCs w:val="21"/>
              </w:rPr>
              <w:t>报告书</w:t>
            </w:r>
          </w:p>
        </w:tc>
        <w:tc>
          <w:tcPr>
            <w:tcW w:w="1745" w:type="dxa"/>
            <w:vAlign w:val="center"/>
          </w:tcPr>
          <w:p>
            <w:pPr>
              <w:pStyle w:val="32"/>
              <w:spacing w:line="280" w:lineRule="exact"/>
              <w:jc w:val="center"/>
              <w:rPr>
                <w:b/>
                <w:bCs/>
                <w:color w:val="auto"/>
                <w:sz w:val="21"/>
                <w:szCs w:val="21"/>
              </w:rPr>
            </w:pPr>
            <w:r>
              <w:rPr>
                <w:b/>
                <w:bCs/>
                <w:color w:val="auto"/>
                <w:sz w:val="21"/>
                <w:szCs w:val="21"/>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22" w:type="dxa"/>
            <w:gridSpan w:val="5"/>
            <w:vAlign w:val="center"/>
          </w:tcPr>
          <w:p>
            <w:pPr>
              <w:pStyle w:val="32"/>
              <w:spacing w:line="280" w:lineRule="exact"/>
              <w:jc w:val="both"/>
              <w:rPr>
                <w:color w:val="auto"/>
                <w:sz w:val="21"/>
                <w:szCs w:val="21"/>
              </w:rPr>
            </w:pPr>
            <w:r>
              <w:rPr>
                <w:rFonts w:hint="eastAsia"/>
                <w:color w:val="auto"/>
                <w:sz w:val="21"/>
                <w:szCs w:val="21"/>
              </w:rPr>
              <w:t>U城镇基础设施及房地产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vAlign w:val="center"/>
          </w:tcPr>
          <w:p>
            <w:pPr>
              <w:pStyle w:val="32"/>
              <w:spacing w:line="280" w:lineRule="exact"/>
              <w:jc w:val="both"/>
              <w:rPr>
                <w:color w:val="auto"/>
                <w:sz w:val="21"/>
                <w:szCs w:val="21"/>
              </w:rPr>
            </w:pPr>
            <w:r>
              <w:rPr>
                <w:rFonts w:hint="eastAsia"/>
                <w:color w:val="auto"/>
                <w:sz w:val="21"/>
                <w:szCs w:val="21"/>
              </w:rPr>
              <w:t>155、废旧资源（含生物质）加工、再生利用</w:t>
            </w:r>
          </w:p>
        </w:tc>
        <w:tc>
          <w:tcPr>
            <w:tcW w:w="2562" w:type="dxa"/>
            <w:vAlign w:val="center"/>
          </w:tcPr>
          <w:p>
            <w:pPr>
              <w:jc w:val="left"/>
              <w:rPr>
                <w:color w:val="auto"/>
                <w:kern w:val="0"/>
                <w:szCs w:val="21"/>
              </w:rPr>
            </w:pPr>
            <w:r>
              <w:rPr>
                <w:rFonts w:hint="eastAsia"/>
                <w:color w:val="auto"/>
                <w:kern w:val="0"/>
                <w:szCs w:val="21"/>
              </w:rPr>
              <w:t>废电子电器产品、废电池、废汽车、废电机、废五金、废塑料、废油、废船、废轮胎等加工、再生利用</w:t>
            </w:r>
          </w:p>
        </w:tc>
        <w:tc>
          <w:tcPr>
            <w:tcW w:w="926" w:type="dxa"/>
            <w:vAlign w:val="center"/>
          </w:tcPr>
          <w:p>
            <w:pPr>
              <w:pStyle w:val="32"/>
              <w:spacing w:line="280" w:lineRule="exact"/>
              <w:jc w:val="center"/>
              <w:rPr>
                <w:color w:val="auto"/>
                <w:sz w:val="21"/>
                <w:szCs w:val="21"/>
              </w:rPr>
            </w:pPr>
            <w:r>
              <w:rPr>
                <w:rFonts w:hint="eastAsia"/>
                <w:color w:val="auto"/>
                <w:sz w:val="21"/>
                <w:szCs w:val="21"/>
              </w:rPr>
              <w:t>其他</w:t>
            </w:r>
          </w:p>
        </w:tc>
        <w:tc>
          <w:tcPr>
            <w:tcW w:w="1745" w:type="dxa"/>
            <w:vAlign w:val="center"/>
          </w:tcPr>
          <w:p>
            <w:pPr>
              <w:jc w:val="left"/>
              <w:rPr>
                <w:color w:val="auto"/>
                <w:kern w:val="0"/>
                <w:szCs w:val="21"/>
              </w:rPr>
            </w:pPr>
            <w:r>
              <w:rPr>
                <w:rFonts w:hint="eastAsia"/>
                <w:color w:val="auto"/>
                <w:kern w:val="0"/>
                <w:szCs w:val="21"/>
              </w:rPr>
              <w:t>危废I 类，其余</w:t>
            </w:r>
          </w:p>
          <w:p>
            <w:pPr>
              <w:pStyle w:val="32"/>
              <w:spacing w:line="280" w:lineRule="exact"/>
              <w:jc w:val="center"/>
              <w:rPr>
                <w:color w:val="auto"/>
                <w:sz w:val="21"/>
                <w:szCs w:val="21"/>
              </w:rPr>
            </w:pPr>
            <w:r>
              <w:rPr>
                <w:rFonts w:hint="eastAsia"/>
                <w:color w:val="auto"/>
                <w:sz w:val="21"/>
                <w:szCs w:val="21"/>
              </w:rPr>
              <w:t>Ⅲ类</w:t>
            </w:r>
          </w:p>
        </w:tc>
        <w:tc>
          <w:tcPr>
            <w:tcW w:w="1745" w:type="dxa"/>
            <w:vAlign w:val="center"/>
          </w:tcPr>
          <w:p>
            <w:pPr>
              <w:pStyle w:val="32"/>
              <w:spacing w:line="280" w:lineRule="exact"/>
              <w:jc w:val="center"/>
              <w:rPr>
                <w:color w:val="auto"/>
                <w:sz w:val="21"/>
                <w:szCs w:val="21"/>
              </w:rPr>
            </w:pPr>
            <w:r>
              <w:rPr>
                <w:rFonts w:hint="eastAsia"/>
                <w:color w:val="auto"/>
                <w:sz w:val="21"/>
                <w:szCs w:val="21"/>
              </w:rPr>
              <w:fldChar w:fldCharType="begin"/>
            </w:r>
            <w:r>
              <w:rPr>
                <w:rFonts w:hint="eastAsia"/>
                <w:color w:val="auto"/>
                <w:sz w:val="21"/>
                <w:szCs w:val="21"/>
              </w:rPr>
              <w:instrText xml:space="preserve"> = 4 \* ROMAN \* MERGEFORMAT </w:instrText>
            </w:r>
            <w:r>
              <w:rPr>
                <w:rFonts w:hint="eastAsia"/>
                <w:color w:val="auto"/>
                <w:sz w:val="21"/>
                <w:szCs w:val="21"/>
              </w:rPr>
              <w:fldChar w:fldCharType="separate"/>
            </w:r>
            <w:r>
              <w:rPr>
                <w:rFonts w:hint="eastAsia"/>
                <w:color w:val="auto"/>
                <w:sz w:val="21"/>
                <w:szCs w:val="21"/>
              </w:rPr>
              <w:t>IV</w:t>
            </w:r>
            <w:r>
              <w:rPr>
                <w:rFonts w:hint="eastAsia"/>
                <w:color w:val="auto"/>
                <w:sz w:val="21"/>
                <w:szCs w:val="21"/>
              </w:rPr>
              <w:fldChar w:fldCharType="end"/>
            </w:r>
            <w:r>
              <w:rPr>
                <w:rFonts w:hint="eastAsia"/>
                <w:color w:val="auto"/>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2" w:type="dxa"/>
            <w:gridSpan w:val="5"/>
            <w:vAlign w:val="center"/>
          </w:tcPr>
          <w:p>
            <w:pPr>
              <w:pStyle w:val="32"/>
              <w:spacing w:line="280" w:lineRule="exact"/>
              <w:rPr>
                <w:color w:val="auto"/>
                <w:sz w:val="21"/>
                <w:szCs w:val="21"/>
              </w:rPr>
            </w:pPr>
            <w:r>
              <w:rPr>
                <w:color w:val="auto"/>
                <w:sz w:val="21"/>
                <w:szCs w:val="21"/>
              </w:rPr>
              <w:t>注：本表未提及的行业，或《建设项目环境影响评价分类管理名录》修订后较本表行业类别发生变化的行业，应根据对地下水环境影响程度，参照相近行业分类，对地下水环境影响评价项目类别进行分类。</w:t>
            </w:r>
          </w:p>
        </w:tc>
      </w:tr>
    </w:tbl>
    <w:p>
      <w:pPr>
        <w:spacing w:line="360" w:lineRule="auto"/>
        <w:ind w:firstLine="480" w:firstLineChars="200"/>
        <w:rPr>
          <w:color w:val="auto"/>
          <w:sz w:val="24"/>
        </w:rPr>
      </w:pPr>
      <w:r>
        <w:rPr>
          <w:color w:val="auto"/>
          <w:sz w:val="24"/>
        </w:rPr>
        <w:t>本项目为固体废物回收利用项目，根据《环境影响评价技术导则-地下水环境》（HJ 610－2016）可知，项目地下水影响评价类别为Ⅲ类。</w:t>
      </w:r>
    </w:p>
    <w:p>
      <w:pPr>
        <w:spacing w:line="360" w:lineRule="auto"/>
        <w:ind w:firstLine="480" w:firstLineChars="200"/>
        <w:rPr>
          <w:color w:val="auto"/>
          <w:sz w:val="24"/>
        </w:rPr>
      </w:pPr>
      <w:r>
        <w:rPr>
          <w:color w:val="auto"/>
          <w:sz w:val="24"/>
        </w:rPr>
        <w:t>（2）工作等级划分</w:t>
      </w:r>
    </w:p>
    <w:p>
      <w:pPr>
        <w:spacing w:line="360" w:lineRule="auto"/>
        <w:ind w:firstLine="480" w:firstLineChars="200"/>
        <w:rPr>
          <w:color w:val="auto"/>
          <w:sz w:val="24"/>
        </w:rPr>
      </w:pPr>
      <w:r>
        <w:rPr>
          <w:color w:val="auto"/>
          <w:sz w:val="24"/>
        </w:rPr>
        <w:t>根据《环境影响评价技术导则—地下水环境》（HJ 610-2016），建设项目地下水环境影响评价工作等级划分见下表。</w:t>
      </w:r>
    </w:p>
    <w:p>
      <w:pPr>
        <w:spacing w:before="159" w:beforeLines="50"/>
        <w:ind w:firstLine="422" w:firstLineChars="200"/>
        <w:jc w:val="center"/>
        <w:rPr>
          <w:color w:val="auto"/>
          <w:szCs w:val="21"/>
        </w:rPr>
      </w:pPr>
      <w:r>
        <w:rPr>
          <w:b/>
          <w:bCs/>
          <w:color w:val="auto"/>
          <w:szCs w:val="21"/>
        </w:rPr>
        <w:t>表2.6-</w:t>
      </w:r>
      <w:r>
        <w:rPr>
          <w:rFonts w:hint="eastAsia"/>
          <w:b/>
          <w:bCs/>
          <w:color w:val="auto"/>
          <w:szCs w:val="21"/>
        </w:rPr>
        <w:t xml:space="preserve">9  </w:t>
      </w:r>
      <w:r>
        <w:rPr>
          <w:b/>
          <w:bCs/>
          <w:color w:val="auto"/>
          <w:szCs w:val="21"/>
        </w:rPr>
        <w:t>地下水评价等级</w:t>
      </w:r>
    </w:p>
    <w:tbl>
      <w:tblPr>
        <w:tblStyle w:val="23"/>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2265"/>
        <w:gridCol w:w="2265"/>
        <w:gridCol w:w="2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4" w:type="dxa"/>
            <w:tcBorders>
              <w:top w:val="single" w:color="auto" w:sz="4" w:space="0"/>
              <w:left w:val="single" w:color="auto" w:sz="4" w:space="0"/>
              <w:tl2br w:val="single" w:color="auto" w:sz="4" w:space="0"/>
            </w:tcBorders>
            <w:vAlign w:val="center"/>
          </w:tcPr>
          <w:p>
            <w:pPr>
              <w:adjustRightInd w:val="0"/>
              <w:snapToGrid w:val="0"/>
              <w:jc w:val="center"/>
              <w:rPr>
                <w:color w:val="auto"/>
                <w:szCs w:val="21"/>
              </w:rPr>
            </w:pPr>
            <w:r>
              <w:rPr>
                <w:color w:val="auto"/>
                <w:szCs w:val="21"/>
              </w:rPr>
              <w:t xml:space="preserve">         项目类别</w:t>
            </w:r>
          </w:p>
          <w:p>
            <w:pPr>
              <w:adjustRightInd w:val="0"/>
              <w:snapToGrid w:val="0"/>
              <w:rPr>
                <w:color w:val="auto"/>
                <w:szCs w:val="21"/>
              </w:rPr>
            </w:pPr>
            <w:r>
              <w:rPr>
                <w:color w:val="auto"/>
                <w:szCs w:val="21"/>
              </w:rPr>
              <w:t>环境敏感程度</w:t>
            </w:r>
          </w:p>
        </w:tc>
        <w:tc>
          <w:tcPr>
            <w:tcW w:w="2265" w:type="dxa"/>
            <w:tcBorders>
              <w:top w:val="single" w:color="auto" w:sz="4" w:space="0"/>
            </w:tcBorders>
            <w:vAlign w:val="center"/>
          </w:tcPr>
          <w:p>
            <w:pPr>
              <w:adjustRightInd w:val="0"/>
              <w:snapToGrid w:val="0"/>
              <w:jc w:val="center"/>
              <w:rPr>
                <w:color w:val="auto"/>
                <w:szCs w:val="21"/>
              </w:rPr>
            </w:pPr>
            <w:r>
              <w:rPr>
                <w:color w:val="auto"/>
                <w:szCs w:val="21"/>
              </w:rPr>
              <w:t>Ⅰ类项目</w:t>
            </w:r>
          </w:p>
        </w:tc>
        <w:tc>
          <w:tcPr>
            <w:tcW w:w="2265" w:type="dxa"/>
            <w:tcBorders>
              <w:top w:val="single" w:color="auto" w:sz="4" w:space="0"/>
            </w:tcBorders>
            <w:vAlign w:val="center"/>
          </w:tcPr>
          <w:p>
            <w:pPr>
              <w:adjustRightInd w:val="0"/>
              <w:snapToGrid w:val="0"/>
              <w:jc w:val="center"/>
              <w:rPr>
                <w:color w:val="auto"/>
                <w:szCs w:val="21"/>
              </w:rPr>
            </w:pPr>
            <w:r>
              <w:rPr>
                <w:color w:val="auto"/>
                <w:szCs w:val="21"/>
              </w:rPr>
              <w:t>Ⅱ类项目</w:t>
            </w:r>
          </w:p>
        </w:tc>
        <w:tc>
          <w:tcPr>
            <w:tcW w:w="2266" w:type="dxa"/>
            <w:tcBorders>
              <w:top w:val="single" w:color="auto" w:sz="4" w:space="0"/>
              <w:right w:val="single" w:color="auto" w:sz="4" w:space="0"/>
            </w:tcBorders>
            <w:vAlign w:val="center"/>
          </w:tcPr>
          <w:p>
            <w:pPr>
              <w:adjustRightInd w:val="0"/>
              <w:snapToGrid w:val="0"/>
              <w:jc w:val="center"/>
              <w:rPr>
                <w:color w:val="auto"/>
                <w:szCs w:val="21"/>
              </w:rPr>
            </w:pPr>
            <w:r>
              <w:rPr>
                <w:color w:val="auto"/>
                <w:szCs w:val="21"/>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4" w:type="dxa"/>
            <w:tcBorders>
              <w:left w:val="single" w:color="auto" w:sz="4" w:space="0"/>
            </w:tcBorders>
            <w:vAlign w:val="center"/>
          </w:tcPr>
          <w:p>
            <w:pPr>
              <w:adjustRightInd w:val="0"/>
              <w:snapToGrid w:val="0"/>
              <w:jc w:val="center"/>
              <w:rPr>
                <w:color w:val="auto"/>
                <w:szCs w:val="21"/>
              </w:rPr>
            </w:pPr>
            <w:r>
              <w:rPr>
                <w:color w:val="auto"/>
                <w:szCs w:val="21"/>
              </w:rPr>
              <w:t>敏感</w:t>
            </w:r>
          </w:p>
        </w:tc>
        <w:tc>
          <w:tcPr>
            <w:tcW w:w="2265" w:type="dxa"/>
            <w:vAlign w:val="center"/>
          </w:tcPr>
          <w:p>
            <w:pPr>
              <w:adjustRightInd w:val="0"/>
              <w:snapToGrid w:val="0"/>
              <w:jc w:val="center"/>
              <w:rPr>
                <w:color w:val="auto"/>
                <w:szCs w:val="21"/>
              </w:rPr>
            </w:pPr>
            <w:r>
              <w:rPr>
                <w:color w:val="auto"/>
                <w:szCs w:val="21"/>
              </w:rPr>
              <w:t>一</w:t>
            </w:r>
          </w:p>
        </w:tc>
        <w:tc>
          <w:tcPr>
            <w:tcW w:w="2265" w:type="dxa"/>
            <w:vAlign w:val="center"/>
          </w:tcPr>
          <w:p>
            <w:pPr>
              <w:adjustRightInd w:val="0"/>
              <w:snapToGrid w:val="0"/>
              <w:jc w:val="center"/>
              <w:rPr>
                <w:color w:val="auto"/>
                <w:szCs w:val="21"/>
              </w:rPr>
            </w:pPr>
            <w:r>
              <w:rPr>
                <w:color w:val="auto"/>
                <w:szCs w:val="21"/>
              </w:rPr>
              <w:t>一</w:t>
            </w:r>
          </w:p>
        </w:tc>
        <w:tc>
          <w:tcPr>
            <w:tcW w:w="2266" w:type="dxa"/>
            <w:tcBorders>
              <w:right w:val="single" w:color="auto" w:sz="4" w:space="0"/>
            </w:tcBorders>
            <w:vAlign w:val="center"/>
          </w:tcPr>
          <w:p>
            <w:pPr>
              <w:adjustRightInd w:val="0"/>
              <w:snapToGrid w:val="0"/>
              <w:jc w:val="center"/>
              <w:rPr>
                <w:color w:val="auto"/>
                <w:szCs w:val="21"/>
              </w:rPr>
            </w:pPr>
            <w:r>
              <w:rPr>
                <w:color w:val="auto"/>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4" w:type="dxa"/>
            <w:tcBorders>
              <w:left w:val="single" w:color="auto" w:sz="4" w:space="0"/>
            </w:tcBorders>
            <w:vAlign w:val="center"/>
          </w:tcPr>
          <w:p>
            <w:pPr>
              <w:adjustRightInd w:val="0"/>
              <w:snapToGrid w:val="0"/>
              <w:jc w:val="center"/>
              <w:rPr>
                <w:color w:val="auto"/>
                <w:szCs w:val="21"/>
              </w:rPr>
            </w:pPr>
            <w:r>
              <w:rPr>
                <w:color w:val="auto"/>
                <w:szCs w:val="21"/>
              </w:rPr>
              <w:t>较敏感</w:t>
            </w:r>
          </w:p>
        </w:tc>
        <w:tc>
          <w:tcPr>
            <w:tcW w:w="2265" w:type="dxa"/>
            <w:vAlign w:val="center"/>
          </w:tcPr>
          <w:p>
            <w:pPr>
              <w:adjustRightInd w:val="0"/>
              <w:snapToGrid w:val="0"/>
              <w:jc w:val="center"/>
              <w:rPr>
                <w:color w:val="auto"/>
                <w:szCs w:val="21"/>
              </w:rPr>
            </w:pPr>
            <w:r>
              <w:rPr>
                <w:color w:val="auto"/>
                <w:szCs w:val="21"/>
              </w:rPr>
              <w:t>一</w:t>
            </w:r>
          </w:p>
        </w:tc>
        <w:tc>
          <w:tcPr>
            <w:tcW w:w="2265" w:type="dxa"/>
            <w:vAlign w:val="center"/>
          </w:tcPr>
          <w:p>
            <w:pPr>
              <w:adjustRightInd w:val="0"/>
              <w:snapToGrid w:val="0"/>
              <w:jc w:val="center"/>
              <w:rPr>
                <w:color w:val="auto"/>
                <w:szCs w:val="21"/>
              </w:rPr>
            </w:pPr>
            <w:r>
              <w:rPr>
                <w:color w:val="auto"/>
                <w:szCs w:val="21"/>
              </w:rPr>
              <w:t>二</w:t>
            </w:r>
          </w:p>
        </w:tc>
        <w:tc>
          <w:tcPr>
            <w:tcW w:w="2266" w:type="dxa"/>
            <w:tcBorders>
              <w:right w:val="single" w:color="auto" w:sz="4" w:space="0"/>
            </w:tcBorders>
            <w:vAlign w:val="center"/>
          </w:tcPr>
          <w:p>
            <w:pPr>
              <w:adjustRightInd w:val="0"/>
              <w:snapToGrid w:val="0"/>
              <w:jc w:val="center"/>
              <w:rPr>
                <w:color w:val="auto"/>
                <w:szCs w:val="21"/>
              </w:rPr>
            </w:pPr>
            <w:r>
              <w:rPr>
                <w:color w:val="auto"/>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4" w:type="dxa"/>
            <w:tcBorders>
              <w:left w:val="single" w:color="auto" w:sz="4" w:space="0"/>
              <w:bottom w:val="single" w:color="auto" w:sz="4" w:space="0"/>
            </w:tcBorders>
            <w:shd w:val="clear" w:color="auto" w:fill="auto"/>
            <w:vAlign w:val="center"/>
          </w:tcPr>
          <w:p>
            <w:pPr>
              <w:adjustRightInd w:val="0"/>
              <w:snapToGrid w:val="0"/>
              <w:jc w:val="center"/>
              <w:rPr>
                <w:color w:val="auto"/>
                <w:szCs w:val="21"/>
              </w:rPr>
            </w:pPr>
            <w:r>
              <w:rPr>
                <w:color w:val="auto"/>
                <w:szCs w:val="21"/>
              </w:rPr>
              <w:t>不敏感</w:t>
            </w:r>
          </w:p>
        </w:tc>
        <w:tc>
          <w:tcPr>
            <w:tcW w:w="2265" w:type="dxa"/>
            <w:tcBorders>
              <w:bottom w:val="single" w:color="auto" w:sz="4" w:space="0"/>
            </w:tcBorders>
            <w:shd w:val="clear" w:color="auto" w:fill="auto"/>
            <w:vAlign w:val="center"/>
          </w:tcPr>
          <w:p>
            <w:pPr>
              <w:adjustRightInd w:val="0"/>
              <w:snapToGrid w:val="0"/>
              <w:jc w:val="center"/>
              <w:rPr>
                <w:color w:val="auto"/>
                <w:szCs w:val="21"/>
              </w:rPr>
            </w:pPr>
            <w:r>
              <w:rPr>
                <w:color w:val="auto"/>
                <w:szCs w:val="21"/>
              </w:rPr>
              <w:t>二</w:t>
            </w:r>
          </w:p>
        </w:tc>
        <w:tc>
          <w:tcPr>
            <w:tcW w:w="2265" w:type="dxa"/>
            <w:tcBorders>
              <w:bottom w:val="single" w:color="auto" w:sz="4" w:space="0"/>
            </w:tcBorders>
            <w:vAlign w:val="center"/>
          </w:tcPr>
          <w:p>
            <w:pPr>
              <w:adjustRightInd w:val="0"/>
              <w:snapToGrid w:val="0"/>
              <w:jc w:val="center"/>
              <w:rPr>
                <w:color w:val="auto"/>
                <w:szCs w:val="21"/>
              </w:rPr>
            </w:pPr>
            <w:r>
              <w:rPr>
                <w:color w:val="auto"/>
                <w:szCs w:val="21"/>
              </w:rPr>
              <w:t>三</w:t>
            </w:r>
          </w:p>
        </w:tc>
        <w:tc>
          <w:tcPr>
            <w:tcW w:w="2266" w:type="dxa"/>
            <w:tcBorders>
              <w:bottom w:val="single" w:color="auto" w:sz="4" w:space="0"/>
              <w:right w:val="single" w:color="auto" w:sz="4" w:space="0"/>
            </w:tcBorders>
            <w:shd w:val="clear" w:color="auto" w:fill="CFCECE" w:themeFill="background2" w:themeFillShade="E5"/>
            <w:vAlign w:val="center"/>
          </w:tcPr>
          <w:p>
            <w:pPr>
              <w:adjustRightInd w:val="0"/>
              <w:snapToGrid w:val="0"/>
              <w:jc w:val="center"/>
              <w:rPr>
                <w:color w:val="auto"/>
                <w:szCs w:val="21"/>
              </w:rPr>
            </w:pPr>
            <w:r>
              <w:rPr>
                <w:color w:val="auto"/>
                <w:szCs w:val="21"/>
              </w:rPr>
              <w:t>三</w:t>
            </w:r>
          </w:p>
        </w:tc>
      </w:tr>
    </w:tbl>
    <w:p>
      <w:pPr>
        <w:adjustRightInd w:val="0"/>
        <w:snapToGrid w:val="0"/>
        <w:ind w:firstLine="200" w:firstLineChars="200"/>
        <w:rPr>
          <w:color w:val="auto"/>
          <w:sz w:val="10"/>
          <w:szCs w:val="10"/>
        </w:rPr>
      </w:pPr>
    </w:p>
    <w:p>
      <w:pPr>
        <w:adjustRightInd w:val="0"/>
        <w:spacing w:line="360" w:lineRule="auto"/>
        <w:ind w:firstLine="480" w:firstLineChars="200"/>
        <w:rPr>
          <w:color w:val="auto"/>
          <w:sz w:val="24"/>
          <w:szCs w:val="20"/>
        </w:rPr>
      </w:pPr>
      <w:r>
        <w:rPr>
          <w:color w:val="auto"/>
          <w:sz w:val="24"/>
          <w:szCs w:val="20"/>
        </w:rPr>
        <w:t>项目所在场地不属于集中式饮用水水源地范围，不属于集中式饮用水水源地准保护区以外的补给径流区，也不属于分散式饮用水水源地，周边村落也是以饮用自来水为主，厂区内水源主要为市政管网，项目所在地地下水资源开发利用程度低，综合判断，项目场地地下水环境敏感程度属于不敏感。</w:t>
      </w:r>
    </w:p>
    <w:p>
      <w:pPr>
        <w:adjustRightInd w:val="0"/>
        <w:snapToGrid w:val="0"/>
        <w:spacing w:line="360" w:lineRule="auto"/>
        <w:ind w:firstLine="480" w:firstLineChars="200"/>
        <w:rPr>
          <w:color w:val="auto"/>
          <w:sz w:val="24"/>
        </w:rPr>
      </w:pPr>
      <w:r>
        <w:rPr>
          <w:color w:val="auto"/>
          <w:sz w:val="24"/>
        </w:rPr>
        <w:t>综上所述，本项目地下水影响评价等级为</w:t>
      </w:r>
      <w:r>
        <w:rPr>
          <w:rFonts w:hint="eastAsia"/>
          <w:color w:val="auto"/>
          <w:sz w:val="24"/>
        </w:rPr>
        <w:t>三</w:t>
      </w:r>
      <w:r>
        <w:rPr>
          <w:color w:val="auto"/>
          <w:sz w:val="24"/>
        </w:rPr>
        <w:t>级。</w:t>
      </w:r>
    </w:p>
    <w:p>
      <w:pPr>
        <w:keepNext/>
        <w:keepLines/>
        <w:spacing w:line="360" w:lineRule="auto"/>
        <w:jc w:val="left"/>
        <w:outlineLvl w:val="2"/>
        <w:rPr>
          <w:b/>
          <w:bCs/>
          <w:color w:val="auto"/>
          <w:sz w:val="28"/>
          <w:szCs w:val="28"/>
        </w:rPr>
      </w:pPr>
      <w:bookmarkStart w:id="218" w:name="_Toc24137"/>
      <w:r>
        <w:rPr>
          <w:b/>
          <w:bCs/>
          <w:color w:val="auto"/>
          <w:sz w:val="28"/>
          <w:szCs w:val="28"/>
        </w:rPr>
        <w:t>2.6.</w:t>
      </w:r>
      <w:r>
        <w:rPr>
          <w:rFonts w:hint="eastAsia"/>
          <w:b/>
          <w:bCs/>
          <w:color w:val="auto"/>
          <w:sz w:val="28"/>
          <w:szCs w:val="28"/>
        </w:rPr>
        <w:t>5  土壤环境</w:t>
      </w:r>
      <w:r>
        <w:rPr>
          <w:b/>
          <w:bCs/>
          <w:color w:val="auto"/>
          <w:sz w:val="28"/>
          <w:szCs w:val="28"/>
        </w:rPr>
        <w:t>评价工作等级</w:t>
      </w:r>
      <w:bookmarkEnd w:id="218"/>
    </w:p>
    <w:p>
      <w:pPr>
        <w:tabs>
          <w:tab w:val="left" w:pos="0"/>
          <w:tab w:val="left" w:pos="2089"/>
        </w:tabs>
        <w:spacing w:line="360" w:lineRule="auto"/>
        <w:ind w:firstLine="480" w:firstLineChars="200"/>
        <w:rPr>
          <w:color w:val="auto"/>
          <w:sz w:val="24"/>
        </w:rPr>
      </w:pPr>
      <w:r>
        <w:rPr>
          <w:color w:val="auto"/>
          <w:sz w:val="24"/>
        </w:rPr>
        <w:t>根据《环境影响评价技术导则 土壤环境（试行）》（HJ964-2018），</w:t>
      </w:r>
      <w:r>
        <w:rPr>
          <w:rFonts w:hint="eastAsia"/>
          <w:color w:val="auto"/>
          <w:sz w:val="24"/>
        </w:rPr>
        <w:t>建设项目土壤环境影响评价工作等级应依据建设项目行业类别和土壤环境敏感程度分级进行判定：</w:t>
      </w:r>
    </w:p>
    <w:p>
      <w:pPr>
        <w:tabs>
          <w:tab w:val="left" w:pos="0"/>
          <w:tab w:val="left" w:pos="2089"/>
        </w:tabs>
        <w:spacing w:line="360" w:lineRule="auto"/>
        <w:ind w:firstLine="480" w:firstLineChars="200"/>
        <w:rPr>
          <w:color w:val="auto"/>
          <w:sz w:val="24"/>
        </w:rPr>
      </w:pPr>
      <w:r>
        <w:rPr>
          <w:rFonts w:hint="eastAsia" w:ascii="宋体" w:hAnsi="宋体" w:cs="宋体"/>
          <w:color w:val="auto"/>
          <w:sz w:val="24"/>
        </w:rPr>
        <w:t>①建设项目行业分类：对照</w:t>
      </w:r>
      <w:r>
        <w:rPr>
          <w:color w:val="auto"/>
          <w:sz w:val="24"/>
        </w:rPr>
        <w:t>《环境影响评价技术导则 土壤环境（试行）》（HJ964-2018）附录表A.1</w:t>
      </w:r>
      <w:r>
        <w:rPr>
          <w:rFonts w:hint="eastAsia"/>
          <w:color w:val="auto"/>
          <w:sz w:val="24"/>
        </w:rPr>
        <w:t>，本项目属于“环境和公共设施管理业”中“一般工业固体废物处置及综合利用（采取除焚烧方式以外的）；废旧资源加工、再生利用”类，按土壤环境影响评价项目类别划分为Ⅲ类。</w:t>
      </w:r>
    </w:p>
    <w:p>
      <w:pPr>
        <w:pStyle w:val="32"/>
        <w:spacing w:line="360" w:lineRule="auto"/>
        <w:ind w:firstLine="480" w:firstLineChars="200"/>
        <w:rPr>
          <w:color w:val="auto"/>
          <w:kern w:val="2"/>
        </w:rPr>
      </w:pPr>
      <w:r>
        <w:rPr>
          <w:rFonts w:hint="eastAsia" w:ascii="宋体" w:hAnsi="宋体" w:cs="宋体"/>
          <w:color w:val="auto"/>
        </w:rPr>
        <w:t>②土壤环境敏感</w:t>
      </w:r>
      <w:r>
        <w:rPr>
          <w:rFonts w:hint="eastAsia"/>
          <w:color w:val="auto"/>
          <w:kern w:val="2"/>
        </w:rPr>
        <w:t>程度分级：</w:t>
      </w:r>
      <w:r>
        <w:rPr>
          <w:color w:val="auto"/>
          <w:kern w:val="2"/>
        </w:rPr>
        <w:t>建设项目周边不存在耕</w:t>
      </w:r>
      <w:r>
        <w:rPr>
          <w:rFonts w:hint="eastAsia"/>
          <w:color w:val="auto"/>
          <w:kern w:val="2"/>
        </w:rPr>
        <w:t>地、园地、牧草地、饮用水源地或居民区、学校、医院</w:t>
      </w:r>
      <w:r>
        <w:rPr>
          <w:color w:val="auto"/>
          <w:kern w:val="2"/>
        </w:rPr>
        <w:t>等土壤敏感点</w:t>
      </w:r>
      <w:r>
        <w:rPr>
          <w:rFonts w:hint="eastAsia"/>
          <w:color w:val="auto"/>
          <w:kern w:val="2"/>
        </w:rPr>
        <w:t>，也无其他土壤环境敏感目标，因此</w:t>
      </w:r>
      <w:r>
        <w:rPr>
          <w:color w:val="auto"/>
          <w:kern w:val="2"/>
        </w:rPr>
        <w:t>本项目的土壤敏感程度属于不敏感。</w:t>
      </w:r>
    </w:p>
    <w:p>
      <w:pPr>
        <w:tabs>
          <w:tab w:val="left" w:pos="0"/>
          <w:tab w:val="left" w:pos="2089"/>
        </w:tabs>
        <w:ind w:firstLine="422" w:firstLineChars="200"/>
        <w:jc w:val="center"/>
        <w:rPr>
          <w:b/>
          <w:bCs/>
          <w:color w:val="auto"/>
        </w:rPr>
      </w:pPr>
      <w:r>
        <w:rPr>
          <w:b/>
          <w:bCs/>
          <w:color w:val="auto"/>
        </w:rPr>
        <w:t>表2.6-</w:t>
      </w:r>
      <w:r>
        <w:rPr>
          <w:rFonts w:hint="eastAsia"/>
          <w:b/>
          <w:bCs/>
          <w:color w:val="auto"/>
        </w:rPr>
        <w:t xml:space="preserve">10  </w:t>
      </w:r>
      <w:r>
        <w:rPr>
          <w:b/>
          <w:bCs/>
          <w:color w:val="auto"/>
        </w:rPr>
        <w:t>污染影响型敏感程度分级表</w:t>
      </w:r>
    </w:p>
    <w:tbl>
      <w:tblPr>
        <w:tblStyle w:val="2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7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9" w:type="dxa"/>
            <w:vAlign w:val="center"/>
          </w:tcPr>
          <w:p>
            <w:pPr>
              <w:adjustRightInd w:val="0"/>
              <w:snapToGrid w:val="0"/>
              <w:spacing w:line="300" w:lineRule="auto"/>
              <w:jc w:val="center"/>
              <w:rPr>
                <w:color w:val="auto"/>
                <w:szCs w:val="21"/>
              </w:rPr>
            </w:pPr>
            <w:r>
              <w:rPr>
                <w:color w:val="auto"/>
                <w:szCs w:val="21"/>
              </w:rPr>
              <w:t>敏感程度</w:t>
            </w:r>
          </w:p>
        </w:tc>
        <w:tc>
          <w:tcPr>
            <w:tcW w:w="7621" w:type="dxa"/>
            <w:vAlign w:val="center"/>
          </w:tcPr>
          <w:p>
            <w:pPr>
              <w:adjustRightInd w:val="0"/>
              <w:snapToGrid w:val="0"/>
              <w:spacing w:line="300" w:lineRule="auto"/>
              <w:jc w:val="center"/>
              <w:rPr>
                <w:color w:val="auto"/>
                <w:szCs w:val="21"/>
              </w:rPr>
            </w:pPr>
            <w:r>
              <w:rPr>
                <w:color w:val="auto"/>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9" w:type="dxa"/>
            <w:vAlign w:val="center"/>
          </w:tcPr>
          <w:p>
            <w:pPr>
              <w:adjustRightInd w:val="0"/>
              <w:snapToGrid w:val="0"/>
              <w:spacing w:line="300" w:lineRule="auto"/>
              <w:jc w:val="center"/>
              <w:rPr>
                <w:color w:val="auto"/>
                <w:szCs w:val="21"/>
              </w:rPr>
            </w:pPr>
            <w:r>
              <w:rPr>
                <w:color w:val="auto"/>
                <w:szCs w:val="21"/>
              </w:rPr>
              <w:t>敏感</w:t>
            </w:r>
          </w:p>
        </w:tc>
        <w:tc>
          <w:tcPr>
            <w:tcW w:w="7621" w:type="dxa"/>
            <w:vAlign w:val="center"/>
          </w:tcPr>
          <w:p>
            <w:pPr>
              <w:adjustRightInd w:val="0"/>
              <w:snapToGrid w:val="0"/>
              <w:spacing w:line="300" w:lineRule="auto"/>
              <w:jc w:val="center"/>
              <w:rPr>
                <w:color w:val="auto"/>
                <w:szCs w:val="21"/>
              </w:rPr>
            </w:pPr>
            <w:r>
              <w:rPr>
                <w:color w:val="auto"/>
                <w:szCs w:val="21"/>
                <w:lang w:val="zh-CN"/>
              </w:rPr>
              <w:t>建设项目周边存在耕地、园地、牧草地、饮用水水源地或居民区、学校、医院、疗养院、养老院等土壤环境敏感目标</w:t>
            </w:r>
            <w:r>
              <w:rPr>
                <w:color w:val="auto"/>
                <w:szCs w:val="21"/>
              </w:rPr>
              <w:t>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9" w:type="dxa"/>
            <w:vAlign w:val="center"/>
          </w:tcPr>
          <w:p>
            <w:pPr>
              <w:adjustRightInd w:val="0"/>
              <w:snapToGrid w:val="0"/>
              <w:spacing w:line="300" w:lineRule="auto"/>
              <w:jc w:val="center"/>
              <w:rPr>
                <w:color w:val="auto"/>
                <w:szCs w:val="21"/>
              </w:rPr>
            </w:pPr>
            <w:r>
              <w:rPr>
                <w:color w:val="auto"/>
                <w:szCs w:val="21"/>
              </w:rPr>
              <w:t>较敏感</w:t>
            </w:r>
          </w:p>
        </w:tc>
        <w:tc>
          <w:tcPr>
            <w:tcW w:w="7621" w:type="dxa"/>
            <w:vAlign w:val="center"/>
          </w:tcPr>
          <w:p>
            <w:pPr>
              <w:adjustRightInd w:val="0"/>
              <w:snapToGrid w:val="0"/>
              <w:spacing w:line="300" w:lineRule="auto"/>
              <w:jc w:val="center"/>
              <w:rPr>
                <w:color w:val="auto"/>
                <w:szCs w:val="21"/>
              </w:rPr>
            </w:pPr>
            <w:r>
              <w:rPr>
                <w:color w:val="auto"/>
                <w:szCs w:val="21"/>
                <w:lang w:val="zh-CN"/>
              </w:rPr>
              <w:t>建设项目周边存在其他土壤环境敏感目标</w:t>
            </w:r>
            <w:r>
              <w:rPr>
                <w:color w:val="auto"/>
                <w:szCs w:val="21"/>
              </w:rPr>
              <w:t>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9" w:type="dxa"/>
            <w:vAlign w:val="center"/>
          </w:tcPr>
          <w:p>
            <w:pPr>
              <w:adjustRightInd w:val="0"/>
              <w:snapToGrid w:val="0"/>
              <w:spacing w:line="300" w:lineRule="auto"/>
              <w:jc w:val="center"/>
              <w:rPr>
                <w:color w:val="auto"/>
                <w:szCs w:val="21"/>
              </w:rPr>
            </w:pPr>
            <w:r>
              <w:rPr>
                <w:color w:val="auto"/>
                <w:szCs w:val="21"/>
              </w:rPr>
              <w:t>不敏感</w:t>
            </w:r>
          </w:p>
        </w:tc>
        <w:tc>
          <w:tcPr>
            <w:tcW w:w="7621" w:type="dxa"/>
            <w:vAlign w:val="center"/>
          </w:tcPr>
          <w:p>
            <w:pPr>
              <w:adjustRightInd w:val="0"/>
              <w:snapToGrid w:val="0"/>
              <w:spacing w:line="300" w:lineRule="auto"/>
              <w:jc w:val="center"/>
              <w:rPr>
                <w:color w:val="auto"/>
                <w:szCs w:val="21"/>
              </w:rPr>
            </w:pPr>
            <w:r>
              <w:rPr>
                <w:color w:val="auto"/>
                <w:szCs w:val="21"/>
              </w:rPr>
              <w:t>其他情况</w:t>
            </w:r>
          </w:p>
        </w:tc>
      </w:tr>
    </w:tbl>
    <w:p>
      <w:pPr>
        <w:tabs>
          <w:tab w:val="left" w:pos="0"/>
          <w:tab w:val="left" w:pos="2089"/>
        </w:tabs>
        <w:spacing w:line="360" w:lineRule="auto"/>
        <w:ind w:firstLine="480" w:firstLineChars="200"/>
        <w:rPr>
          <w:color w:val="auto"/>
          <w:sz w:val="24"/>
          <w:lang w:val="zh-CN"/>
        </w:rPr>
      </w:pPr>
      <w:r>
        <w:rPr>
          <w:rFonts w:hint="eastAsia" w:ascii="宋体" w:hAnsi="宋体" w:cs="宋体"/>
          <w:color w:val="auto"/>
          <w:sz w:val="24"/>
        </w:rPr>
        <w:t>③建设项目占地规模分级：</w:t>
      </w:r>
      <w:r>
        <w:rPr>
          <w:color w:val="auto"/>
          <w:sz w:val="24"/>
        </w:rPr>
        <w:t>土壤环境影响评价</w:t>
      </w:r>
      <w:r>
        <w:rPr>
          <w:rFonts w:hint="eastAsia"/>
          <w:color w:val="auto"/>
          <w:sz w:val="24"/>
        </w:rPr>
        <w:t>将</w:t>
      </w:r>
      <w:r>
        <w:rPr>
          <w:color w:val="auto"/>
          <w:sz w:val="24"/>
          <w:lang w:val="zh-CN"/>
        </w:rPr>
        <w:t>建设项目占地规模分为大型（≥50hm</w:t>
      </w:r>
      <w:r>
        <w:rPr>
          <w:color w:val="auto"/>
          <w:sz w:val="24"/>
          <w:vertAlign w:val="superscript"/>
          <w:lang w:val="zh-CN"/>
        </w:rPr>
        <w:t>2</w:t>
      </w:r>
      <w:r>
        <w:rPr>
          <w:color w:val="auto"/>
          <w:sz w:val="24"/>
          <w:lang w:val="zh-CN"/>
        </w:rPr>
        <w:t>）、中型（5～50hm</w:t>
      </w:r>
      <w:r>
        <w:rPr>
          <w:color w:val="auto"/>
          <w:sz w:val="24"/>
          <w:vertAlign w:val="superscript"/>
          <w:lang w:val="zh-CN"/>
        </w:rPr>
        <w:t>2</w:t>
      </w:r>
      <w:r>
        <w:rPr>
          <w:color w:val="auto"/>
          <w:sz w:val="24"/>
          <w:lang w:val="zh-CN"/>
        </w:rPr>
        <w:t>）、小型（≤5hm</w:t>
      </w:r>
      <w:r>
        <w:rPr>
          <w:color w:val="auto"/>
          <w:sz w:val="24"/>
          <w:vertAlign w:val="superscript"/>
          <w:lang w:val="zh-CN"/>
        </w:rPr>
        <w:t>2</w:t>
      </w:r>
      <w:r>
        <w:rPr>
          <w:color w:val="auto"/>
          <w:sz w:val="24"/>
          <w:lang w:val="zh-CN"/>
        </w:rPr>
        <w:t>），</w:t>
      </w:r>
      <w:r>
        <w:rPr>
          <w:rFonts w:hint="eastAsia"/>
          <w:color w:val="auto"/>
          <w:sz w:val="24"/>
        </w:rPr>
        <w:t>本项目面积为1.2hm</w:t>
      </w:r>
      <w:r>
        <w:rPr>
          <w:rFonts w:hint="eastAsia"/>
          <w:color w:val="auto"/>
          <w:sz w:val="24"/>
          <w:vertAlign w:val="superscript"/>
        </w:rPr>
        <w:t>2</w:t>
      </w:r>
      <w:r>
        <w:rPr>
          <w:rFonts w:hint="eastAsia"/>
          <w:color w:val="auto"/>
          <w:sz w:val="24"/>
        </w:rPr>
        <w:t>，属于小型</w:t>
      </w:r>
      <w:r>
        <w:rPr>
          <w:color w:val="auto"/>
          <w:sz w:val="24"/>
          <w:lang w:val="zh-CN"/>
        </w:rPr>
        <w:t>。</w:t>
      </w:r>
    </w:p>
    <w:p>
      <w:pPr>
        <w:tabs>
          <w:tab w:val="left" w:pos="0"/>
          <w:tab w:val="left" w:pos="2089"/>
        </w:tabs>
        <w:ind w:firstLine="422" w:firstLineChars="200"/>
        <w:jc w:val="center"/>
        <w:rPr>
          <w:b/>
          <w:bCs/>
          <w:color w:val="auto"/>
        </w:rPr>
      </w:pPr>
      <w:r>
        <w:rPr>
          <w:b/>
          <w:bCs/>
          <w:color w:val="auto"/>
        </w:rPr>
        <w:t>表2.6-</w:t>
      </w:r>
      <w:r>
        <w:rPr>
          <w:rFonts w:hint="eastAsia"/>
          <w:b/>
          <w:bCs/>
          <w:color w:val="auto"/>
        </w:rPr>
        <w:t xml:space="preserve">11  </w:t>
      </w:r>
      <w:r>
        <w:rPr>
          <w:b/>
          <w:bCs/>
          <w:color w:val="auto"/>
        </w:rPr>
        <w:t>污染影响型评价工作等级划分表</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729"/>
        <w:gridCol w:w="729"/>
        <w:gridCol w:w="729"/>
        <w:gridCol w:w="729"/>
        <w:gridCol w:w="729"/>
        <w:gridCol w:w="729"/>
        <w:gridCol w:w="729"/>
        <w:gridCol w:w="729"/>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2385" w:type="dxa"/>
            <w:vMerge w:val="restart"/>
            <w:vAlign w:val="center"/>
            <mc:AlternateContent>
              <mc:Choice Requires="wpsCustomData">
                <wpsCustomData:diagonals>
                  <wpsCustomData:diagonal from="30000" to="14000">
                    <wpsCustomData:border w:val="single" w:color="auto" w:sz="4" w:space="0"/>
                  </wpsCustomData:diagonal>
                  <wpsCustomData:diagonal from="30000" to="5600">
                    <wpsCustomData:border w:val="single" w:color="auto" w:sz="4" w:space="0"/>
                  </wpsCustomData:diagonal>
                </wpsCustomData:diagonals>
              </mc:Choice>
            </mc:AlternateContent>
          </w:tcPr>
          <w:p>
            <w:pPr>
              <w:adjustRightInd w:val="0"/>
              <w:snapToGrid w:val="0"/>
              <w:spacing w:line="240" w:lineRule="auto"/>
              <w:jc w:val="both"/>
              <mc:AlternateContent>
                <mc:Choice Requires="wpsCustomData">
                  <wpsCustomData:diagonalParaType/>
                </mc:Choice>
              </mc:AlternateContent>
              <w:rPr>
                <w:rFonts w:hint="eastAsia" w:eastAsia="宋体"/>
                <w:b w:val="0"/>
                <w:bCs/>
                <w:color w:val="auto"/>
                <w:szCs w:val="21"/>
                <w:lang w:val="en-US" w:eastAsia="zh-CN"/>
              </w:rPr>
            </w:pPr>
            <w:r>
              <w:rPr>
                <w:rFonts w:hint="eastAsia"/>
                <w:b w:val="0"/>
                <w:bCs/>
                <w:color w:val="auto"/>
                <w:szCs w:val="21"/>
                <w:lang w:val="en-US" w:eastAsia="zh-CN"/>
              </w:rPr>
              <w:t>敏感程度</w:t>
            </w:r>
          </w:p>
          <w:p>
            <w:pPr>
              <w:adjustRightInd w:val="0"/>
              <w:snapToGrid w:val="0"/>
              <w:spacing w:line="240" w:lineRule="auto"/>
              <w:jc w:val="both"/>
              <mc:AlternateContent>
                <mc:Choice Requires="wpsCustomData">
                  <wpsCustomData:diagonalParaType/>
                </mc:Choice>
              </mc:AlternateContent>
              <w:rPr>
                <w:rFonts w:hint="eastAsia" w:eastAsia="宋体"/>
                <w:b w:val="0"/>
                <w:bCs/>
                <w:color w:val="auto"/>
                <w:szCs w:val="21"/>
                <w:lang w:val="en-US" w:eastAsia="zh-CN"/>
              </w:rPr>
            </w:pPr>
            <w:r>
              <w:rPr>
                <w:rFonts w:hint="eastAsia"/>
                <w:b w:val="0"/>
                <w:bCs/>
                <w:color w:val="auto"/>
                <w:szCs w:val="21"/>
                <w:lang w:val="en-US" w:eastAsia="zh-CN"/>
              </w:rPr>
              <w:t>评价工作等级</w:t>
            </w:r>
          </w:p>
          <w:p>
            <w:pPr>
              <w:adjustRightInd w:val="0"/>
              <w:snapToGrid w:val="0"/>
              <w:spacing w:line="300" w:lineRule="auto"/>
              <w:jc w:val="center"/>
              <w:rPr>
                <w:rFonts w:hint="eastAsia" w:eastAsia="宋体"/>
                <w:b w:val="0"/>
                <w:bCs/>
                <w:color w:val="auto"/>
                <w:szCs w:val="21"/>
                <w:lang w:val="en-US" w:eastAsia="zh-CN"/>
              </w:rPr>
            </w:pPr>
            <w:r>
              <w:rPr>
                <w:rFonts w:hint="eastAsia"/>
                <w:b w:val="0"/>
                <w:bCs/>
                <w:color w:val="auto"/>
                <w:szCs w:val="21"/>
                <w:lang w:val="en-US" w:eastAsia="zh-CN"/>
              </w:rPr>
              <w:t>占地规模</w:t>
            </w:r>
          </w:p>
        </w:tc>
        <w:tc>
          <w:tcPr>
            <w:tcW w:w="2187" w:type="dxa"/>
            <w:gridSpan w:val="3"/>
            <w:vAlign w:val="center"/>
          </w:tcPr>
          <w:p>
            <w:pPr>
              <w:adjustRightInd w:val="0"/>
              <w:snapToGrid w:val="0"/>
              <w:spacing w:line="300" w:lineRule="auto"/>
              <w:jc w:val="center"/>
              <w:rPr>
                <w:b w:val="0"/>
                <w:bCs/>
                <w:color w:val="auto"/>
                <w:szCs w:val="21"/>
              </w:rPr>
            </w:pPr>
            <w:r>
              <w:rPr>
                <w:b w:val="0"/>
                <w:bCs/>
                <w:color w:val="auto"/>
                <w:szCs w:val="21"/>
              </w:rPr>
              <w:t>Ⅰ类</w:t>
            </w:r>
          </w:p>
        </w:tc>
        <w:tc>
          <w:tcPr>
            <w:tcW w:w="2187" w:type="dxa"/>
            <w:gridSpan w:val="3"/>
            <w:vAlign w:val="center"/>
          </w:tcPr>
          <w:p>
            <w:pPr>
              <w:adjustRightInd w:val="0"/>
              <w:snapToGrid w:val="0"/>
              <w:spacing w:line="300" w:lineRule="auto"/>
              <w:jc w:val="center"/>
              <w:rPr>
                <w:b w:val="0"/>
                <w:bCs/>
                <w:color w:val="auto"/>
                <w:szCs w:val="21"/>
              </w:rPr>
            </w:pPr>
            <w:r>
              <w:rPr>
                <w:b w:val="0"/>
                <w:bCs/>
                <w:color w:val="auto"/>
                <w:szCs w:val="21"/>
              </w:rPr>
              <w:t>Ⅱ类</w:t>
            </w:r>
          </w:p>
        </w:tc>
        <w:tc>
          <w:tcPr>
            <w:tcW w:w="2189" w:type="dxa"/>
            <w:gridSpan w:val="3"/>
            <w:vAlign w:val="center"/>
          </w:tcPr>
          <w:p>
            <w:pPr>
              <w:adjustRightInd w:val="0"/>
              <w:snapToGrid w:val="0"/>
              <w:spacing w:line="300" w:lineRule="auto"/>
              <w:jc w:val="center"/>
              <w:rPr>
                <w:b w:val="0"/>
                <w:bCs/>
                <w:color w:val="auto"/>
                <w:szCs w:val="21"/>
              </w:rPr>
            </w:pPr>
            <w:r>
              <w:rPr>
                <w:b w:val="0"/>
                <w:bCs/>
                <w:color w:val="auto"/>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385" w:type="dxa"/>
            <w:vMerge w:val="continue"/>
            <w:vAlign w:val="center"/>
          </w:tcPr>
          <w:p>
            <w:pPr>
              <w:adjustRightInd w:val="0"/>
              <w:snapToGrid w:val="0"/>
              <w:spacing w:line="300" w:lineRule="auto"/>
              <w:jc w:val="center"/>
              <w:rPr>
                <w:b w:val="0"/>
                <w:bCs/>
                <w:color w:val="auto"/>
                <w:szCs w:val="21"/>
              </w:rPr>
            </w:pPr>
          </w:p>
        </w:tc>
        <w:tc>
          <w:tcPr>
            <w:tcW w:w="729" w:type="dxa"/>
            <w:vAlign w:val="center"/>
          </w:tcPr>
          <w:p>
            <w:pPr>
              <w:adjustRightInd w:val="0"/>
              <w:snapToGrid w:val="0"/>
              <w:spacing w:line="300" w:lineRule="auto"/>
              <w:jc w:val="center"/>
              <w:rPr>
                <w:b w:val="0"/>
                <w:bCs/>
                <w:color w:val="auto"/>
                <w:szCs w:val="21"/>
              </w:rPr>
            </w:pPr>
            <w:r>
              <w:rPr>
                <w:b w:val="0"/>
                <w:bCs/>
                <w:color w:val="auto"/>
                <w:szCs w:val="21"/>
              </w:rPr>
              <w:t>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中</w:t>
            </w:r>
          </w:p>
        </w:tc>
        <w:tc>
          <w:tcPr>
            <w:tcW w:w="729" w:type="dxa"/>
            <w:vAlign w:val="center"/>
          </w:tcPr>
          <w:p>
            <w:pPr>
              <w:adjustRightInd w:val="0"/>
              <w:snapToGrid w:val="0"/>
              <w:spacing w:line="300" w:lineRule="auto"/>
              <w:jc w:val="center"/>
              <w:rPr>
                <w:b w:val="0"/>
                <w:bCs/>
                <w:color w:val="auto"/>
                <w:szCs w:val="21"/>
              </w:rPr>
            </w:pPr>
            <w:r>
              <w:rPr>
                <w:b w:val="0"/>
                <w:bCs/>
                <w:color w:val="auto"/>
                <w:szCs w:val="21"/>
              </w:rPr>
              <w:t>小</w:t>
            </w:r>
          </w:p>
        </w:tc>
        <w:tc>
          <w:tcPr>
            <w:tcW w:w="729" w:type="dxa"/>
            <w:vAlign w:val="center"/>
          </w:tcPr>
          <w:p>
            <w:pPr>
              <w:adjustRightInd w:val="0"/>
              <w:snapToGrid w:val="0"/>
              <w:spacing w:line="300" w:lineRule="auto"/>
              <w:jc w:val="center"/>
              <w:rPr>
                <w:b w:val="0"/>
                <w:bCs/>
                <w:color w:val="auto"/>
                <w:szCs w:val="21"/>
              </w:rPr>
            </w:pPr>
            <w:r>
              <w:rPr>
                <w:b w:val="0"/>
                <w:bCs/>
                <w:color w:val="auto"/>
                <w:szCs w:val="21"/>
              </w:rPr>
              <w:t>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中</w:t>
            </w:r>
          </w:p>
        </w:tc>
        <w:tc>
          <w:tcPr>
            <w:tcW w:w="729" w:type="dxa"/>
            <w:vAlign w:val="center"/>
          </w:tcPr>
          <w:p>
            <w:pPr>
              <w:adjustRightInd w:val="0"/>
              <w:snapToGrid w:val="0"/>
              <w:spacing w:line="300" w:lineRule="auto"/>
              <w:jc w:val="center"/>
              <w:rPr>
                <w:b w:val="0"/>
                <w:bCs/>
                <w:color w:val="auto"/>
                <w:szCs w:val="21"/>
              </w:rPr>
            </w:pPr>
            <w:r>
              <w:rPr>
                <w:b w:val="0"/>
                <w:bCs/>
                <w:color w:val="auto"/>
                <w:szCs w:val="21"/>
              </w:rPr>
              <w:t>小</w:t>
            </w:r>
          </w:p>
        </w:tc>
        <w:tc>
          <w:tcPr>
            <w:tcW w:w="729" w:type="dxa"/>
            <w:vAlign w:val="center"/>
          </w:tcPr>
          <w:p>
            <w:pPr>
              <w:adjustRightInd w:val="0"/>
              <w:snapToGrid w:val="0"/>
              <w:spacing w:line="300" w:lineRule="auto"/>
              <w:jc w:val="center"/>
              <w:rPr>
                <w:b w:val="0"/>
                <w:bCs/>
                <w:color w:val="auto"/>
                <w:szCs w:val="21"/>
              </w:rPr>
            </w:pPr>
            <w:r>
              <w:rPr>
                <w:b w:val="0"/>
                <w:bCs/>
                <w:color w:val="auto"/>
                <w:szCs w:val="21"/>
              </w:rPr>
              <w:t>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中</w:t>
            </w:r>
          </w:p>
        </w:tc>
        <w:tc>
          <w:tcPr>
            <w:tcW w:w="731" w:type="dxa"/>
            <w:vAlign w:val="center"/>
          </w:tcPr>
          <w:p>
            <w:pPr>
              <w:adjustRightInd w:val="0"/>
              <w:snapToGrid w:val="0"/>
              <w:spacing w:line="300" w:lineRule="auto"/>
              <w:jc w:val="center"/>
              <w:rPr>
                <w:b w:val="0"/>
                <w:bCs/>
                <w:color w:val="auto"/>
                <w:szCs w:val="21"/>
              </w:rPr>
            </w:pPr>
            <w:r>
              <w:rPr>
                <w:b w:val="0"/>
                <w:bCs/>
                <w:color w:val="auto"/>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5" w:type="dxa"/>
            <w:vAlign w:val="center"/>
          </w:tcPr>
          <w:p>
            <w:pPr>
              <w:adjustRightInd w:val="0"/>
              <w:snapToGrid w:val="0"/>
              <w:spacing w:line="300" w:lineRule="auto"/>
              <w:jc w:val="center"/>
              <w:rPr>
                <w:b w:val="0"/>
                <w:bCs/>
                <w:color w:val="auto"/>
                <w:szCs w:val="21"/>
              </w:rPr>
            </w:pPr>
            <w:r>
              <w:rPr>
                <w:b w:val="0"/>
                <w:bCs/>
                <w:color w:val="auto"/>
                <w:szCs w:val="21"/>
              </w:rPr>
              <w:t>敏感</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31" w:type="dxa"/>
            <w:vAlign w:val="center"/>
          </w:tcPr>
          <w:p>
            <w:pPr>
              <w:adjustRightInd w:val="0"/>
              <w:snapToGrid w:val="0"/>
              <w:spacing w:line="300" w:lineRule="auto"/>
              <w:jc w:val="center"/>
              <w:rPr>
                <w:b w:val="0"/>
                <w:bCs/>
                <w:color w:val="auto"/>
                <w:szCs w:val="21"/>
              </w:rPr>
            </w:pPr>
            <w:r>
              <w:rPr>
                <w:b w:val="0"/>
                <w:bCs/>
                <w:color w:val="auto"/>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5" w:type="dxa"/>
            <w:vAlign w:val="center"/>
          </w:tcPr>
          <w:p>
            <w:pPr>
              <w:adjustRightInd w:val="0"/>
              <w:snapToGrid w:val="0"/>
              <w:spacing w:line="300" w:lineRule="auto"/>
              <w:jc w:val="center"/>
              <w:rPr>
                <w:b w:val="0"/>
                <w:bCs/>
                <w:color w:val="auto"/>
                <w:szCs w:val="21"/>
              </w:rPr>
            </w:pPr>
            <w:r>
              <w:rPr>
                <w:b w:val="0"/>
                <w:bCs/>
                <w:color w:val="auto"/>
                <w:szCs w:val="21"/>
              </w:rPr>
              <w:t>较敏感</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31" w:type="dxa"/>
            <w:vAlign w:val="center"/>
          </w:tcPr>
          <w:p>
            <w:pPr>
              <w:adjustRightInd w:val="0"/>
              <w:snapToGrid w:val="0"/>
              <w:spacing w:line="300" w:lineRule="auto"/>
              <w:jc w:val="center"/>
              <w:rPr>
                <w:b w:val="0"/>
                <w:bCs/>
                <w:color w:val="auto"/>
                <w:szCs w:val="21"/>
              </w:rPr>
            </w:pPr>
            <w:r>
              <w:rPr>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5" w:type="dxa"/>
            <w:vAlign w:val="center"/>
          </w:tcPr>
          <w:p>
            <w:pPr>
              <w:adjustRightInd w:val="0"/>
              <w:snapToGrid w:val="0"/>
              <w:spacing w:line="300" w:lineRule="auto"/>
              <w:jc w:val="center"/>
              <w:rPr>
                <w:b w:val="0"/>
                <w:bCs/>
                <w:color w:val="auto"/>
                <w:szCs w:val="21"/>
              </w:rPr>
            </w:pPr>
            <w:r>
              <w:rPr>
                <w:b w:val="0"/>
                <w:bCs/>
                <w:color w:val="auto"/>
                <w:szCs w:val="21"/>
              </w:rPr>
              <w:t>不敏感</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一级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shd w:val="clear" w:color="auto" w:fill="auto"/>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二级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三级</w:t>
            </w:r>
          </w:p>
        </w:tc>
        <w:tc>
          <w:tcPr>
            <w:tcW w:w="729" w:type="dxa"/>
            <w:vAlign w:val="center"/>
          </w:tcPr>
          <w:p>
            <w:pPr>
              <w:adjustRightInd w:val="0"/>
              <w:snapToGrid w:val="0"/>
              <w:spacing w:line="300" w:lineRule="auto"/>
              <w:jc w:val="center"/>
              <w:rPr>
                <w:b w:val="0"/>
                <w:bCs/>
                <w:color w:val="auto"/>
                <w:szCs w:val="21"/>
              </w:rPr>
            </w:pPr>
            <w:r>
              <w:rPr>
                <w:b w:val="0"/>
                <w:bCs/>
                <w:color w:val="auto"/>
                <w:szCs w:val="21"/>
              </w:rPr>
              <w:t>-</w:t>
            </w:r>
          </w:p>
        </w:tc>
        <w:tc>
          <w:tcPr>
            <w:tcW w:w="731" w:type="dxa"/>
            <w:shd w:val="clear" w:color="auto" w:fill="CFCECE" w:themeFill="background2" w:themeFillShade="E5"/>
            <w:vAlign w:val="center"/>
          </w:tcPr>
          <w:p>
            <w:pPr>
              <w:adjustRightInd w:val="0"/>
              <w:snapToGrid w:val="0"/>
              <w:spacing w:line="300" w:lineRule="auto"/>
              <w:jc w:val="center"/>
              <w:rPr>
                <w:b w:val="0"/>
                <w:bCs/>
                <w:color w:val="auto"/>
                <w:szCs w:val="21"/>
              </w:rPr>
            </w:pPr>
            <w:r>
              <w:rPr>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8" w:type="dxa"/>
            <w:gridSpan w:val="10"/>
            <w:vAlign w:val="center"/>
          </w:tcPr>
          <w:p>
            <w:pPr>
              <w:adjustRightInd w:val="0"/>
              <w:snapToGrid w:val="0"/>
              <w:spacing w:line="300" w:lineRule="auto"/>
              <w:jc w:val="left"/>
              <w:rPr>
                <w:b w:val="0"/>
                <w:bCs/>
                <w:color w:val="auto"/>
                <w:szCs w:val="21"/>
              </w:rPr>
            </w:pPr>
            <w:r>
              <w:rPr>
                <w:b w:val="0"/>
                <w:bCs/>
                <w:color w:val="auto"/>
                <w:szCs w:val="21"/>
              </w:rPr>
              <w:t>注：“-”表示可不开展土壤环境影响评价工作</w:t>
            </w:r>
          </w:p>
        </w:tc>
      </w:tr>
    </w:tbl>
    <w:p>
      <w:pPr>
        <w:tabs>
          <w:tab w:val="left" w:pos="0"/>
          <w:tab w:val="left" w:pos="2089"/>
        </w:tabs>
        <w:spacing w:line="360" w:lineRule="auto"/>
        <w:ind w:firstLine="480" w:firstLineChars="200"/>
        <w:rPr>
          <w:rFonts w:ascii="宋体" w:hAnsi="宋体" w:cs="宋体"/>
          <w:color w:val="auto"/>
          <w:sz w:val="24"/>
        </w:rPr>
      </w:pPr>
      <w:r>
        <w:rPr>
          <w:rFonts w:ascii="宋体" w:hAnsi="宋体" w:cs="宋体"/>
          <w:color w:val="auto"/>
          <w:sz w:val="24"/>
        </w:rPr>
        <w:t>根据上述分析，项目</w:t>
      </w:r>
      <w:r>
        <w:rPr>
          <w:rFonts w:hint="eastAsia" w:ascii="宋体" w:hAnsi="宋体" w:cs="宋体"/>
          <w:color w:val="auto"/>
          <w:sz w:val="24"/>
        </w:rPr>
        <w:t>土壤行业分类</w:t>
      </w:r>
      <w:r>
        <w:rPr>
          <w:rFonts w:ascii="宋体" w:hAnsi="宋体" w:cs="宋体"/>
          <w:color w:val="auto"/>
          <w:sz w:val="24"/>
        </w:rPr>
        <w:t>为Ⅲ类、占地规模属于小型，敏感程度属于</w:t>
      </w:r>
      <w:r>
        <w:rPr>
          <w:rFonts w:hint="eastAsia" w:ascii="宋体" w:hAnsi="宋体" w:cs="宋体"/>
          <w:color w:val="auto"/>
          <w:sz w:val="24"/>
        </w:rPr>
        <w:t>不</w:t>
      </w:r>
      <w:r>
        <w:rPr>
          <w:rFonts w:ascii="宋体" w:hAnsi="宋体" w:cs="宋体"/>
          <w:color w:val="auto"/>
          <w:sz w:val="24"/>
        </w:rPr>
        <w:t>敏感，因此，本项目土壤环境影响评价等级</w:t>
      </w:r>
      <w:r>
        <w:rPr>
          <w:rFonts w:hint="eastAsia" w:ascii="宋体" w:hAnsi="宋体" w:cs="宋体"/>
          <w:color w:val="auto"/>
          <w:sz w:val="24"/>
        </w:rPr>
        <w:t>不属于需要评价的等级，可不开展评价工作</w:t>
      </w:r>
      <w:r>
        <w:rPr>
          <w:rFonts w:ascii="宋体" w:hAnsi="宋体" w:cs="宋体"/>
          <w:color w:val="auto"/>
          <w:sz w:val="24"/>
        </w:rPr>
        <w:t xml:space="preserve">。 </w:t>
      </w:r>
    </w:p>
    <w:p>
      <w:pPr>
        <w:keepNext/>
        <w:keepLines/>
        <w:spacing w:line="360" w:lineRule="auto"/>
        <w:jc w:val="left"/>
        <w:outlineLvl w:val="2"/>
        <w:rPr>
          <w:b/>
          <w:bCs/>
          <w:color w:val="auto"/>
          <w:sz w:val="28"/>
          <w:szCs w:val="28"/>
        </w:rPr>
      </w:pPr>
      <w:bookmarkStart w:id="219" w:name="_Toc21978"/>
      <w:r>
        <w:rPr>
          <w:b/>
          <w:bCs/>
          <w:color w:val="auto"/>
          <w:sz w:val="28"/>
          <w:szCs w:val="28"/>
        </w:rPr>
        <w:t>2.6.</w:t>
      </w:r>
      <w:r>
        <w:rPr>
          <w:rFonts w:hint="eastAsia"/>
          <w:b/>
          <w:bCs/>
          <w:color w:val="auto"/>
          <w:sz w:val="28"/>
          <w:szCs w:val="28"/>
        </w:rPr>
        <w:t>6  生态环境</w:t>
      </w:r>
      <w:r>
        <w:rPr>
          <w:b/>
          <w:bCs/>
          <w:color w:val="auto"/>
          <w:sz w:val="28"/>
          <w:szCs w:val="28"/>
        </w:rPr>
        <w:t>评价工作等级</w:t>
      </w:r>
      <w:bookmarkEnd w:id="219"/>
    </w:p>
    <w:p>
      <w:pPr>
        <w:pStyle w:val="32"/>
        <w:spacing w:line="360" w:lineRule="auto"/>
        <w:rPr>
          <w:color w:val="auto"/>
        </w:rPr>
      </w:pPr>
      <w:r>
        <w:rPr>
          <w:color w:val="auto"/>
        </w:rPr>
        <w:t xml:space="preserve">    本项目厂房占地面积</w:t>
      </w:r>
      <w:r>
        <w:rPr>
          <w:rFonts w:hint="eastAsia"/>
          <w:color w:val="auto"/>
        </w:rPr>
        <w:t>12108</w:t>
      </w:r>
      <w:r>
        <w:rPr>
          <w:color w:val="auto"/>
        </w:rPr>
        <w:t>m</w:t>
      </w:r>
      <w:r>
        <w:rPr>
          <w:color w:val="auto"/>
          <w:vertAlign w:val="superscript"/>
        </w:rPr>
        <w:t>2</w:t>
      </w:r>
      <w:r>
        <w:rPr>
          <w:color w:val="auto"/>
        </w:rPr>
        <w:t>，总建筑物面积</w:t>
      </w:r>
      <w:r>
        <w:rPr>
          <w:rFonts w:hint="eastAsia"/>
          <w:color w:val="auto"/>
        </w:rPr>
        <w:t>12108</w:t>
      </w:r>
      <w:r>
        <w:rPr>
          <w:color w:val="auto"/>
        </w:rPr>
        <w:t>m</w:t>
      </w:r>
      <w:r>
        <w:rPr>
          <w:color w:val="auto"/>
          <w:vertAlign w:val="superscript"/>
        </w:rPr>
        <w:t>2</w:t>
      </w:r>
      <w:r>
        <w:rPr>
          <w:color w:val="auto"/>
        </w:rPr>
        <w:t>，小于2km</w:t>
      </w:r>
      <w:r>
        <w:rPr>
          <w:color w:val="auto"/>
          <w:vertAlign w:val="superscript"/>
        </w:rPr>
        <w:t>2</w:t>
      </w:r>
      <w:r>
        <w:rPr>
          <w:color w:val="auto"/>
        </w:rPr>
        <w:t>，为一般区域。依照《环境影响评级技术导则 生态影响》（HJ19-2011）有关规定，生态环境评价工作为三级。</w:t>
      </w:r>
    </w:p>
    <w:p>
      <w:pPr>
        <w:keepNext/>
        <w:keepLines/>
        <w:spacing w:line="360" w:lineRule="auto"/>
        <w:jc w:val="left"/>
        <w:outlineLvl w:val="2"/>
        <w:rPr>
          <w:b/>
          <w:bCs/>
          <w:color w:val="auto"/>
          <w:sz w:val="28"/>
          <w:szCs w:val="28"/>
        </w:rPr>
      </w:pPr>
      <w:bookmarkStart w:id="220" w:name="_Toc27000"/>
      <w:r>
        <w:rPr>
          <w:b/>
          <w:bCs/>
          <w:color w:val="auto"/>
          <w:sz w:val="28"/>
          <w:szCs w:val="28"/>
        </w:rPr>
        <w:t>2.6.</w:t>
      </w:r>
      <w:r>
        <w:rPr>
          <w:rFonts w:hint="eastAsia"/>
          <w:b/>
          <w:bCs/>
          <w:color w:val="auto"/>
          <w:sz w:val="28"/>
          <w:szCs w:val="28"/>
        </w:rPr>
        <w:t xml:space="preserve">7  </w:t>
      </w:r>
      <w:r>
        <w:rPr>
          <w:b/>
          <w:bCs/>
          <w:color w:val="auto"/>
          <w:sz w:val="28"/>
          <w:szCs w:val="28"/>
        </w:rPr>
        <w:t>环境风险评价工作等级</w:t>
      </w:r>
      <w:bookmarkEnd w:id="220"/>
    </w:p>
    <w:p>
      <w:pPr>
        <w:adjustRightInd w:val="0"/>
        <w:snapToGrid w:val="0"/>
        <w:spacing w:line="360" w:lineRule="auto"/>
        <w:ind w:firstLine="480" w:firstLineChars="200"/>
        <w:rPr>
          <w:color w:val="auto"/>
          <w:sz w:val="24"/>
        </w:rPr>
      </w:pPr>
      <w:bookmarkStart w:id="221" w:name="_Toc22722_WPSOffice_Level2"/>
      <w:bookmarkStart w:id="222" w:name="_Toc9241_WPSOffice_Level2"/>
      <w:bookmarkStart w:id="223" w:name="_Toc31237_WPSOffice_Level2"/>
      <w:bookmarkStart w:id="224" w:name="_Toc12234_WPSOffice_Level2"/>
      <w:bookmarkStart w:id="225" w:name="_Toc29759409"/>
      <w:bookmarkStart w:id="226" w:name="_Toc14877"/>
      <w:bookmarkStart w:id="227" w:name="_Toc12478"/>
      <w:bookmarkStart w:id="228" w:name="_Toc29639_WPSOffice_Level2"/>
      <w:bookmarkStart w:id="229" w:name="_Toc2152_WPSOffice_Level2"/>
      <w:bookmarkStart w:id="230" w:name="_Toc3905721"/>
      <w:bookmarkStart w:id="231" w:name="_Toc5288"/>
      <w:bookmarkStart w:id="232" w:name="_Toc10823_WPSOffice_Level2"/>
      <w:bookmarkStart w:id="233" w:name="_Toc20318_WPSOffice_Level2"/>
      <w:bookmarkStart w:id="234" w:name="_Toc340647779"/>
      <w:bookmarkStart w:id="235" w:name="_Toc342292158"/>
      <w:r>
        <w:rPr>
          <w:color w:val="auto"/>
          <w:sz w:val="24"/>
        </w:rPr>
        <w:t>根据</w:t>
      </w:r>
      <w:r>
        <w:rPr>
          <w:rFonts w:hint="eastAsia"/>
          <w:color w:val="auto"/>
          <w:sz w:val="24"/>
        </w:rPr>
        <w:t>《建设项目环境风险评价技术导则》（HJ169-2018）附录B确定本项目危险物质的临界量，定量分析危险物质数量与临界量的比值（Q）和所属行业及生产工艺特点（M），按《建设项目环境风险评价技术导则》（HJ169-2018）附录C对危险物质及工艺系统危险性（P）等级进行判断。</w:t>
      </w:r>
    </w:p>
    <w:p>
      <w:pPr>
        <w:adjustRightInd w:val="0"/>
        <w:snapToGrid w:val="0"/>
        <w:spacing w:line="360" w:lineRule="auto"/>
        <w:ind w:firstLine="480" w:firstLineChars="200"/>
        <w:rPr>
          <w:color w:val="auto"/>
          <w:sz w:val="24"/>
        </w:rPr>
      </w:pPr>
      <w:r>
        <w:rPr>
          <w:rFonts w:hint="eastAsia"/>
          <w:color w:val="auto"/>
          <w:sz w:val="24"/>
        </w:rPr>
        <w:t>计算所涉及的每种危险物质在厂界内的最大存在总量与其在《建设项目环境风险评价技术导则》（HJ169-2018）附录B中对应临界量的比值Q。当存在多种危险物质时，按下式计算物质总量与其临界量比值（Q）：</w:t>
      </w:r>
      <w:r>
        <w:rPr>
          <w:color w:val="auto"/>
          <w:sz w:val="24"/>
        </w:rPr>
        <w:t xml:space="preserve"> </w:t>
      </w:r>
    </w:p>
    <w:p>
      <w:pPr>
        <w:spacing w:line="360" w:lineRule="auto"/>
        <w:jc w:val="center"/>
        <w:rPr>
          <w:color w:val="auto"/>
          <w:sz w:val="24"/>
        </w:rPr>
      </w:pPr>
      <w:r>
        <w:rPr>
          <w:color w:val="auto"/>
          <w:sz w:val="24"/>
        </w:rPr>
        <w:object>
          <v:shape id="_x0000_i1025" o:spt="75" type="#_x0000_t75" style="height:33.75pt;width:101.2pt;" o:ole="t" filled="f" o:preferrelative="t" stroked="f" coordsize="21600,21600">
            <v:path/>
            <v:fill on="f" focussize="0,0"/>
            <v:stroke on="f"/>
            <v:imagedata r:id="rId34" o:title=""/>
            <o:lock v:ext="edit" aspectratio="t"/>
            <w10:wrap type="none"/>
            <w10:anchorlock/>
          </v:shape>
          <o:OLEObject Type="Embed" ProgID="Equation.3" ShapeID="_x0000_i1025" DrawAspect="Content" ObjectID="_1468075725" r:id="rId33">
            <o:LockedField>false</o:LockedField>
          </o:OLEObject>
        </w:object>
      </w:r>
    </w:p>
    <w:p>
      <w:pPr>
        <w:spacing w:line="360" w:lineRule="auto"/>
        <w:rPr>
          <w:color w:val="auto"/>
          <w:sz w:val="24"/>
        </w:rPr>
      </w:pPr>
      <w:r>
        <w:rPr>
          <w:color w:val="auto"/>
          <w:sz w:val="24"/>
        </w:rPr>
        <w:t>式中：q1，q2，…，qn——每种危险物质的最大存在总量，t；</w:t>
      </w:r>
    </w:p>
    <w:p>
      <w:pPr>
        <w:spacing w:line="360" w:lineRule="auto"/>
        <w:rPr>
          <w:color w:val="auto"/>
          <w:sz w:val="24"/>
        </w:rPr>
      </w:pPr>
      <w:r>
        <w:rPr>
          <w:color w:val="auto"/>
          <w:sz w:val="24"/>
        </w:rPr>
        <w:t xml:space="preserve">      Q1，Q2，…，Qn——每种危险物质的临界量，t。</w:t>
      </w:r>
    </w:p>
    <w:p>
      <w:pPr>
        <w:spacing w:line="360" w:lineRule="auto"/>
        <w:rPr>
          <w:color w:val="auto"/>
          <w:sz w:val="24"/>
        </w:rPr>
      </w:pPr>
      <w:r>
        <w:rPr>
          <w:color w:val="auto"/>
          <w:sz w:val="24"/>
        </w:rPr>
        <w:t>当Q＜1时，该项目环境风险潜势为Ⅰ。</w:t>
      </w:r>
    </w:p>
    <w:p>
      <w:pPr>
        <w:spacing w:line="360" w:lineRule="auto"/>
        <w:rPr>
          <w:color w:val="auto"/>
          <w:sz w:val="24"/>
        </w:rPr>
      </w:pPr>
      <w:r>
        <w:rPr>
          <w:color w:val="auto"/>
          <w:sz w:val="24"/>
        </w:rPr>
        <w:t>当Q≥1时，将Q值划分为：（1）1≤Q＜10；（2）10≤Q＜100；（3）Q≥100。</w:t>
      </w:r>
    </w:p>
    <w:p>
      <w:pPr>
        <w:spacing w:line="360" w:lineRule="auto"/>
        <w:ind w:firstLine="480" w:firstLineChars="200"/>
        <w:rPr>
          <w:color w:val="auto"/>
          <w:sz w:val="24"/>
        </w:rPr>
      </w:pPr>
      <w:r>
        <w:rPr>
          <w:color w:val="auto"/>
          <w:sz w:val="24"/>
        </w:rPr>
        <w:t>本项目危险物质总量与临界量比值Q=0.044448。根据《建设项目环境风险评价技术导则》（HJ169-2018）附录C，当Q＜1时，该项目环境风险潜势为Ⅰ级。因此，项目环境风险评价等级为</w:t>
      </w:r>
      <w:r>
        <w:rPr>
          <w:rFonts w:hint="eastAsia"/>
          <w:color w:val="auto"/>
          <w:sz w:val="24"/>
        </w:rPr>
        <w:t>简单分析</w:t>
      </w:r>
      <w:r>
        <w:rPr>
          <w:color w:val="auto"/>
          <w:sz w:val="24"/>
        </w:rPr>
        <w:t>。</w:t>
      </w:r>
    </w:p>
    <w:p>
      <w:pPr>
        <w:pStyle w:val="5"/>
        <w:numPr>
          <w:ilvl w:val="1"/>
          <w:numId w:val="0"/>
        </w:numPr>
        <w:tabs>
          <w:tab w:val="clear" w:pos="720"/>
        </w:tabs>
        <w:spacing w:before="159" w:after="159"/>
        <w:rPr>
          <w:color w:val="auto"/>
          <w:sz w:val="32"/>
          <w:szCs w:val="32"/>
        </w:rPr>
      </w:pPr>
      <w:bookmarkStart w:id="236" w:name="_Toc23548"/>
      <w:bookmarkStart w:id="237" w:name="_Toc12638"/>
      <w:r>
        <w:rPr>
          <w:color w:val="auto"/>
          <w:sz w:val="32"/>
          <w:szCs w:val="32"/>
        </w:rPr>
        <w:t>2.</w:t>
      </w:r>
      <w:r>
        <w:rPr>
          <w:rFonts w:hint="eastAsia"/>
          <w:color w:val="auto"/>
          <w:sz w:val="32"/>
          <w:szCs w:val="32"/>
        </w:rPr>
        <w:t xml:space="preserve">7  </w:t>
      </w:r>
      <w:r>
        <w:rPr>
          <w:color w:val="auto"/>
          <w:sz w:val="32"/>
          <w:szCs w:val="32"/>
        </w:rPr>
        <w:t>评价范围</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6"/>
      <w:bookmarkEnd w:id="237"/>
    </w:p>
    <w:p>
      <w:pPr>
        <w:adjustRightInd w:val="0"/>
        <w:spacing w:line="360" w:lineRule="auto"/>
        <w:ind w:firstLine="480" w:firstLineChars="200"/>
        <w:rPr>
          <w:color w:val="auto"/>
          <w:sz w:val="24"/>
        </w:rPr>
      </w:pPr>
      <w:r>
        <w:rPr>
          <w:color w:val="auto"/>
          <w:sz w:val="24"/>
        </w:rPr>
        <w:t>本项目环境影响评价范围汇总见</w:t>
      </w:r>
      <w:r>
        <w:rPr>
          <w:rFonts w:hint="eastAsia"/>
          <w:color w:val="auto"/>
          <w:sz w:val="24"/>
        </w:rPr>
        <w:t>下表</w:t>
      </w:r>
      <w:r>
        <w:rPr>
          <w:color w:val="auto"/>
          <w:sz w:val="24"/>
        </w:rPr>
        <w:t>。</w:t>
      </w:r>
    </w:p>
    <w:p>
      <w:pPr>
        <w:tabs>
          <w:tab w:val="left" w:pos="0"/>
          <w:tab w:val="left" w:pos="2089"/>
        </w:tabs>
        <w:ind w:firstLine="422" w:firstLineChars="200"/>
        <w:jc w:val="center"/>
        <w:rPr>
          <w:b/>
          <w:bCs/>
          <w:color w:val="auto"/>
        </w:rPr>
      </w:pPr>
      <w:r>
        <w:rPr>
          <w:b/>
          <w:bCs/>
          <w:color w:val="auto"/>
        </w:rPr>
        <w:t>表2.7-1  评价工作等级划分与评价范围一览表</w:t>
      </w:r>
    </w:p>
    <w:tbl>
      <w:tblPr>
        <w:tblStyle w:val="23"/>
        <w:tblW w:w="9060" w:type="dxa"/>
        <w:tblInd w:w="-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164"/>
        <w:gridCol w:w="3141"/>
        <w:gridCol w:w="3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color w:val="auto"/>
                <w:szCs w:val="21"/>
              </w:rPr>
              <w:t>环境要素</w:t>
            </w:r>
          </w:p>
        </w:tc>
        <w:tc>
          <w:tcPr>
            <w:tcW w:w="1164" w:type="dxa"/>
            <w:vAlign w:val="center"/>
          </w:tcPr>
          <w:p>
            <w:pPr>
              <w:jc w:val="center"/>
              <w:rPr>
                <w:color w:val="auto"/>
                <w:szCs w:val="21"/>
              </w:rPr>
            </w:pPr>
            <w:r>
              <w:rPr>
                <w:color w:val="auto"/>
                <w:szCs w:val="21"/>
              </w:rPr>
              <w:t>评价等级</w:t>
            </w:r>
          </w:p>
        </w:tc>
        <w:tc>
          <w:tcPr>
            <w:tcW w:w="3141" w:type="dxa"/>
            <w:vAlign w:val="center"/>
          </w:tcPr>
          <w:p>
            <w:pPr>
              <w:jc w:val="center"/>
              <w:rPr>
                <w:color w:val="auto"/>
                <w:szCs w:val="21"/>
              </w:rPr>
            </w:pPr>
            <w:r>
              <w:rPr>
                <w:color w:val="auto"/>
                <w:szCs w:val="21"/>
              </w:rPr>
              <w:t>评价范围</w:t>
            </w:r>
          </w:p>
        </w:tc>
        <w:tc>
          <w:tcPr>
            <w:tcW w:w="3387" w:type="dxa"/>
            <w:vAlign w:val="center"/>
          </w:tcPr>
          <w:p>
            <w:pPr>
              <w:jc w:val="center"/>
              <w:rPr>
                <w:color w:val="auto"/>
                <w:szCs w:val="21"/>
              </w:rPr>
            </w:pPr>
            <w:r>
              <w:rPr>
                <w:color w:val="auto"/>
                <w:szCs w:val="21"/>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1368" w:type="dxa"/>
            <w:vAlign w:val="center"/>
          </w:tcPr>
          <w:p>
            <w:pPr>
              <w:jc w:val="center"/>
              <w:rPr>
                <w:color w:val="auto"/>
                <w:szCs w:val="21"/>
              </w:rPr>
            </w:pPr>
            <w:r>
              <w:rPr>
                <w:color w:val="auto"/>
                <w:szCs w:val="21"/>
              </w:rPr>
              <w:t>地表水环境</w:t>
            </w:r>
          </w:p>
        </w:tc>
        <w:tc>
          <w:tcPr>
            <w:tcW w:w="1164" w:type="dxa"/>
            <w:vAlign w:val="center"/>
          </w:tcPr>
          <w:p>
            <w:pPr>
              <w:jc w:val="center"/>
              <w:rPr>
                <w:color w:val="auto"/>
                <w:szCs w:val="21"/>
              </w:rPr>
            </w:pPr>
            <w:r>
              <w:rPr>
                <w:color w:val="auto"/>
                <w:szCs w:val="21"/>
              </w:rPr>
              <w:t>三级B</w:t>
            </w:r>
          </w:p>
        </w:tc>
        <w:tc>
          <w:tcPr>
            <w:tcW w:w="3141" w:type="dxa"/>
            <w:vAlign w:val="center"/>
          </w:tcPr>
          <w:p>
            <w:pPr>
              <w:jc w:val="center"/>
              <w:rPr>
                <w:color w:val="auto"/>
                <w:szCs w:val="21"/>
              </w:rPr>
            </w:pPr>
            <w:r>
              <w:rPr>
                <w:color w:val="auto"/>
                <w:szCs w:val="21"/>
              </w:rPr>
              <w:t>对</w:t>
            </w:r>
            <w:r>
              <w:rPr>
                <w:rFonts w:hint="eastAsia"/>
                <w:color w:val="auto"/>
                <w:szCs w:val="21"/>
                <w:lang w:val="en-US" w:eastAsia="zh-CN"/>
              </w:rPr>
              <w:t>纳污</w:t>
            </w:r>
            <w:r>
              <w:rPr>
                <w:color w:val="auto"/>
                <w:szCs w:val="21"/>
              </w:rPr>
              <w:t>水体的水质达标性进行调查</w:t>
            </w:r>
          </w:p>
        </w:tc>
        <w:tc>
          <w:tcPr>
            <w:tcW w:w="3387" w:type="dxa"/>
            <w:vAlign w:val="center"/>
          </w:tcPr>
          <w:p>
            <w:pPr>
              <w:jc w:val="center"/>
              <w:rPr>
                <w:color w:val="auto"/>
                <w:szCs w:val="21"/>
              </w:rPr>
            </w:pPr>
            <w:r>
              <w:rPr>
                <w:color w:val="auto"/>
                <w:szCs w:val="21"/>
              </w:rPr>
              <w:t>《环境影响评价技术导则-地面水环境》(HJ 2.3-2018)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color w:val="auto"/>
                <w:szCs w:val="21"/>
              </w:rPr>
              <w:t>大气环境</w:t>
            </w:r>
          </w:p>
        </w:tc>
        <w:tc>
          <w:tcPr>
            <w:tcW w:w="1164" w:type="dxa"/>
            <w:vAlign w:val="center"/>
          </w:tcPr>
          <w:p>
            <w:pPr>
              <w:jc w:val="center"/>
              <w:rPr>
                <w:color w:val="auto"/>
                <w:szCs w:val="21"/>
              </w:rPr>
            </w:pPr>
            <w:r>
              <w:rPr>
                <w:color w:val="auto"/>
                <w:szCs w:val="21"/>
              </w:rPr>
              <w:t>二级</w:t>
            </w:r>
          </w:p>
        </w:tc>
        <w:tc>
          <w:tcPr>
            <w:tcW w:w="3141" w:type="dxa"/>
            <w:vAlign w:val="center"/>
          </w:tcPr>
          <w:p>
            <w:pPr>
              <w:jc w:val="center"/>
              <w:rPr>
                <w:color w:val="auto"/>
                <w:szCs w:val="21"/>
              </w:rPr>
            </w:pPr>
            <w:r>
              <w:rPr>
                <w:color w:val="auto"/>
                <w:szCs w:val="21"/>
              </w:rPr>
              <w:t>以项目所在地为中心，5km×5km矩形范围内</w:t>
            </w:r>
          </w:p>
        </w:tc>
        <w:tc>
          <w:tcPr>
            <w:tcW w:w="3387" w:type="dxa"/>
            <w:vAlign w:val="center"/>
          </w:tcPr>
          <w:p>
            <w:pPr>
              <w:jc w:val="center"/>
              <w:rPr>
                <w:color w:val="auto"/>
                <w:szCs w:val="21"/>
              </w:rPr>
            </w:pPr>
            <w:r>
              <w:rPr>
                <w:color w:val="auto"/>
                <w:szCs w:val="21"/>
              </w:rPr>
              <w:t>《环境影响评价技术导则-大气环境》(HJ2.2-2018)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rFonts w:hint="eastAsia"/>
                <w:color w:val="auto"/>
                <w:szCs w:val="21"/>
              </w:rPr>
              <w:t>地下水环境</w:t>
            </w:r>
          </w:p>
        </w:tc>
        <w:tc>
          <w:tcPr>
            <w:tcW w:w="1164" w:type="dxa"/>
            <w:vAlign w:val="center"/>
          </w:tcPr>
          <w:p>
            <w:pPr>
              <w:adjustRightInd w:val="0"/>
              <w:snapToGrid w:val="0"/>
              <w:jc w:val="center"/>
              <w:rPr>
                <w:color w:val="auto"/>
                <w:szCs w:val="21"/>
              </w:rPr>
            </w:pPr>
            <w:r>
              <w:rPr>
                <w:rFonts w:hint="eastAsia"/>
                <w:color w:val="auto"/>
                <w:szCs w:val="21"/>
              </w:rPr>
              <w:t>三级</w:t>
            </w:r>
          </w:p>
        </w:tc>
        <w:tc>
          <w:tcPr>
            <w:tcW w:w="3141" w:type="dxa"/>
            <w:vAlign w:val="center"/>
          </w:tcPr>
          <w:p>
            <w:pPr>
              <w:jc w:val="center"/>
              <w:rPr>
                <w:color w:val="auto"/>
                <w:szCs w:val="21"/>
              </w:rPr>
            </w:pPr>
            <w:r>
              <w:rPr>
                <w:rFonts w:hint="eastAsia"/>
                <w:color w:val="auto"/>
                <w:szCs w:val="21"/>
              </w:rPr>
              <w:t>≤</w:t>
            </w:r>
            <w:r>
              <w:rPr>
                <w:color w:val="auto"/>
                <w:szCs w:val="21"/>
              </w:rPr>
              <w:t>6</w:t>
            </w:r>
            <w:r>
              <w:rPr>
                <w:rFonts w:hint="eastAsia"/>
                <w:color w:val="auto"/>
                <w:szCs w:val="21"/>
              </w:rPr>
              <w:t>km</w:t>
            </w:r>
            <w:r>
              <w:rPr>
                <w:rFonts w:hint="eastAsia"/>
                <w:color w:val="auto"/>
                <w:szCs w:val="21"/>
                <w:vertAlign w:val="superscript"/>
              </w:rPr>
              <w:t>2</w:t>
            </w:r>
          </w:p>
        </w:tc>
        <w:tc>
          <w:tcPr>
            <w:tcW w:w="3387" w:type="dxa"/>
            <w:vAlign w:val="center"/>
          </w:tcPr>
          <w:p>
            <w:pPr>
              <w:jc w:val="center"/>
              <w:rPr>
                <w:color w:val="auto"/>
                <w:szCs w:val="21"/>
              </w:rPr>
            </w:pPr>
            <w:r>
              <w:rPr>
                <w:color w:val="auto"/>
                <w:szCs w:val="21"/>
              </w:rPr>
              <w:t>《环境影响评价技术导则-地下水环境》（HJ 610－2016）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rFonts w:hint="eastAsia"/>
                <w:color w:val="auto"/>
                <w:szCs w:val="21"/>
              </w:rPr>
              <w:t>土壤环境</w:t>
            </w:r>
          </w:p>
        </w:tc>
        <w:tc>
          <w:tcPr>
            <w:tcW w:w="1164" w:type="dxa"/>
            <w:vAlign w:val="center"/>
          </w:tcPr>
          <w:p>
            <w:pPr>
              <w:adjustRightInd w:val="0"/>
              <w:snapToGrid w:val="0"/>
              <w:jc w:val="center"/>
              <w:rPr>
                <w:color w:val="auto"/>
                <w:szCs w:val="21"/>
              </w:rPr>
            </w:pPr>
            <w:r>
              <w:rPr>
                <w:rFonts w:hint="eastAsia"/>
                <w:bCs/>
                <w:color w:val="auto"/>
                <w:szCs w:val="21"/>
              </w:rPr>
              <w:t>可不开展评价</w:t>
            </w:r>
          </w:p>
        </w:tc>
        <w:tc>
          <w:tcPr>
            <w:tcW w:w="3141" w:type="dxa"/>
            <w:vAlign w:val="center"/>
          </w:tcPr>
          <w:p>
            <w:pPr>
              <w:adjustRightInd w:val="0"/>
              <w:snapToGrid w:val="0"/>
              <w:jc w:val="center"/>
              <w:rPr>
                <w:rFonts w:hint="eastAsia" w:eastAsia="宋体"/>
                <w:color w:val="auto"/>
                <w:szCs w:val="21"/>
                <w:lang w:eastAsia="zh-CN"/>
              </w:rPr>
            </w:pPr>
            <w:r>
              <w:rPr>
                <w:rFonts w:hint="eastAsia"/>
                <w:bCs/>
                <w:color w:val="auto"/>
                <w:szCs w:val="21"/>
                <w:lang w:val="en-US" w:eastAsia="zh-CN"/>
              </w:rPr>
              <w:t>/</w:t>
            </w:r>
          </w:p>
        </w:tc>
        <w:tc>
          <w:tcPr>
            <w:tcW w:w="3387" w:type="dxa"/>
            <w:vAlign w:val="center"/>
          </w:tcPr>
          <w:p>
            <w:pPr>
              <w:jc w:val="center"/>
              <w:rPr>
                <w:color w:val="auto"/>
                <w:szCs w:val="21"/>
              </w:rPr>
            </w:pPr>
            <w:r>
              <w:rPr>
                <w:color w:val="auto"/>
                <w:szCs w:val="21"/>
              </w:rPr>
              <w:t>《环境影响评价技术导则 土壤环境（试行）》（HJ964-2018）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color w:val="auto"/>
                <w:szCs w:val="21"/>
              </w:rPr>
              <w:t>声环境</w:t>
            </w:r>
          </w:p>
        </w:tc>
        <w:tc>
          <w:tcPr>
            <w:tcW w:w="1164" w:type="dxa"/>
            <w:vAlign w:val="center"/>
          </w:tcPr>
          <w:p>
            <w:pPr>
              <w:jc w:val="center"/>
              <w:rPr>
                <w:color w:val="auto"/>
                <w:szCs w:val="21"/>
              </w:rPr>
            </w:pPr>
            <w:r>
              <w:rPr>
                <w:color w:val="auto"/>
                <w:szCs w:val="21"/>
              </w:rPr>
              <w:t>三级</w:t>
            </w:r>
          </w:p>
        </w:tc>
        <w:tc>
          <w:tcPr>
            <w:tcW w:w="3141" w:type="dxa"/>
            <w:vAlign w:val="center"/>
          </w:tcPr>
          <w:p>
            <w:pPr>
              <w:jc w:val="center"/>
              <w:rPr>
                <w:color w:val="auto"/>
                <w:szCs w:val="21"/>
              </w:rPr>
            </w:pPr>
            <w:r>
              <w:rPr>
                <w:color w:val="auto"/>
                <w:szCs w:val="21"/>
              </w:rPr>
              <w:t>厂区边界外200米包络线的范围</w:t>
            </w:r>
          </w:p>
        </w:tc>
        <w:tc>
          <w:tcPr>
            <w:tcW w:w="3387" w:type="dxa"/>
            <w:vAlign w:val="center"/>
          </w:tcPr>
          <w:p>
            <w:pPr>
              <w:jc w:val="center"/>
              <w:rPr>
                <w:color w:val="auto"/>
                <w:szCs w:val="21"/>
              </w:rPr>
            </w:pPr>
            <w:r>
              <w:rPr>
                <w:color w:val="auto"/>
                <w:szCs w:val="21"/>
              </w:rPr>
              <w:t>《环境影响评价技术导则-声环境》(HJ2.4-2009)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rFonts w:hint="eastAsia"/>
                <w:color w:val="auto"/>
                <w:szCs w:val="21"/>
              </w:rPr>
              <w:t>生态环境</w:t>
            </w:r>
          </w:p>
        </w:tc>
        <w:tc>
          <w:tcPr>
            <w:tcW w:w="1164" w:type="dxa"/>
            <w:vAlign w:val="center"/>
          </w:tcPr>
          <w:p>
            <w:pPr>
              <w:jc w:val="center"/>
              <w:rPr>
                <w:color w:val="auto"/>
                <w:szCs w:val="21"/>
              </w:rPr>
            </w:pPr>
            <w:r>
              <w:rPr>
                <w:rFonts w:hint="eastAsia"/>
                <w:color w:val="auto"/>
                <w:szCs w:val="21"/>
              </w:rPr>
              <w:t>三级</w:t>
            </w:r>
          </w:p>
        </w:tc>
        <w:tc>
          <w:tcPr>
            <w:tcW w:w="3141" w:type="dxa"/>
            <w:vAlign w:val="center"/>
          </w:tcPr>
          <w:p>
            <w:pPr>
              <w:jc w:val="center"/>
              <w:rPr>
                <w:color w:val="auto"/>
                <w:szCs w:val="21"/>
              </w:rPr>
            </w:pPr>
            <w:r>
              <w:rPr>
                <w:color w:val="auto"/>
                <w:szCs w:val="21"/>
              </w:rPr>
              <w:t>厂区边界外200米包络线的范围</w:t>
            </w:r>
          </w:p>
        </w:tc>
        <w:tc>
          <w:tcPr>
            <w:tcW w:w="3387" w:type="dxa"/>
            <w:vAlign w:val="center"/>
          </w:tcPr>
          <w:p>
            <w:pPr>
              <w:jc w:val="center"/>
              <w:rPr>
                <w:color w:val="auto"/>
                <w:szCs w:val="21"/>
              </w:rPr>
            </w:pPr>
            <w:r>
              <w:rPr>
                <w:color w:val="auto"/>
              </w:rPr>
              <w:t>《环境影响评级技术导则 生态影响》（HJ19-2011）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8" w:type="dxa"/>
            <w:vAlign w:val="center"/>
          </w:tcPr>
          <w:p>
            <w:pPr>
              <w:jc w:val="center"/>
              <w:rPr>
                <w:color w:val="auto"/>
                <w:szCs w:val="21"/>
              </w:rPr>
            </w:pPr>
            <w:r>
              <w:rPr>
                <w:color w:val="auto"/>
                <w:szCs w:val="21"/>
              </w:rPr>
              <w:t>环境风险</w:t>
            </w:r>
          </w:p>
        </w:tc>
        <w:tc>
          <w:tcPr>
            <w:tcW w:w="1164" w:type="dxa"/>
            <w:vAlign w:val="center"/>
          </w:tcPr>
          <w:p>
            <w:pPr>
              <w:adjustRightInd w:val="0"/>
              <w:snapToGrid w:val="0"/>
              <w:jc w:val="center"/>
              <w:rPr>
                <w:color w:val="auto"/>
                <w:szCs w:val="21"/>
              </w:rPr>
            </w:pPr>
            <w:r>
              <w:rPr>
                <w:bCs/>
                <w:color w:val="auto"/>
                <w:szCs w:val="21"/>
              </w:rPr>
              <w:t>简单分析</w:t>
            </w:r>
          </w:p>
        </w:tc>
        <w:tc>
          <w:tcPr>
            <w:tcW w:w="3141" w:type="dxa"/>
            <w:vAlign w:val="center"/>
          </w:tcPr>
          <w:p>
            <w:pPr>
              <w:adjustRightInd w:val="0"/>
              <w:snapToGrid w:val="0"/>
              <w:jc w:val="center"/>
              <w:rPr>
                <w:rFonts w:hint="eastAsia" w:eastAsia="宋体"/>
                <w:color w:val="auto"/>
                <w:szCs w:val="21"/>
                <w:lang w:eastAsia="zh-CN"/>
              </w:rPr>
            </w:pPr>
            <w:r>
              <w:rPr>
                <w:rFonts w:hint="eastAsia"/>
                <w:bCs/>
                <w:color w:val="auto"/>
                <w:szCs w:val="21"/>
                <w:lang w:val="en-US" w:eastAsia="zh-CN"/>
              </w:rPr>
              <w:t>/</w:t>
            </w:r>
          </w:p>
        </w:tc>
        <w:tc>
          <w:tcPr>
            <w:tcW w:w="3387" w:type="dxa"/>
            <w:vAlign w:val="center"/>
          </w:tcPr>
          <w:p>
            <w:pPr>
              <w:adjustRightInd w:val="0"/>
              <w:snapToGrid w:val="0"/>
              <w:jc w:val="center"/>
              <w:rPr>
                <w:color w:val="auto"/>
                <w:szCs w:val="21"/>
              </w:rPr>
            </w:pPr>
            <w:r>
              <w:rPr>
                <w:bCs/>
                <w:color w:val="auto"/>
                <w:szCs w:val="21"/>
              </w:rPr>
              <w:t>《建设项目环境风险评价技术导则》(HJ 169-2018)</w:t>
            </w:r>
          </w:p>
        </w:tc>
      </w:tr>
    </w:tbl>
    <w:p>
      <w:pPr>
        <w:spacing w:line="360" w:lineRule="auto"/>
        <w:ind w:firstLine="480" w:firstLineChars="200"/>
        <w:rPr>
          <w:color w:val="auto"/>
          <w:sz w:val="24"/>
          <w:szCs w:val="20"/>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5"/>
        <w:numPr>
          <w:ilvl w:val="1"/>
          <w:numId w:val="0"/>
        </w:numPr>
        <w:tabs>
          <w:tab w:val="clear" w:pos="720"/>
        </w:tabs>
        <w:spacing w:before="159" w:after="159"/>
        <w:rPr>
          <w:color w:val="auto"/>
          <w:sz w:val="32"/>
          <w:szCs w:val="32"/>
        </w:rPr>
      </w:pPr>
      <w:bookmarkStart w:id="238" w:name="_Toc3152"/>
      <w:bookmarkStart w:id="239" w:name="_Toc2296"/>
      <w:bookmarkStart w:id="240" w:name="_Toc29759410"/>
      <w:bookmarkStart w:id="241" w:name="_Toc15457"/>
      <w:bookmarkStart w:id="242" w:name="_Toc32358"/>
      <w:bookmarkStart w:id="243" w:name="_Toc568"/>
      <w:bookmarkStart w:id="244" w:name="_Toc3905722"/>
      <w:r>
        <w:rPr>
          <w:color w:val="auto"/>
          <w:sz w:val="32"/>
          <w:szCs w:val="32"/>
        </w:rPr>
        <mc:AlternateContent>
          <mc:Choice Requires="wpg">
            <w:drawing>
              <wp:anchor distT="0" distB="0" distL="114300" distR="114300" simplePos="0" relativeHeight="251665408" behindDoc="0" locked="0" layoutInCell="1" allowOverlap="1">
                <wp:simplePos x="0" y="0"/>
                <wp:positionH relativeFrom="column">
                  <wp:posOffset>11706860</wp:posOffset>
                </wp:positionH>
                <wp:positionV relativeFrom="paragraph">
                  <wp:posOffset>6771640</wp:posOffset>
                </wp:positionV>
                <wp:extent cx="1838325" cy="1922145"/>
                <wp:effectExtent l="4445" t="4445" r="16510" b="8890"/>
                <wp:wrapNone/>
                <wp:docPr id="18" name="组合 18"/>
                <wp:cNvGraphicFramePr/>
                <a:graphic xmlns:a="http://schemas.openxmlformats.org/drawingml/2006/main">
                  <a:graphicData uri="http://schemas.microsoft.com/office/word/2010/wordprocessingGroup">
                    <wpg:wgp>
                      <wpg:cNvGrpSpPr/>
                      <wpg:grpSpPr>
                        <a:xfrm>
                          <a:off x="0" y="0"/>
                          <a:ext cx="1838325" cy="1922145"/>
                          <a:chOff x="19854" y="12195"/>
                          <a:chExt cx="2895" cy="3027"/>
                        </a:xfrm>
                        <a:effectLst/>
                      </wpg:grpSpPr>
                      <wpg:grpSp>
                        <wpg:cNvPr id="16" name="组合 16"/>
                        <wpg:cNvGrpSpPr/>
                        <wpg:grpSpPr>
                          <a:xfrm>
                            <a:off x="19854" y="12195"/>
                            <a:ext cx="2895" cy="3027"/>
                            <a:chOff x="18225" y="12345"/>
                            <a:chExt cx="2895" cy="3027"/>
                          </a:xfrm>
                          <a:effectLst/>
                        </wpg:grpSpPr>
                        <wpg:grpSp>
                          <wpg:cNvPr id="14" name="组合 14"/>
                          <wpg:cNvGrpSpPr/>
                          <wpg:grpSpPr>
                            <a:xfrm>
                              <a:off x="18225" y="12345"/>
                              <a:ext cx="2895" cy="3027"/>
                              <a:chOff x="17730" y="11925"/>
                              <a:chExt cx="2415" cy="3027"/>
                            </a:xfrm>
                            <a:effectLst/>
                          </wpg:grpSpPr>
                          <wps:wsp>
                            <wps:cNvPr id="7" name="矩形 7"/>
                            <wps:cNvSpPr/>
                            <wps:spPr>
                              <a:xfrm>
                                <a:off x="17730" y="11925"/>
                                <a:ext cx="2415" cy="3027"/>
                              </a:xfrm>
                              <a:prstGeom prst="rect">
                                <a:avLst/>
                              </a:prstGeom>
                              <a:solidFill>
                                <a:srgbClr val="FFFFFF"/>
                              </a:solidFill>
                              <a:ln w="6350" cap="flat" cmpd="sng">
                                <a:solidFill>
                                  <a:srgbClr val="000000"/>
                                </a:solidFill>
                                <a:prstDash val="solid"/>
                                <a:miter/>
                                <a:headEnd type="none" w="med" len="med"/>
                                <a:tailEnd type="none" w="med" len="med"/>
                              </a:ln>
                              <a:effectLst/>
                            </wps:spPr>
                            <wps:txbx>
                              <w:txbxContent>
                                <w:p>
                                  <w:pPr>
                                    <w:spacing w:line="360" w:lineRule="auto"/>
                                    <w:jc w:val="center"/>
                                    <w:rPr>
                                      <w:b/>
                                      <w:sz w:val="24"/>
                                    </w:rPr>
                                  </w:pPr>
                                  <w:r>
                                    <w:rPr>
                                      <w:rFonts w:hint="eastAsia"/>
                                      <w:b/>
                                      <w:sz w:val="24"/>
                                    </w:rPr>
                                    <w:t>图例</w:t>
                                  </w:r>
                                </w:p>
                                <w:p>
                                  <w:pPr>
                                    <w:spacing w:line="360" w:lineRule="auto"/>
                                    <w:ind w:firstLine="420" w:firstLineChars="200"/>
                                  </w:pPr>
                                  <w:r>
                                    <w:rPr>
                                      <w:rFonts w:hint="eastAsia"/>
                                    </w:rPr>
                                    <w:t>项目用地范围</w:t>
                                  </w:r>
                                </w:p>
                                <w:p>
                                  <w:pPr>
                                    <w:spacing w:line="360" w:lineRule="auto"/>
                                    <w:ind w:firstLine="420" w:firstLineChars="200"/>
                                  </w:pPr>
                                  <w:r>
                                    <w:rPr>
                                      <w:rFonts w:hint="eastAsia"/>
                                    </w:rPr>
                                    <w:t>大气、风险环评范围</w:t>
                                  </w:r>
                                </w:p>
                                <w:p>
                                  <w:pPr>
                                    <w:spacing w:line="360" w:lineRule="auto"/>
                                    <w:ind w:firstLine="420" w:firstLineChars="200"/>
                                  </w:pPr>
                                  <w:r>
                                    <w:rPr>
                                      <w:rFonts w:hint="eastAsia"/>
                                    </w:rPr>
                                    <w:t>地表水评价范围</w:t>
                                  </w:r>
                                </w:p>
                                <w:p>
                                  <w:pPr>
                                    <w:spacing w:line="360" w:lineRule="auto"/>
                                    <w:ind w:firstLine="420" w:firstLineChars="200"/>
                                  </w:pPr>
                                  <w:r>
                                    <w:rPr>
                                      <w:rFonts w:hint="eastAsia"/>
                                    </w:rPr>
                                    <w:t>声环境评价范围</w:t>
                                  </w:r>
                                </w:p>
                                <w:p>
                                  <w:pPr>
                                    <w:spacing w:line="360" w:lineRule="auto"/>
                                    <w:ind w:firstLine="420" w:firstLineChars="200"/>
                                  </w:pPr>
                                  <w:r>
                                    <w:rPr>
                                      <w:rFonts w:hint="eastAsia"/>
                                    </w:rPr>
                                    <w:t>地下水评价范围</w:t>
                                  </w:r>
                                </w:p>
                              </w:txbxContent>
                            </wps:txbx>
                            <wps:bodyPr upright="1"/>
                          </wps:wsp>
                          <wpg:grpSp>
                            <wpg:cNvPr id="13" name="组合 13"/>
                            <wpg:cNvGrpSpPr/>
                            <wpg:grpSpPr>
                              <a:xfrm>
                                <a:off x="17835" y="12525"/>
                                <a:ext cx="390" cy="1845"/>
                                <a:chOff x="12570" y="7920"/>
                                <a:chExt cx="390" cy="1845"/>
                              </a:xfrm>
                              <a:effectLst/>
                            </wpg:grpSpPr>
                            <wps:wsp>
                              <wps:cNvPr id="8" name="任意多边形 8"/>
                              <wps:cNvSpPr/>
                              <wps:spPr>
                                <a:xfrm>
                                  <a:off x="12570" y="7920"/>
                                  <a:ext cx="360" cy="285"/>
                                </a:xfrm>
                                <a:custGeom>
                                  <a:avLst/>
                                  <a:gdLst/>
                                  <a:ahLst/>
                                  <a:cxnLst>
                                    <a:cxn ang="0">
                                      <a:pos x="0" y="0"/>
                                    </a:cxn>
                                    <a:cxn ang="0">
                                      <a:pos x="19373" y="129268"/>
                                    </a:cxn>
                                    <a:cxn ang="0">
                                      <a:pos x="96864" y="118926"/>
                                    </a:cxn>
                                    <a:cxn ang="0">
                                      <a:pos x="108488" y="180975"/>
                                    </a:cxn>
                                    <a:cxn ang="0">
                                      <a:pos x="228600" y="46536"/>
                                    </a:cxn>
                                    <a:cxn ang="0">
                                      <a:pos x="213102" y="0"/>
                                    </a:cxn>
                                    <a:cxn ang="0">
                                      <a:pos x="0" y="0"/>
                                    </a:cxn>
                                  </a:cxnLst>
                                  <a:rect l="0" t="0" r="0" b="0"/>
                                  <a:pathLst>
                                    <a:path w="885" h="525">
                                      <a:moveTo>
                                        <a:pt x="0" y="0"/>
                                      </a:moveTo>
                                      <a:lnTo>
                                        <a:pt x="75" y="375"/>
                                      </a:lnTo>
                                      <a:lnTo>
                                        <a:pt x="375" y="345"/>
                                      </a:lnTo>
                                      <a:lnTo>
                                        <a:pt x="420" y="525"/>
                                      </a:lnTo>
                                      <a:lnTo>
                                        <a:pt x="885" y="135"/>
                                      </a:lnTo>
                                      <a:lnTo>
                                        <a:pt x="825" y="0"/>
                                      </a:lnTo>
                                      <a:lnTo>
                                        <a:pt x="0" y="0"/>
                                      </a:lnTo>
                                      <a:close/>
                                    </a:path>
                                  </a:pathLst>
                                </a:custGeom>
                                <a:noFill/>
                                <a:ln w="15875" cap="flat" cmpd="sng">
                                  <a:solidFill>
                                    <a:srgbClr val="FF0000"/>
                                  </a:solidFill>
                                  <a:prstDash val="solid"/>
                                  <a:round/>
                                  <a:headEnd type="none" w="med" len="med"/>
                                  <a:tailEnd type="none" w="med" len="med"/>
                                </a:ln>
                                <a:effectLst/>
                              </wps:spPr>
                              <wps:bodyPr upright="1"/>
                            </wps:wsp>
                            <wps:wsp>
                              <wps:cNvPr id="9" name="椭圆 9"/>
                              <wps:cNvSpPr/>
                              <wps:spPr>
                                <a:xfrm>
                                  <a:off x="12645" y="8325"/>
                                  <a:ext cx="210" cy="240"/>
                                </a:xfrm>
                                <a:prstGeom prst="ellipse">
                                  <a:avLst/>
                                </a:prstGeom>
                                <a:noFill/>
                                <a:ln w="15875" cap="flat" cmpd="sng">
                                  <a:solidFill>
                                    <a:srgbClr val="0000FF"/>
                                  </a:solidFill>
                                  <a:prstDash val="solid"/>
                                  <a:headEnd type="none" w="med" len="med"/>
                                  <a:tailEnd type="none" w="med" len="med"/>
                                </a:ln>
                                <a:effectLst/>
                              </wps:spPr>
                              <wps:bodyPr upright="1"/>
                            </wps:wsp>
                            <wps:wsp>
                              <wps:cNvPr id="10" name="椭圆 10"/>
                              <wps:cNvSpPr/>
                              <wps:spPr>
                                <a:xfrm>
                                  <a:off x="12645" y="9525"/>
                                  <a:ext cx="210" cy="240"/>
                                </a:xfrm>
                                <a:prstGeom prst="ellipse">
                                  <a:avLst/>
                                </a:prstGeom>
                                <a:noFill/>
                                <a:ln w="15875" cap="flat" cmpd="sng">
                                  <a:solidFill>
                                    <a:srgbClr val="FF0000"/>
                                  </a:solidFill>
                                  <a:prstDash val="solid"/>
                                  <a:headEnd type="none" w="med" len="med"/>
                                  <a:tailEnd type="none" w="med" len="med"/>
                                </a:ln>
                                <a:effectLst/>
                              </wps:spPr>
                              <wps:bodyPr upright="1"/>
                            </wps:wsp>
                            <wps:wsp>
                              <wps:cNvPr id="11" name="任意多边形 11"/>
                              <wps:cNvSpPr/>
                              <wps:spPr>
                                <a:xfrm>
                                  <a:off x="12600" y="9090"/>
                                  <a:ext cx="360" cy="285"/>
                                </a:xfrm>
                                <a:custGeom>
                                  <a:avLst/>
                                  <a:gdLst/>
                                  <a:ahLst/>
                                  <a:cxnLst>
                                    <a:cxn ang="0">
                                      <a:pos x="0" y="0"/>
                                    </a:cxn>
                                    <a:cxn ang="0">
                                      <a:pos x="19373" y="129268"/>
                                    </a:cxn>
                                    <a:cxn ang="0">
                                      <a:pos x="96864" y="118926"/>
                                    </a:cxn>
                                    <a:cxn ang="0">
                                      <a:pos x="108488" y="180975"/>
                                    </a:cxn>
                                    <a:cxn ang="0">
                                      <a:pos x="228600" y="46536"/>
                                    </a:cxn>
                                    <a:cxn ang="0">
                                      <a:pos x="213102" y="0"/>
                                    </a:cxn>
                                    <a:cxn ang="0">
                                      <a:pos x="0" y="0"/>
                                    </a:cxn>
                                  </a:cxnLst>
                                  <a:rect l="0" t="0" r="0" b="0"/>
                                  <a:pathLst>
                                    <a:path w="885" h="525">
                                      <a:moveTo>
                                        <a:pt x="0" y="0"/>
                                      </a:moveTo>
                                      <a:lnTo>
                                        <a:pt x="75" y="375"/>
                                      </a:lnTo>
                                      <a:lnTo>
                                        <a:pt x="375" y="345"/>
                                      </a:lnTo>
                                      <a:lnTo>
                                        <a:pt x="420" y="525"/>
                                      </a:lnTo>
                                      <a:lnTo>
                                        <a:pt x="885" y="135"/>
                                      </a:lnTo>
                                      <a:lnTo>
                                        <a:pt x="825" y="0"/>
                                      </a:lnTo>
                                      <a:lnTo>
                                        <a:pt x="0" y="0"/>
                                      </a:lnTo>
                                      <a:close/>
                                    </a:path>
                                  </a:pathLst>
                                </a:custGeom>
                                <a:noFill/>
                                <a:ln w="15875" cap="flat" cmpd="sng">
                                  <a:solidFill>
                                    <a:srgbClr val="00B0F0"/>
                                  </a:solidFill>
                                  <a:prstDash val="solid"/>
                                  <a:round/>
                                  <a:headEnd type="none" w="med" len="med"/>
                                  <a:tailEnd type="none" w="med" len="med"/>
                                </a:ln>
                                <a:effectLst/>
                              </wps:spPr>
                              <wps:bodyPr upright="1"/>
                            </wps:wsp>
                            <wps:wsp>
                              <wps:cNvPr id="12" name="任意多边形 12"/>
                              <wps:cNvSpPr/>
                              <wps:spPr>
                                <a:xfrm>
                                  <a:off x="12600" y="8817"/>
                                  <a:ext cx="345" cy="33"/>
                                </a:xfrm>
                                <a:custGeom>
                                  <a:avLst/>
                                  <a:gdLst/>
                                  <a:ahLst/>
                                  <a:cxnLst>
                                    <a:cxn ang="0">
                                      <a:pos x="0" y="0"/>
                                    </a:cxn>
                                    <a:cxn ang="0">
                                      <a:pos x="219075" y="9525"/>
                                    </a:cxn>
                                  </a:cxnLst>
                                  <a:rect l="0" t="0" r="0" b="0"/>
                                  <a:pathLst>
                                    <a:path w="345" h="33">
                                      <a:moveTo>
                                        <a:pt x="0" y="0"/>
                                      </a:moveTo>
                                      <a:cubicBezTo>
                                        <a:pt x="163" y="33"/>
                                        <a:pt x="50" y="15"/>
                                        <a:pt x="345" y="15"/>
                                      </a:cubicBezTo>
                                    </a:path>
                                  </a:pathLst>
                                </a:custGeom>
                                <a:noFill/>
                                <a:ln w="44450" cap="flat" cmpd="sng">
                                  <a:solidFill>
                                    <a:srgbClr val="00B0F0"/>
                                  </a:solidFill>
                                  <a:prstDash val="solid"/>
                                  <a:round/>
                                  <a:headEnd type="none" w="med" len="med"/>
                                  <a:tailEnd type="none" w="med" len="med"/>
                                </a:ln>
                                <a:effectLst/>
                              </wps:spPr>
                              <wps:bodyPr upright="1"/>
                            </wps:wsp>
                          </wpg:grpSp>
                        </wpg:grpSp>
                        <wps:wsp>
                          <wps:cNvPr id="15" name="任意多边形 15"/>
                          <wps:cNvSpPr/>
                          <wps:spPr>
                            <a:xfrm rot="912987">
                              <a:off x="18294" y="14115"/>
                              <a:ext cx="441" cy="305"/>
                            </a:xfrm>
                            <a:custGeom>
                              <a:avLst/>
                              <a:gdLst/>
                              <a:ahLst/>
                              <a:cxnLst>
                                <a:cxn ang="0">
                                  <a:pos x="59617" y="465505"/>
                                </a:cxn>
                                <a:cxn ang="0">
                                  <a:pos x="306258" y="88690"/>
                                </a:cxn>
                                <a:cxn ang="0">
                                  <a:pos x="353839" y="24821"/>
                                </a:cxn>
                                <a:cxn ang="0">
                                  <a:pos x="531778" y="16490"/>
                                </a:cxn>
                                <a:cxn ang="0">
                                  <a:pos x="1136702" y="2952"/>
                                </a:cxn>
                                <a:cxn ang="0">
                                  <a:pos x="1478395" y="269"/>
                                </a:cxn>
                                <a:cxn ang="0">
                                  <a:pos x="1523639" y="2952"/>
                                </a:cxn>
                                <a:cxn ang="0">
                                  <a:pos x="1545805" y="25515"/>
                                </a:cxn>
                                <a:cxn ang="0">
                                  <a:pos x="1548530" y="32283"/>
                                </a:cxn>
                                <a:cxn ang="0">
                                  <a:pos x="1580209" y="48077"/>
                                </a:cxn>
                                <a:cxn ang="0">
                                  <a:pos x="1625465" y="81921"/>
                                </a:cxn>
                                <a:cxn ang="0">
                                  <a:pos x="1657144" y="104484"/>
                                </a:cxn>
                                <a:cxn ang="0">
                                  <a:pos x="1675246" y="118021"/>
                                </a:cxn>
                                <a:cxn ang="0">
                                  <a:pos x="1679772" y="129303"/>
                                </a:cxn>
                                <a:cxn ang="0">
                                  <a:pos x="1684298" y="149609"/>
                                </a:cxn>
                                <a:cxn ang="0">
                                  <a:pos x="1693349" y="185709"/>
                                </a:cxn>
                                <a:cxn ang="0">
                                  <a:pos x="1702400" y="203759"/>
                                </a:cxn>
                                <a:cxn ang="0">
                                  <a:pos x="1718239" y="210528"/>
                                </a:cxn>
                                <a:cxn ang="0">
                                  <a:pos x="1740867" y="219553"/>
                                </a:cxn>
                                <a:cxn ang="0">
                                  <a:pos x="1749918" y="221810"/>
                                </a:cxn>
                                <a:cxn ang="0">
                                  <a:pos x="1758970" y="237603"/>
                                </a:cxn>
                                <a:cxn ang="0">
                                  <a:pos x="1761232" y="255654"/>
                                </a:cxn>
                                <a:cxn ang="0">
                                  <a:pos x="1768021" y="262422"/>
                                </a:cxn>
                                <a:cxn ang="0">
                                  <a:pos x="1797437" y="271447"/>
                                </a:cxn>
                                <a:cxn ang="0">
                                  <a:pos x="1806488" y="275960"/>
                                </a:cxn>
                                <a:cxn ang="0">
                                  <a:pos x="1813277" y="282729"/>
                                </a:cxn>
                                <a:cxn ang="0">
                                  <a:pos x="1808751" y="316573"/>
                                </a:cxn>
                                <a:cxn ang="0">
                                  <a:pos x="1808751" y="366211"/>
                                </a:cxn>
                                <a:cxn ang="0">
                                  <a:pos x="1804225" y="388773"/>
                                </a:cxn>
                                <a:cxn ang="0">
                                  <a:pos x="1806488" y="391029"/>
                                </a:cxn>
                                <a:cxn ang="0">
                                  <a:pos x="1903788" y="370723"/>
                                </a:cxn>
                                <a:cxn ang="0">
                                  <a:pos x="2179866" y="331682"/>
                                </a:cxn>
                                <a:cxn ang="0">
                                  <a:pos x="2216053" y="327854"/>
                                </a:cxn>
                                <a:cxn ang="0">
                                  <a:pos x="2234156" y="341392"/>
                                </a:cxn>
                                <a:cxn ang="0">
                                  <a:pos x="2272623" y="379748"/>
                                </a:cxn>
                                <a:cxn ang="0">
                                  <a:pos x="2297514" y="397798"/>
                                </a:cxn>
                                <a:cxn ang="0">
                                  <a:pos x="2304302" y="404567"/>
                                </a:cxn>
                                <a:cxn ang="0">
                                  <a:pos x="2308828" y="409080"/>
                                </a:cxn>
                                <a:cxn ang="0">
                                  <a:pos x="2315616" y="415848"/>
                                </a:cxn>
                                <a:cxn ang="0">
                                  <a:pos x="2315616" y="420361"/>
                                </a:cxn>
                                <a:cxn ang="0">
                                  <a:pos x="2299777" y="431642"/>
                                </a:cxn>
                                <a:cxn ang="0">
                                  <a:pos x="2254521" y="449692"/>
                                </a:cxn>
                                <a:cxn ang="0">
                                  <a:pos x="2236418" y="460974"/>
                                </a:cxn>
                                <a:cxn ang="0">
                                  <a:pos x="2175323" y="503843"/>
                                </a:cxn>
                                <a:cxn ang="0">
                                  <a:pos x="2143644" y="533174"/>
                                </a:cxn>
                                <a:cxn ang="0">
                                  <a:pos x="2107439" y="553480"/>
                                </a:cxn>
                                <a:cxn ang="0">
                                  <a:pos x="2093863" y="567018"/>
                                </a:cxn>
                                <a:cxn ang="0">
                                  <a:pos x="2044081" y="589581"/>
                                </a:cxn>
                                <a:cxn ang="0">
                                  <a:pos x="2007877" y="614400"/>
                                </a:cxn>
                                <a:cxn ang="0">
                                  <a:pos x="1980723" y="632450"/>
                                </a:cxn>
                                <a:cxn ang="0">
                                  <a:pos x="1962621" y="655012"/>
                                </a:cxn>
                                <a:cxn ang="0">
                                  <a:pos x="1935467" y="682087"/>
                                </a:cxn>
                                <a:cxn ang="0">
                                  <a:pos x="1901525" y="706906"/>
                                </a:cxn>
                                <a:cxn ang="0">
                                  <a:pos x="1876635" y="729469"/>
                                </a:cxn>
                                <a:cxn ang="0">
                                  <a:pos x="1824591" y="783619"/>
                                </a:cxn>
                                <a:cxn ang="0">
                                  <a:pos x="1749918" y="878382"/>
                                </a:cxn>
                                <a:cxn ang="0">
                                  <a:pos x="1731816" y="903201"/>
                                </a:cxn>
                                <a:cxn ang="0">
                                  <a:pos x="1715977" y="968633"/>
                                </a:cxn>
                                <a:cxn ang="0">
                                  <a:pos x="1709188" y="1011502"/>
                                </a:cxn>
                                <a:cxn ang="0">
                                  <a:pos x="1713714" y="1049859"/>
                                </a:cxn>
                                <a:cxn ang="0">
                                  <a:pos x="1727291" y="1083703"/>
                                </a:cxn>
                                <a:cxn ang="0">
                                  <a:pos x="1745393" y="1110778"/>
                                </a:cxn>
                                <a:cxn ang="0">
                                  <a:pos x="1752181" y="1137853"/>
                                </a:cxn>
                                <a:cxn ang="0">
                                  <a:pos x="1754444" y="1160415"/>
                                </a:cxn>
                                <a:cxn ang="0">
                                  <a:pos x="1820065" y="1225847"/>
                                </a:cxn>
                                <a:cxn ang="0">
                                  <a:pos x="1840430" y="1261947"/>
                                </a:cxn>
                                <a:cxn ang="0">
                                  <a:pos x="1842693" y="1268716"/>
                                </a:cxn>
                                <a:cxn ang="0">
                                  <a:pos x="1844956" y="1273229"/>
                                </a:cxn>
                                <a:cxn ang="0">
                                  <a:pos x="1835905" y="1298048"/>
                                </a:cxn>
                                <a:cxn ang="0">
                                  <a:pos x="1761232" y="1372504"/>
                                </a:cxn>
                                <a:cxn ang="0">
                                  <a:pos x="1677509" y="1422142"/>
                                </a:cxn>
                                <a:cxn ang="0">
                                  <a:pos x="1645830" y="1453730"/>
                                </a:cxn>
                                <a:cxn ang="0">
                                  <a:pos x="1625465" y="1465011"/>
                                </a:cxn>
                                <a:cxn ang="0">
                                  <a:pos x="1607363" y="1462755"/>
                                </a:cxn>
                                <a:cxn ang="0">
                                  <a:pos x="1451230" y="1426655"/>
                                </a:cxn>
                                <a:cxn ang="0">
                                  <a:pos x="1342616" y="1406348"/>
                                </a:cxn>
                                <a:cxn ang="0">
                                  <a:pos x="1333565" y="1401836"/>
                                </a:cxn>
                                <a:cxn ang="0">
                                  <a:pos x="1301886" y="1401836"/>
                                </a:cxn>
                                <a:cxn ang="0">
                                  <a:pos x="1222688" y="1372504"/>
                                </a:cxn>
                                <a:cxn ang="0">
                                  <a:pos x="1021300" y="1325123"/>
                                </a:cxn>
                                <a:cxn ang="0">
                                  <a:pos x="1005460" y="1320610"/>
                                </a:cxn>
                                <a:cxn ang="0">
                                  <a:pos x="996409" y="1316098"/>
                                </a:cxn>
                                <a:cxn ang="0">
                                  <a:pos x="987358" y="1313841"/>
                                </a:cxn>
                                <a:cxn ang="0">
                                  <a:pos x="982833" y="1313841"/>
                                </a:cxn>
                                <a:cxn ang="0">
                                  <a:pos x="998672" y="1275485"/>
                                </a:cxn>
                                <a:cxn ang="0">
                                  <a:pos x="1003198" y="1257435"/>
                                </a:cxn>
                                <a:cxn ang="0">
                                  <a:pos x="1003198" y="1248410"/>
                                </a:cxn>
                                <a:cxn ang="0">
                                  <a:pos x="976044" y="1246154"/>
                                </a:cxn>
                                <a:cxn ang="0">
                                  <a:pos x="806335" y="1203285"/>
                                </a:cxn>
                                <a:cxn ang="0">
                                  <a:pos x="677356" y="1176209"/>
                                </a:cxn>
                                <a:cxn ang="0">
                                  <a:pos x="607209" y="1167184"/>
                                </a:cxn>
                                <a:cxn ang="0">
                                  <a:pos x="586844" y="1167184"/>
                                </a:cxn>
                                <a:cxn ang="0">
                                  <a:pos x="550640" y="1167184"/>
                                </a:cxn>
                                <a:cxn ang="0">
                                  <a:pos x="530274" y="1173953"/>
                                </a:cxn>
                                <a:cxn ang="0">
                                  <a:pos x="514435" y="1167184"/>
                                </a:cxn>
                                <a:cxn ang="0">
                                  <a:pos x="496333" y="1126572"/>
                                </a:cxn>
                                <a:cxn ang="0">
                                  <a:pos x="466916" y="1072421"/>
                                </a:cxn>
                                <a:cxn ang="0">
                                  <a:pos x="453340" y="1056627"/>
                                </a:cxn>
                                <a:cxn ang="0">
                                  <a:pos x="446551" y="1052115"/>
                                </a:cxn>
                                <a:cxn ang="0">
                                  <a:pos x="387719" y="1047602"/>
                                </a:cxn>
                                <a:cxn ang="0">
                                  <a:pos x="362828" y="1043090"/>
                                </a:cxn>
                                <a:cxn ang="0">
                                  <a:pos x="351514" y="1036321"/>
                                </a:cxn>
                                <a:cxn ang="0">
                                  <a:pos x="349251" y="1022783"/>
                                </a:cxn>
                                <a:cxn ang="0">
                                  <a:pos x="344726" y="1013758"/>
                                </a:cxn>
                                <a:cxn ang="0">
                                  <a:pos x="308521" y="1006990"/>
                                </a:cxn>
                                <a:cxn ang="0">
                                  <a:pos x="299470" y="995708"/>
                                </a:cxn>
                                <a:cxn ang="0">
                                  <a:pos x="308521" y="975402"/>
                                </a:cxn>
                                <a:cxn ang="0">
                                  <a:pos x="342465" y="878400"/>
                                </a:cxn>
                                <a:cxn ang="0">
                                  <a:pos x="344726" y="853564"/>
                                </a:cxn>
                                <a:cxn ang="0">
                                  <a:pos x="353777" y="835513"/>
                                </a:cxn>
                                <a:cxn ang="0">
                                  <a:pos x="333412" y="817463"/>
                                </a:cxn>
                                <a:cxn ang="0">
                                  <a:pos x="215747" y="704650"/>
                                </a:cxn>
                                <a:cxn ang="0">
                                  <a:pos x="172755" y="675332"/>
                                </a:cxn>
                                <a:cxn ang="0">
                                  <a:pos x="154651" y="657269"/>
                                </a:cxn>
                                <a:cxn ang="0">
                                  <a:pos x="118447" y="625681"/>
                                </a:cxn>
                                <a:cxn ang="0">
                                  <a:pos x="98081" y="605375"/>
                                </a:cxn>
                                <a:cxn ang="0">
                                  <a:pos x="79982" y="593316"/>
                                </a:cxn>
                                <a:cxn ang="0">
                                  <a:pos x="3620" y="579879"/>
                                </a:cxn>
                                <a:cxn ang="0">
                                  <a:pos x="19368" y="521921"/>
                                </a:cxn>
                                <a:cxn ang="0">
                                  <a:pos x="59617" y="465505"/>
                                </a:cxn>
                              </a:cxnLst>
                              <a:rect l="0" t="0" r="0" b="0"/>
                              <a:pathLst>
                                <a:path w="13004719" h="8256544">
                                  <a:moveTo>
                                    <a:pt x="334605" y="2620225"/>
                                  </a:moveTo>
                                  <a:cubicBezTo>
                                    <a:pt x="602968" y="2213799"/>
                                    <a:pt x="1443664" y="912635"/>
                                    <a:pt x="1718886" y="499216"/>
                                  </a:cubicBezTo>
                                  <a:cubicBezTo>
                                    <a:pt x="1994108" y="85797"/>
                                    <a:pt x="1914923" y="270970"/>
                                    <a:pt x="1985936" y="139713"/>
                                  </a:cubicBezTo>
                                  <a:cubicBezTo>
                                    <a:pt x="2056949" y="8456"/>
                                    <a:pt x="2984627" y="92819"/>
                                    <a:pt x="2984627" y="92819"/>
                                  </a:cubicBezTo>
                                  <a:lnTo>
                                    <a:pt x="6379786" y="16616"/>
                                  </a:lnTo>
                                  <a:lnTo>
                                    <a:pt x="8297551" y="1516"/>
                                  </a:lnTo>
                                  <a:cubicBezTo>
                                    <a:pt x="8659501" y="1516"/>
                                    <a:pt x="8488430" y="-7068"/>
                                    <a:pt x="8551486" y="16616"/>
                                  </a:cubicBezTo>
                                  <a:cubicBezTo>
                                    <a:pt x="8614542" y="40300"/>
                                    <a:pt x="8652607" y="116102"/>
                                    <a:pt x="8675890" y="143619"/>
                                  </a:cubicBezTo>
                                  <a:cubicBezTo>
                                    <a:pt x="8699173" y="171136"/>
                                    <a:pt x="8659003" y="160550"/>
                                    <a:pt x="8691186" y="181716"/>
                                  </a:cubicBezTo>
                                  <a:cubicBezTo>
                                    <a:pt x="8723369" y="202882"/>
                                    <a:pt x="8797019" y="224049"/>
                                    <a:pt x="8868986" y="270616"/>
                                  </a:cubicBezTo>
                                  <a:cubicBezTo>
                                    <a:pt x="8940953" y="317183"/>
                                    <a:pt x="9051019" y="408199"/>
                                    <a:pt x="9122986" y="461116"/>
                                  </a:cubicBezTo>
                                  <a:cubicBezTo>
                                    <a:pt x="9194953" y="514033"/>
                                    <a:pt x="9254220" y="554249"/>
                                    <a:pt x="9300786" y="588116"/>
                                  </a:cubicBezTo>
                                  <a:cubicBezTo>
                                    <a:pt x="9347352" y="621983"/>
                                    <a:pt x="9381219" y="641033"/>
                                    <a:pt x="9402386" y="664316"/>
                                  </a:cubicBezTo>
                                  <a:cubicBezTo>
                                    <a:pt x="9423553" y="687599"/>
                                    <a:pt x="9419319" y="698183"/>
                                    <a:pt x="9427786" y="727816"/>
                                  </a:cubicBezTo>
                                  <a:cubicBezTo>
                                    <a:pt x="9436253" y="757449"/>
                                    <a:pt x="9440486" y="789199"/>
                                    <a:pt x="9453186" y="842116"/>
                                  </a:cubicBezTo>
                                  <a:cubicBezTo>
                                    <a:pt x="9465886" y="895033"/>
                                    <a:pt x="9487053" y="994516"/>
                                    <a:pt x="9503986" y="1045316"/>
                                  </a:cubicBezTo>
                                  <a:cubicBezTo>
                                    <a:pt x="9520919" y="1096116"/>
                                    <a:pt x="9531503" y="1123633"/>
                                    <a:pt x="9554786" y="1146916"/>
                                  </a:cubicBezTo>
                                  <a:cubicBezTo>
                                    <a:pt x="9578069" y="1170199"/>
                                    <a:pt x="9607703" y="1170199"/>
                                    <a:pt x="9643686" y="1185016"/>
                                  </a:cubicBezTo>
                                  <a:cubicBezTo>
                                    <a:pt x="9679669" y="1199833"/>
                                    <a:pt x="9741053" y="1225233"/>
                                    <a:pt x="9770686" y="1235816"/>
                                  </a:cubicBezTo>
                                  <a:cubicBezTo>
                                    <a:pt x="9800319" y="1246399"/>
                                    <a:pt x="9804553" y="1231583"/>
                                    <a:pt x="9821486" y="1248516"/>
                                  </a:cubicBezTo>
                                  <a:cubicBezTo>
                                    <a:pt x="9838419" y="1265449"/>
                                    <a:pt x="9861703" y="1305666"/>
                                    <a:pt x="9872286" y="1337416"/>
                                  </a:cubicBezTo>
                                  <a:cubicBezTo>
                                    <a:pt x="9882869" y="1369166"/>
                                    <a:pt x="9876519" y="1415733"/>
                                    <a:pt x="9884986" y="1439016"/>
                                  </a:cubicBezTo>
                                  <a:cubicBezTo>
                                    <a:pt x="9893453" y="1462299"/>
                                    <a:pt x="9889219" y="1462299"/>
                                    <a:pt x="9923086" y="1477116"/>
                                  </a:cubicBezTo>
                                  <a:cubicBezTo>
                                    <a:pt x="9956953" y="1491933"/>
                                    <a:pt x="10052203" y="1515216"/>
                                    <a:pt x="10088186" y="1527916"/>
                                  </a:cubicBezTo>
                                  <a:cubicBezTo>
                                    <a:pt x="10124169" y="1540616"/>
                                    <a:pt x="10124169" y="1542733"/>
                                    <a:pt x="10138986" y="1553316"/>
                                  </a:cubicBezTo>
                                  <a:cubicBezTo>
                                    <a:pt x="10153803" y="1563899"/>
                                    <a:pt x="10174969" y="1553316"/>
                                    <a:pt x="10177086" y="1591416"/>
                                  </a:cubicBezTo>
                                  <a:cubicBezTo>
                                    <a:pt x="10179203" y="1629516"/>
                                    <a:pt x="10155919" y="1703599"/>
                                    <a:pt x="10151686" y="1781916"/>
                                  </a:cubicBezTo>
                                  <a:cubicBezTo>
                                    <a:pt x="10147453" y="1860233"/>
                                    <a:pt x="10155919" y="1993583"/>
                                    <a:pt x="10151686" y="2061316"/>
                                  </a:cubicBezTo>
                                  <a:cubicBezTo>
                                    <a:pt x="10147453" y="2129049"/>
                                    <a:pt x="10128403" y="2165033"/>
                                    <a:pt x="10126286" y="2188316"/>
                                  </a:cubicBezTo>
                                  <a:cubicBezTo>
                                    <a:pt x="10124169" y="2211599"/>
                                    <a:pt x="10045853" y="2217949"/>
                                    <a:pt x="10138986" y="2201016"/>
                                  </a:cubicBezTo>
                                  <a:cubicBezTo>
                                    <a:pt x="10232119" y="2184083"/>
                                    <a:pt x="10335820" y="2142392"/>
                                    <a:pt x="10685086" y="2086716"/>
                                  </a:cubicBezTo>
                                  <a:cubicBezTo>
                                    <a:pt x="11034352" y="2031040"/>
                                    <a:pt x="11942481" y="1907179"/>
                                    <a:pt x="12234581" y="1866962"/>
                                  </a:cubicBezTo>
                                  <a:cubicBezTo>
                                    <a:pt x="12526681" y="1826745"/>
                                    <a:pt x="12386902" y="1836307"/>
                                    <a:pt x="12437686" y="1845416"/>
                                  </a:cubicBezTo>
                                  <a:cubicBezTo>
                                    <a:pt x="12488470" y="1854525"/>
                                    <a:pt x="12486369" y="1872933"/>
                                    <a:pt x="12539286" y="1921616"/>
                                  </a:cubicBezTo>
                                  <a:cubicBezTo>
                                    <a:pt x="12592203" y="1970299"/>
                                    <a:pt x="12695919" y="2084599"/>
                                    <a:pt x="12755186" y="2137516"/>
                                  </a:cubicBezTo>
                                  <a:cubicBezTo>
                                    <a:pt x="12814453" y="2190433"/>
                                    <a:pt x="12865253" y="2215833"/>
                                    <a:pt x="12894886" y="2239116"/>
                                  </a:cubicBezTo>
                                  <a:cubicBezTo>
                                    <a:pt x="12924519" y="2262399"/>
                                    <a:pt x="12932986" y="2277216"/>
                                    <a:pt x="12932986" y="2277216"/>
                                  </a:cubicBezTo>
                                  <a:lnTo>
                                    <a:pt x="12958386" y="2302616"/>
                                  </a:lnTo>
                                  <a:cubicBezTo>
                                    <a:pt x="12968969" y="2313199"/>
                                    <a:pt x="12990136" y="2330133"/>
                                    <a:pt x="12996486" y="2340716"/>
                                  </a:cubicBezTo>
                                  <a:cubicBezTo>
                                    <a:pt x="13002836" y="2351299"/>
                                    <a:pt x="13011303" y="2351299"/>
                                    <a:pt x="12996486" y="2366116"/>
                                  </a:cubicBezTo>
                                  <a:cubicBezTo>
                                    <a:pt x="12981669" y="2380933"/>
                                    <a:pt x="12964736" y="2402099"/>
                                    <a:pt x="12907586" y="2429616"/>
                                  </a:cubicBezTo>
                                  <a:cubicBezTo>
                                    <a:pt x="12850436" y="2457133"/>
                                    <a:pt x="12712853" y="2503699"/>
                                    <a:pt x="12653586" y="2531216"/>
                                  </a:cubicBezTo>
                                  <a:cubicBezTo>
                                    <a:pt x="12594319" y="2558733"/>
                                    <a:pt x="12626069" y="2543916"/>
                                    <a:pt x="12551986" y="2594716"/>
                                  </a:cubicBezTo>
                                  <a:cubicBezTo>
                                    <a:pt x="12477903" y="2645516"/>
                                    <a:pt x="12295869" y="2768283"/>
                                    <a:pt x="12209086" y="2836016"/>
                                  </a:cubicBezTo>
                                  <a:cubicBezTo>
                                    <a:pt x="12122303" y="2903749"/>
                                    <a:pt x="12094786" y="2954549"/>
                                    <a:pt x="12031286" y="3001116"/>
                                  </a:cubicBezTo>
                                  <a:cubicBezTo>
                                    <a:pt x="11967786" y="3047683"/>
                                    <a:pt x="11874653" y="3083666"/>
                                    <a:pt x="11828086" y="3115416"/>
                                  </a:cubicBezTo>
                                  <a:cubicBezTo>
                                    <a:pt x="11781519" y="3147166"/>
                                    <a:pt x="11811153" y="3157749"/>
                                    <a:pt x="11751886" y="3191616"/>
                                  </a:cubicBezTo>
                                  <a:cubicBezTo>
                                    <a:pt x="11692619" y="3225483"/>
                                    <a:pt x="11552919" y="3274166"/>
                                    <a:pt x="11472486" y="3318616"/>
                                  </a:cubicBezTo>
                                  <a:cubicBezTo>
                                    <a:pt x="11392053" y="3363066"/>
                                    <a:pt x="11328553" y="3418099"/>
                                    <a:pt x="11269286" y="3458316"/>
                                  </a:cubicBezTo>
                                  <a:cubicBezTo>
                                    <a:pt x="11210019" y="3498533"/>
                                    <a:pt x="11159219" y="3521816"/>
                                    <a:pt x="11116886" y="3559916"/>
                                  </a:cubicBezTo>
                                  <a:cubicBezTo>
                                    <a:pt x="11074553" y="3598016"/>
                                    <a:pt x="11057619" y="3640349"/>
                                    <a:pt x="11015286" y="3686916"/>
                                  </a:cubicBezTo>
                                  <a:cubicBezTo>
                                    <a:pt x="10972953" y="3733483"/>
                                    <a:pt x="10920036" y="3790633"/>
                                    <a:pt x="10862886" y="3839316"/>
                                  </a:cubicBezTo>
                                  <a:cubicBezTo>
                                    <a:pt x="10805736" y="3887999"/>
                                    <a:pt x="10727419" y="3934566"/>
                                    <a:pt x="10672386" y="3979016"/>
                                  </a:cubicBezTo>
                                  <a:cubicBezTo>
                                    <a:pt x="10617353" y="4023466"/>
                                    <a:pt x="10604653" y="4034049"/>
                                    <a:pt x="10532686" y="4106016"/>
                                  </a:cubicBezTo>
                                  <a:cubicBezTo>
                                    <a:pt x="10460719" y="4177983"/>
                                    <a:pt x="10359119" y="4271116"/>
                                    <a:pt x="10240586" y="4410816"/>
                                  </a:cubicBezTo>
                                  <a:cubicBezTo>
                                    <a:pt x="10122053" y="4550516"/>
                                    <a:pt x="9908269" y="4832033"/>
                                    <a:pt x="9821486" y="4944216"/>
                                  </a:cubicBezTo>
                                  <a:cubicBezTo>
                                    <a:pt x="9734703" y="5056399"/>
                                    <a:pt x="9751636" y="4999249"/>
                                    <a:pt x="9719886" y="5083916"/>
                                  </a:cubicBezTo>
                                  <a:cubicBezTo>
                                    <a:pt x="9688136" y="5168583"/>
                                    <a:pt x="9652153" y="5350616"/>
                                    <a:pt x="9630986" y="5452216"/>
                                  </a:cubicBezTo>
                                  <a:cubicBezTo>
                                    <a:pt x="9609819" y="5553816"/>
                                    <a:pt x="9595003" y="5617316"/>
                                    <a:pt x="9592886" y="5693516"/>
                                  </a:cubicBezTo>
                                  <a:cubicBezTo>
                                    <a:pt x="9590769" y="5769716"/>
                                    <a:pt x="9601353" y="5841683"/>
                                    <a:pt x="9618286" y="5909416"/>
                                  </a:cubicBezTo>
                                  <a:cubicBezTo>
                                    <a:pt x="9635219" y="5977149"/>
                                    <a:pt x="9664853" y="6042766"/>
                                    <a:pt x="9694486" y="6099916"/>
                                  </a:cubicBezTo>
                                  <a:cubicBezTo>
                                    <a:pt x="9724119" y="6157066"/>
                                    <a:pt x="9772803" y="6201516"/>
                                    <a:pt x="9796086" y="6252316"/>
                                  </a:cubicBezTo>
                                  <a:cubicBezTo>
                                    <a:pt x="9819369" y="6303116"/>
                                    <a:pt x="9825719" y="6358149"/>
                                    <a:pt x="9834186" y="6404716"/>
                                  </a:cubicBezTo>
                                  <a:cubicBezTo>
                                    <a:pt x="9842653" y="6451283"/>
                                    <a:pt x="9783386" y="6449166"/>
                                    <a:pt x="9846886" y="6531716"/>
                                  </a:cubicBezTo>
                                  <a:cubicBezTo>
                                    <a:pt x="9910386" y="6614266"/>
                                    <a:pt x="10134753" y="6804766"/>
                                    <a:pt x="10215186" y="6900016"/>
                                  </a:cubicBezTo>
                                  <a:cubicBezTo>
                                    <a:pt x="10295619" y="6995266"/>
                                    <a:pt x="10308319" y="7062999"/>
                                    <a:pt x="10329486" y="7103216"/>
                                  </a:cubicBezTo>
                                  <a:cubicBezTo>
                                    <a:pt x="10350653" y="7143433"/>
                                    <a:pt x="10337953" y="7130733"/>
                                    <a:pt x="10342186" y="7141316"/>
                                  </a:cubicBezTo>
                                  <a:cubicBezTo>
                                    <a:pt x="10346419" y="7151899"/>
                                    <a:pt x="10361236" y="7139199"/>
                                    <a:pt x="10354886" y="7166716"/>
                                  </a:cubicBezTo>
                                  <a:cubicBezTo>
                                    <a:pt x="10348536" y="7194233"/>
                                    <a:pt x="10382403" y="7213283"/>
                                    <a:pt x="10304086" y="7306416"/>
                                  </a:cubicBezTo>
                                  <a:cubicBezTo>
                                    <a:pt x="10225769" y="7399549"/>
                                    <a:pt x="10033153" y="7609099"/>
                                    <a:pt x="9884986" y="7725516"/>
                                  </a:cubicBezTo>
                                  <a:cubicBezTo>
                                    <a:pt x="9736819" y="7841933"/>
                                    <a:pt x="9523036" y="7928716"/>
                                    <a:pt x="9415086" y="8004916"/>
                                  </a:cubicBezTo>
                                  <a:cubicBezTo>
                                    <a:pt x="9307136" y="8081116"/>
                                    <a:pt x="9285969" y="8142499"/>
                                    <a:pt x="9237286" y="8182716"/>
                                  </a:cubicBezTo>
                                  <a:cubicBezTo>
                                    <a:pt x="9188603" y="8222933"/>
                                    <a:pt x="9158969" y="8237749"/>
                                    <a:pt x="9122986" y="8246216"/>
                                  </a:cubicBezTo>
                                  <a:cubicBezTo>
                                    <a:pt x="9087003" y="8254683"/>
                                    <a:pt x="9184369" y="8269499"/>
                                    <a:pt x="9021386" y="8233516"/>
                                  </a:cubicBezTo>
                                  <a:cubicBezTo>
                                    <a:pt x="8858403" y="8197533"/>
                                    <a:pt x="8392736" y="8083233"/>
                                    <a:pt x="8145086" y="8030316"/>
                                  </a:cubicBezTo>
                                  <a:cubicBezTo>
                                    <a:pt x="7897436" y="7977399"/>
                                    <a:pt x="7645553" y="7939299"/>
                                    <a:pt x="7535486" y="7916016"/>
                                  </a:cubicBezTo>
                                  <a:cubicBezTo>
                                    <a:pt x="7425419" y="7892733"/>
                                    <a:pt x="7522786" y="7894849"/>
                                    <a:pt x="7484686" y="7890616"/>
                                  </a:cubicBezTo>
                                  <a:cubicBezTo>
                                    <a:pt x="7446586" y="7886383"/>
                                    <a:pt x="7410603" y="7918133"/>
                                    <a:pt x="7306886" y="7890616"/>
                                  </a:cubicBezTo>
                                  <a:cubicBezTo>
                                    <a:pt x="7203169" y="7863099"/>
                                    <a:pt x="7124853" y="7797483"/>
                                    <a:pt x="6862386" y="7725516"/>
                                  </a:cubicBezTo>
                                  <a:cubicBezTo>
                                    <a:pt x="6599919" y="7653549"/>
                                    <a:pt x="5935286" y="7507499"/>
                                    <a:pt x="5732086" y="7458816"/>
                                  </a:cubicBezTo>
                                  <a:cubicBezTo>
                                    <a:pt x="5528886" y="7410133"/>
                                    <a:pt x="5666469" y="7441883"/>
                                    <a:pt x="5643186" y="7433416"/>
                                  </a:cubicBezTo>
                                  <a:cubicBezTo>
                                    <a:pt x="5619903" y="7424949"/>
                                    <a:pt x="5609319" y="7414366"/>
                                    <a:pt x="5592386" y="7408016"/>
                                  </a:cubicBezTo>
                                  <a:cubicBezTo>
                                    <a:pt x="5575453" y="7401666"/>
                                    <a:pt x="5554286" y="7397433"/>
                                    <a:pt x="5541586" y="7395316"/>
                                  </a:cubicBezTo>
                                  <a:cubicBezTo>
                                    <a:pt x="5528886" y="7393199"/>
                                    <a:pt x="5505603" y="7431299"/>
                                    <a:pt x="5516186" y="7395316"/>
                                  </a:cubicBezTo>
                                  <a:cubicBezTo>
                                    <a:pt x="5526769" y="7359333"/>
                                    <a:pt x="5586036" y="7232333"/>
                                    <a:pt x="5605086" y="7179416"/>
                                  </a:cubicBezTo>
                                  <a:cubicBezTo>
                                    <a:pt x="5624136" y="7126499"/>
                                    <a:pt x="5626253" y="7103216"/>
                                    <a:pt x="5630486" y="7077816"/>
                                  </a:cubicBezTo>
                                  <a:cubicBezTo>
                                    <a:pt x="5634719" y="7052416"/>
                                    <a:pt x="5655886" y="7037599"/>
                                    <a:pt x="5630486" y="7027016"/>
                                  </a:cubicBezTo>
                                  <a:cubicBezTo>
                                    <a:pt x="5605086" y="7016433"/>
                                    <a:pt x="5662236" y="7056649"/>
                                    <a:pt x="5478086" y="7014316"/>
                                  </a:cubicBezTo>
                                  <a:cubicBezTo>
                                    <a:pt x="5293936" y="6971983"/>
                                    <a:pt x="4804986" y="6838633"/>
                                    <a:pt x="4525586" y="6773016"/>
                                  </a:cubicBezTo>
                                  <a:cubicBezTo>
                                    <a:pt x="4246186" y="6707399"/>
                                    <a:pt x="3987953" y="6654483"/>
                                    <a:pt x="3801686" y="6620616"/>
                                  </a:cubicBezTo>
                                  <a:cubicBezTo>
                                    <a:pt x="3615419" y="6586749"/>
                                    <a:pt x="3492653" y="6578283"/>
                                    <a:pt x="3407986" y="6569816"/>
                                  </a:cubicBezTo>
                                  <a:cubicBezTo>
                                    <a:pt x="3323319" y="6561349"/>
                                    <a:pt x="3293686" y="6569816"/>
                                    <a:pt x="3293686" y="6569816"/>
                                  </a:cubicBezTo>
                                  <a:cubicBezTo>
                                    <a:pt x="3240769" y="6569816"/>
                                    <a:pt x="3143403" y="6563466"/>
                                    <a:pt x="3090486" y="6569816"/>
                                  </a:cubicBezTo>
                                  <a:cubicBezTo>
                                    <a:pt x="3037569" y="6576166"/>
                                    <a:pt x="3010053" y="6607916"/>
                                    <a:pt x="2976186" y="6607916"/>
                                  </a:cubicBezTo>
                                  <a:cubicBezTo>
                                    <a:pt x="2942319" y="6607916"/>
                                    <a:pt x="2919036" y="6614266"/>
                                    <a:pt x="2887286" y="6569816"/>
                                  </a:cubicBezTo>
                                  <a:cubicBezTo>
                                    <a:pt x="2855536" y="6525366"/>
                                    <a:pt x="2830136" y="6430116"/>
                                    <a:pt x="2785686" y="6341216"/>
                                  </a:cubicBezTo>
                                  <a:cubicBezTo>
                                    <a:pt x="2741236" y="6252316"/>
                                    <a:pt x="2660803" y="6102033"/>
                                    <a:pt x="2620586" y="6036416"/>
                                  </a:cubicBezTo>
                                  <a:cubicBezTo>
                                    <a:pt x="2580369" y="5970799"/>
                                    <a:pt x="2563436" y="5966566"/>
                                    <a:pt x="2544386" y="5947516"/>
                                  </a:cubicBezTo>
                                  <a:cubicBezTo>
                                    <a:pt x="2525336" y="5928466"/>
                                    <a:pt x="2567669" y="5930583"/>
                                    <a:pt x="2506286" y="5922116"/>
                                  </a:cubicBezTo>
                                  <a:cubicBezTo>
                                    <a:pt x="2444903" y="5913649"/>
                                    <a:pt x="2254403" y="5905183"/>
                                    <a:pt x="2176086" y="5896716"/>
                                  </a:cubicBezTo>
                                  <a:cubicBezTo>
                                    <a:pt x="2097769" y="5888249"/>
                                    <a:pt x="2070253" y="5881899"/>
                                    <a:pt x="2036386" y="5871316"/>
                                  </a:cubicBezTo>
                                  <a:cubicBezTo>
                                    <a:pt x="2002519" y="5860733"/>
                                    <a:pt x="1985586" y="5852266"/>
                                    <a:pt x="1972886" y="5833216"/>
                                  </a:cubicBezTo>
                                  <a:cubicBezTo>
                                    <a:pt x="1960186" y="5814166"/>
                                    <a:pt x="1966536" y="5778183"/>
                                    <a:pt x="1960186" y="5757016"/>
                                  </a:cubicBezTo>
                                  <a:cubicBezTo>
                                    <a:pt x="1953836" y="5735849"/>
                                    <a:pt x="1972886" y="5721033"/>
                                    <a:pt x="1934786" y="5706216"/>
                                  </a:cubicBezTo>
                                  <a:cubicBezTo>
                                    <a:pt x="1896686" y="5691399"/>
                                    <a:pt x="1773919" y="5685049"/>
                                    <a:pt x="1731586" y="5668116"/>
                                  </a:cubicBezTo>
                                  <a:cubicBezTo>
                                    <a:pt x="1689253" y="5651183"/>
                                    <a:pt x="1680786" y="5634249"/>
                                    <a:pt x="1680786" y="5604616"/>
                                  </a:cubicBezTo>
                                  <a:cubicBezTo>
                                    <a:pt x="1680786" y="5574983"/>
                                    <a:pt x="1691367" y="5600366"/>
                                    <a:pt x="1731586" y="5490316"/>
                                  </a:cubicBezTo>
                                  <a:cubicBezTo>
                                    <a:pt x="1771805" y="5380266"/>
                                    <a:pt x="1888234" y="5058617"/>
                                    <a:pt x="1922101" y="4944317"/>
                                  </a:cubicBezTo>
                                  <a:cubicBezTo>
                                    <a:pt x="1955968" y="4830017"/>
                                    <a:pt x="1924205" y="4844750"/>
                                    <a:pt x="1934786" y="4804516"/>
                                  </a:cubicBezTo>
                                  <a:cubicBezTo>
                                    <a:pt x="1945367" y="4764282"/>
                                    <a:pt x="1996169" y="4736783"/>
                                    <a:pt x="1985586" y="4702916"/>
                                  </a:cubicBezTo>
                                  <a:cubicBezTo>
                                    <a:pt x="1975003" y="4669049"/>
                                    <a:pt x="2000402" y="4724082"/>
                                    <a:pt x="1871286" y="4601316"/>
                                  </a:cubicBezTo>
                                  <a:cubicBezTo>
                                    <a:pt x="1742170" y="4478550"/>
                                    <a:pt x="1361168" y="4099653"/>
                                    <a:pt x="1210886" y="3966316"/>
                                  </a:cubicBezTo>
                                  <a:cubicBezTo>
                                    <a:pt x="1060604" y="3832979"/>
                                    <a:pt x="1026745" y="3845744"/>
                                    <a:pt x="969594" y="3801293"/>
                                  </a:cubicBezTo>
                                  <a:cubicBezTo>
                                    <a:pt x="912443" y="3756842"/>
                                    <a:pt x="918787" y="3746195"/>
                                    <a:pt x="867986" y="3699616"/>
                                  </a:cubicBezTo>
                                  <a:cubicBezTo>
                                    <a:pt x="817185" y="3653037"/>
                                    <a:pt x="717703" y="3570499"/>
                                    <a:pt x="664786" y="3521816"/>
                                  </a:cubicBezTo>
                                  <a:cubicBezTo>
                                    <a:pt x="611869" y="3473133"/>
                                    <a:pt x="586467" y="3437879"/>
                                    <a:pt x="550486" y="3407516"/>
                                  </a:cubicBezTo>
                                  <a:cubicBezTo>
                                    <a:pt x="514505" y="3377153"/>
                                    <a:pt x="537263" y="3363557"/>
                                    <a:pt x="448902" y="3339639"/>
                                  </a:cubicBezTo>
                                  <a:cubicBezTo>
                                    <a:pt x="360541" y="3315721"/>
                                    <a:pt x="96072" y="3278194"/>
                                    <a:pt x="20319" y="3264008"/>
                                  </a:cubicBezTo>
                                  <a:cubicBezTo>
                                    <a:pt x="-42730" y="3211831"/>
                                    <a:pt x="56325" y="3045072"/>
                                    <a:pt x="108706" y="2937775"/>
                                  </a:cubicBezTo>
                                  <a:cubicBezTo>
                                    <a:pt x="161087" y="2830478"/>
                                    <a:pt x="66242" y="3026651"/>
                                    <a:pt x="334605" y="2620225"/>
                                  </a:cubicBezTo>
                                  <a:close/>
                                </a:path>
                              </a:pathLst>
                            </a:custGeom>
                            <a:solidFill>
                              <a:srgbClr val="FFFFFF"/>
                            </a:solidFill>
                            <a:ln w="25400" cap="flat" cmpd="sng">
                              <a:solidFill>
                                <a:srgbClr val="00B0F0"/>
                              </a:solidFill>
                              <a:prstDash val="solid"/>
                              <a:headEnd type="none" w="med" len="med"/>
                              <a:tailEnd type="none" w="med" len="med"/>
                            </a:ln>
                            <a:effectLst/>
                          </wps:spPr>
                          <wps:bodyPr upright="1"/>
                        </wps:wsp>
                      </wpg:grpSp>
                      <wps:wsp>
                        <wps:cNvPr id="17" name="任意多边形 17"/>
                        <wps:cNvSpPr/>
                        <wps:spPr>
                          <a:xfrm rot="912987">
                            <a:off x="19976" y="12783"/>
                            <a:ext cx="467" cy="285"/>
                          </a:xfrm>
                          <a:custGeom>
                            <a:avLst/>
                            <a:gdLst/>
                            <a:ahLst/>
                            <a:cxnLst>
                              <a:cxn ang="0">
                                <a:pos x="59617" y="465505"/>
                              </a:cxn>
                              <a:cxn ang="0">
                                <a:pos x="306258" y="88690"/>
                              </a:cxn>
                              <a:cxn ang="0">
                                <a:pos x="353839" y="24821"/>
                              </a:cxn>
                              <a:cxn ang="0">
                                <a:pos x="531778" y="16490"/>
                              </a:cxn>
                              <a:cxn ang="0">
                                <a:pos x="1136702" y="2952"/>
                              </a:cxn>
                              <a:cxn ang="0">
                                <a:pos x="1478395" y="269"/>
                              </a:cxn>
                              <a:cxn ang="0">
                                <a:pos x="1523639" y="2952"/>
                              </a:cxn>
                              <a:cxn ang="0">
                                <a:pos x="1545805" y="25515"/>
                              </a:cxn>
                              <a:cxn ang="0">
                                <a:pos x="1548530" y="32283"/>
                              </a:cxn>
                              <a:cxn ang="0">
                                <a:pos x="1580209" y="48077"/>
                              </a:cxn>
                              <a:cxn ang="0">
                                <a:pos x="1625465" y="81921"/>
                              </a:cxn>
                              <a:cxn ang="0">
                                <a:pos x="1657144" y="104484"/>
                              </a:cxn>
                              <a:cxn ang="0">
                                <a:pos x="1675246" y="118021"/>
                              </a:cxn>
                              <a:cxn ang="0">
                                <a:pos x="1679772" y="129303"/>
                              </a:cxn>
                              <a:cxn ang="0">
                                <a:pos x="1684298" y="149609"/>
                              </a:cxn>
                              <a:cxn ang="0">
                                <a:pos x="1693349" y="185709"/>
                              </a:cxn>
                              <a:cxn ang="0">
                                <a:pos x="1702400" y="203759"/>
                              </a:cxn>
                              <a:cxn ang="0">
                                <a:pos x="1718239" y="210528"/>
                              </a:cxn>
                              <a:cxn ang="0">
                                <a:pos x="1740867" y="219553"/>
                              </a:cxn>
                              <a:cxn ang="0">
                                <a:pos x="1749918" y="221810"/>
                              </a:cxn>
                              <a:cxn ang="0">
                                <a:pos x="1758970" y="237603"/>
                              </a:cxn>
                              <a:cxn ang="0">
                                <a:pos x="1761232" y="255654"/>
                              </a:cxn>
                              <a:cxn ang="0">
                                <a:pos x="1768021" y="262422"/>
                              </a:cxn>
                              <a:cxn ang="0">
                                <a:pos x="1797437" y="271447"/>
                              </a:cxn>
                              <a:cxn ang="0">
                                <a:pos x="1806488" y="275960"/>
                              </a:cxn>
                              <a:cxn ang="0">
                                <a:pos x="1813277" y="282729"/>
                              </a:cxn>
                              <a:cxn ang="0">
                                <a:pos x="1808751" y="316573"/>
                              </a:cxn>
                              <a:cxn ang="0">
                                <a:pos x="1808751" y="366211"/>
                              </a:cxn>
                              <a:cxn ang="0">
                                <a:pos x="1804225" y="388773"/>
                              </a:cxn>
                              <a:cxn ang="0">
                                <a:pos x="1806488" y="391029"/>
                              </a:cxn>
                              <a:cxn ang="0">
                                <a:pos x="1903788" y="370723"/>
                              </a:cxn>
                              <a:cxn ang="0">
                                <a:pos x="2179866" y="331682"/>
                              </a:cxn>
                              <a:cxn ang="0">
                                <a:pos x="2216053" y="327854"/>
                              </a:cxn>
                              <a:cxn ang="0">
                                <a:pos x="2234156" y="341392"/>
                              </a:cxn>
                              <a:cxn ang="0">
                                <a:pos x="2272623" y="379748"/>
                              </a:cxn>
                              <a:cxn ang="0">
                                <a:pos x="2297514" y="397798"/>
                              </a:cxn>
                              <a:cxn ang="0">
                                <a:pos x="2304302" y="404567"/>
                              </a:cxn>
                              <a:cxn ang="0">
                                <a:pos x="2308828" y="409080"/>
                              </a:cxn>
                              <a:cxn ang="0">
                                <a:pos x="2315616" y="415848"/>
                              </a:cxn>
                              <a:cxn ang="0">
                                <a:pos x="2315616" y="420361"/>
                              </a:cxn>
                              <a:cxn ang="0">
                                <a:pos x="2299777" y="431642"/>
                              </a:cxn>
                              <a:cxn ang="0">
                                <a:pos x="2254521" y="449692"/>
                              </a:cxn>
                              <a:cxn ang="0">
                                <a:pos x="2236418" y="460974"/>
                              </a:cxn>
                              <a:cxn ang="0">
                                <a:pos x="2175323" y="503843"/>
                              </a:cxn>
                              <a:cxn ang="0">
                                <a:pos x="2143644" y="533174"/>
                              </a:cxn>
                              <a:cxn ang="0">
                                <a:pos x="2107439" y="553480"/>
                              </a:cxn>
                              <a:cxn ang="0">
                                <a:pos x="2093863" y="567018"/>
                              </a:cxn>
                              <a:cxn ang="0">
                                <a:pos x="2044081" y="589581"/>
                              </a:cxn>
                              <a:cxn ang="0">
                                <a:pos x="2007877" y="614400"/>
                              </a:cxn>
                              <a:cxn ang="0">
                                <a:pos x="1980723" y="632450"/>
                              </a:cxn>
                              <a:cxn ang="0">
                                <a:pos x="1962621" y="655012"/>
                              </a:cxn>
                              <a:cxn ang="0">
                                <a:pos x="1935467" y="682087"/>
                              </a:cxn>
                              <a:cxn ang="0">
                                <a:pos x="1901525" y="706906"/>
                              </a:cxn>
                              <a:cxn ang="0">
                                <a:pos x="1876635" y="729469"/>
                              </a:cxn>
                              <a:cxn ang="0">
                                <a:pos x="1824591" y="783619"/>
                              </a:cxn>
                              <a:cxn ang="0">
                                <a:pos x="1749918" y="878382"/>
                              </a:cxn>
                              <a:cxn ang="0">
                                <a:pos x="1731816" y="903201"/>
                              </a:cxn>
                              <a:cxn ang="0">
                                <a:pos x="1715977" y="968633"/>
                              </a:cxn>
                              <a:cxn ang="0">
                                <a:pos x="1709188" y="1011502"/>
                              </a:cxn>
                              <a:cxn ang="0">
                                <a:pos x="1713714" y="1049859"/>
                              </a:cxn>
                              <a:cxn ang="0">
                                <a:pos x="1727291" y="1083703"/>
                              </a:cxn>
                              <a:cxn ang="0">
                                <a:pos x="1745393" y="1110778"/>
                              </a:cxn>
                              <a:cxn ang="0">
                                <a:pos x="1752181" y="1137853"/>
                              </a:cxn>
                              <a:cxn ang="0">
                                <a:pos x="1754444" y="1160415"/>
                              </a:cxn>
                              <a:cxn ang="0">
                                <a:pos x="1820065" y="1225847"/>
                              </a:cxn>
                              <a:cxn ang="0">
                                <a:pos x="1840430" y="1261947"/>
                              </a:cxn>
                              <a:cxn ang="0">
                                <a:pos x="1842693" y="1268716"/>
                              </a:cxn>
                              <a:cxn ang="0">
                                <a:pos x="1844956" y="1273229"/>
                              </a:cxn>
                              <a:cxn ang="0">
                                <a:pos x="1835905" y="1298048"/>
                              </a:cxn>
                              <a:cxn ang="0">
                                <a:pos x="1761232" y="1372504"/>
                              </a:cxn>
                              <a:cxn ang="0">
                                <a:pos x="1677509" y="1422142"/>
                              </a:cxn>
                              <a:cxn ang="0">
                                <a:pos x="1645830" y="1453730"/>
                              </a:cxn>
                              <a:cxn ang="0">
                                <a:pos x="1625465" y="1465011"/>
                              </a:cxn>
                              <a:cxn ang="0">
                                <a:pos x="1607363" y="1462755"/>
                              </a:cxn>
                              <a:cxn ang="0">
                                <a:pos x="1451230" y="1426655"/>
                              </a:cxn>
                              <a:cxn ang="0">
                                <a:pos x="1342616" y="1406348"/>
                              </a:cxn>
                              <a:cxn ang="0">
                                <a:pos x="1333565" y="1401836"/>
                              </a:cxn>
                              <a:cxn ang="0">
                                <a:pos x="1301886" y="1401836"/>
                              </a:cxn>
                              <a:cxn ang="0">
                                <a:pos x="1222688" y="1372504"/>
                              </a:cxn>
                              <a:cxn ang="0">
                                <a:pos x="1021300" y="1325123"/>
                              </a:cxn>
                              <a:cxn ang="0">
                                <a:pos x="1005460" y="1320610"/>
                              </a:cxn>
                              <a:cxn ang="0">
                                <a:pos x="996409" y="1316098"/>
                              </a:cxn>
                              <a:cxn ang="0">
                                <a:pos x="987358" y="1313841"/>
                              </a:cxn>
                              <a:cxn ang="0">
                                <a:pos x="982833" y="1313841"/>
                              </a:cxn>
                              <a:cxn ang="0">
                                <a:pos x="998672" y="1275485"/>
                              </a:cxn>
                              <a:cxn ang="0">
                                <a:pos x="1003198" y="1257435"/>
                              </a:cxn>
                              <a:cxn ang="0">
                                <a:pos x="1003198" y="1248410"/>
                              </a:cxn>
                              <a:cxn ang="0">
                                <a:pos x="976044" y="1246154"/>
                              </a:cxn>
                              <a:cxn ang="0">
                                <a:pos x="806335" y="1203285"/>
                              </a:cxn>
                              <a:cxn ang="0">
                                <a:pos x="677356" y="1176209"/>
                              </a:cxn>
                              <a:cxn ang="0">
                                <a:pos x="607209" y="1167184"/>
                              </a:cxn>
                              <a:cxn ang="0">
                                <a:pos x="586844" y="1167184"/>
                              </a:cxn>
                              <a:cxn ang="0">
                                <a:pos x="550640" y="1167184"/>
                              </a:cxn>
                              <a:cxn ang="0">
                                <a:pos x="530274" y="1173953"/>
                              </a:cxn>
                              <a:cxn ang="0">
                                <a:pos x="514435" y="1167184"/>
                              </a:cxn>
                              <a:cxn ang="0">
                                <a:pos x="496333" y="1126572"/>
                              </a:cxn>
                              <a:cxn ang="0">
                                <a:pos x="466916" y="1072421"/>
                              </a:cxn>
                              <a:cxn ang="0">
                                <a:pos x="453340" y="1056627"/>
                              </a:cxn>
                              <a:cxn ang="0">
                                <a:pos x="446551" y="1052115"/>
                              </a:cxn>
                              <a:cxn ang="0">
                                <a:pos x="387719" y="1047602"/>
                              </a:cxn>
                              <a:cxn ang="0">
                                <a:pos x="362828" y="1043090"/>
                              </a:cxn>
                              <a:cxn ang="0">
                                <a:pos x="351514" y="1036321"/>
                              </a:cxn>
                              <a:cxn ang="0">
                                <a:pos x="349251" y="1022783"/>
                              </a:cxn>
                              <a:cxn ang="0">
                                <a:pos x="344726" y="1013758"/>
                              </a:cxn>
                              <a:cxn ang="0">
                                <a:pos x="308521" y="1006990"/>
                              </a:cxn>
                              <a:cxn ang="0">
                                <a:pos x="299470" y="995708"/>
                              </a:cxn>
                              <a:cxn ang="0">
                                <a:pos x="308521" y="975402"/>
                              </a:cxn>
                              <a:cxn ang="0">
                                <a:pos x="342465" y="878400"/>
                              </a:cxn>
                              <a:cxn ang="0">
                                <a:pos x="344726" y="853564"/>
                              </a:cxn>
                              <a:cxn ang="0">
                                <a:pos x="353777" y="835513"/>
                              </a:cxn>
                              <a:cxn ang="0">
                                <a:pos x="333412" y="817463"/>
                              </a:cxn>
                              <a:cxn ang="0">
                                <a:pos x="215747" y="704650"/>
                              </a:cxn>
                              <a:cxn ang="0">
                                <a:pos x="172755" y="675332"/>
                              </a:cxn>
                              <a:cxn ang="0">
                                <a:pos x="154651" y="657269"/>
                              </a:cxn>
                              <a:cxn ang="0">
                                <a:pos x="118447" y="625681"/>
                              </a:cxn>
                              <a:cxn ang="0">
                                <a:pos x="98081" y="605375"/>
                              </a:cxn>
                              <a:cxn ang="0">
                                <a:pos x="79982" y="593316"/>
                              </a:cxn>
                              <a:cxn ang="0">
                                <a:pos x="3620" y="579879"/>
                              </a:cxn>
                              <a:cxn ang="0">
                                <a:pos x="19368" y="521921"/>
                              </a:cxn>
                              <a:cxn ang="0">
                                <a:pos x="59617" y="465505"/>
                              </a:cxn>
                            </a:cxnLst>
                            <a:rect l="0" t="0" r="0" b="0"/>
                            <a:pathLst>
                              <a:path w="13004719" h="8256544">
                                <a:moveTo>
                                  <a:pt x="334605" y="2620225"/>
                                </a:moveTo>
                                <a:cubicBezTo>
                                  <a:pt x="602968" y="2213799"/>
                                  <a:pt x="1443664" y="912635"/>
                                  <a:pt x="1718886" y="499216"/>
                                </a:cubicBezTo>
                                <a:cubicBezTo>
                                  <a:pt x="1994108" y="85797"/>
                                  <a:pt x="1914923" y="270970"/>
                                  <a:pt x="1985936" y="139713"/>
                                </a:cubicBezTo>
                                <a:cubicBezTo>
                                  <a:pt x="2056949" y="8456"/>
                                  <a:pt x="2984627" y="92819"/>
                                  <a:pt x="2984627" y="92819"/>
                                </a:cubicBezTo>
                                <a:lnTo>
                                  <a:pt x="6379786" y="16616"/>
                                </a:lnTo>
                                <a:lnTo>
                                  <a:pt x="8297551" y="1516"/>
                                </a:lnTo>
                                <a:cubicBezTo>
                                  <a:pt x="8659501" y="1516"/>
                                  <a:pt x="8488430" y="-7068"/>
                                  <a:pt x="8551486" y="16616"/>
                                </a:cubicBezTo>
                                <a:cubicBezTo>
                                  <a:pt x="8614542" y="40300"/>
                                  <a:pt x="8652607" y="116102"/>
                                  <a:pt x="8675890" y="143619"/>
                                </a:cubicBezTo>
                                <a:cubicBezTo>
                                  <a:pt x="8699173" y="171136"/>
                                  <a:pt x="8659003" y="160550"/>
                                  <a:pt x="8691186" y="181716"/>
                                </a:cubicBezTo>
                                <a:cubicBezTo>
                                  <a:pt x="8723369" y="202882"/>
                                  <a:pt x="8797019" y="224049"/>
                                  <a:pt x="8868986" y="270616"/>
                                </a:cubicBezTo>
                                <a:cubicBezTo>
                                  <a:pt x="8940953" y="317183"/>
                                  <a:pt x="9051019" y="408199"/>
                                  <a:pt x="9122986" y="461116"/>
                                </a:cubicBezTo>
                                <a:cubicBezTo>
                                  <a:pt x="9194953" y="514033"/>
                                  <a:pt x="9254220" y="554249"/>
                                  <a:pt x="9300786" y="588116"/>
                                </a:cubicBezTo>
                                <a:cubicBezTo>
                                  <a:pt x="9347352" y="621983"/>
                                  <a:pt x="9381219" y="641033"/>
                                  <a:pt x="9402386" y="664316"/>
                                </a:cubicBezTo>
                                <a:cubicBezTo>
                                  <a:pt x="9423553" y="687599"/>
                                  <a:pt x="9419319" y="698183"/>
                                  <a:pt x="9427786" y="727816"/>
                                </a:cubicBezTo>
                                <a:cubicBezTo>
                                  <a:pt x="9436253" y="757449"/>
                                  <a:pt x="9440486" y="789199"/>
                                  <a:pt x="9453186" y="842116"/>
                                </a:cubicBezTo>
                                <a:cubicBezTo>
                                  <a:pt x="9465886" y="895033"/>
                                  <a:pt x="9487053" y="994516"/>
                                  <a:pt x="9503986" y="1045316"/>
                                </a:cubicBezTo>
                                <a:cubicBezTo>
                                  <a:pt x="9520919" y="1096116"/>
                                  <a:pt x="9531503" y="1123633"/>
                                  <a:pt x="9554786" y="1146916"/>
                                </a:cubicBezTo>
                                <a:cubicBezTo>
                                  <a:pt x="9578069" y="1170199"/>
                                  <a:pt x="9607703" y="1170199"/>
                                  <a:pt x="9643686" y="1185016"/>
                                </a:cubicBezTo>
                                <a:cubicBezTo>
                                  <a:pt x="9679669" y="1199833"/>
                                  <a:pt x="9741053" y="1225233"/>
                                  <a:pt x="9770686" y="1235816"/>
                                </a:cubicBezTo>
                                <a:cubicBezTo>
                                  <a:pt x="9800319" y="1246399"/>
                                  <a:pt x="9804553" y="1231583"/>
                                  <a:pt x="9821486" y="1248516"/>
                                </a:cubicBezTo>
                                <a:cubicBezTo>
                                  <a:pt x="9838419" y="1265449"/>
                                  <a:pt x="9861703" y="1305666"/>
                                  <a:pt x="9872286" y="1337416"/>
                                </a:cubicBezTo>
                                <a:cubicBezTo>
                                  <a:pt x="9882869" y="1369166"/>
                                  <a:pt x="9876519" y="1415733"/>
                                  <a:pt x="9884986" y="1439016"/>
                                </a:cubicBezTo>
                                <a:cubicBezTo>
                                  <a:pt x="9893453" y="1462299"/>
                                  <a:pt x="9889219" y="1462299"/>
                                  <a:pt x="9923086" y="1477116"/>
                                </a:cubicBezTo>
                                <a:cubicBezTo>
                                  <a:pt x="9956953" y="1491933"/>
                                  <a:pt x="10052203" y="1515216"/>
                                  <a:pt x="10088186" y="1527916"/>
                                </a:cubicBezTo>
                                <a:cubicBezTo>
                                  <a:pt x="10124169" y="1540616"/>
                                  <a:pt x="10124169" y="1542733"/>
                                  <a:pt x="10138986" y="1553316"/>
                                </a:cubicBezTo>
                                <a:cubicBezTo>
                                  <a:pt x="10153803" y="1563899"/>
                                  <a:pt x="10174969" y="1553316"/>
                                  <a:pt x="10177086" y="1591416"/>
                                </a:cubicBezTo>
                                <a:cubicBezTo>
                                  <a:pt x="10179203" y="1629516"/>
                                  <a:pt x="10155919" y="1703599"/>
                                  <a:pt x="10151686" y="1781916"/>
                                </a:cubicBezTo>
                                <a:cubicBezTo>
                                  <a:pt x="10147453" y="1860233"/>
                                  <a:pt x="10155919" y="1993583"/>
                                  <a:pt x="10151686" y="2061316"/>
                                </a:cubicBezTo>
                                <a:cubicBezTo>
                                  <a:pt x="10147453" y="2129049"/>
                                  <a:pt x="10128403" y="2165033"/>
                                  <a:pt x="10126286" y="2188316"/>
                                </a:cubicBezTo>
                                <a:cubicBezTo>
                                  <a:pt x="10124169" y="2211599"/>
                                  <a:pt x="10045853" y="2217949"/>
                                  <a:pt x="10138986" y="2201016"/>
                                </a:cubicBezTo>
                                <a:cubicBezTo>
                                  <a:pt x="10232119" y="2184083"/>
                                  <a:pt x="10335820" y="2142392"/>
                                  <a:pt x="10685086" y="2086716"/>
                                </a:cubicBezTo>
                                <a:cubicBezTo>
                                  <a:pt x="11034352" y="2031040"/>
                                  <a:pt x="11942481" y="1907179"/>
                                  <a:pt x="12234581" y="1866962"/>
                                </a:cubicBezTo>
                                <a:cubicBezTo>
                                  <a:pt x="12526681" y="1826745"/>
                                  <a:pt x="12386902" y="1836307"/>
                                  <a:pt x="12437686" y="1845416"/>
                                </a:cubicBezTo>
                                <a:cubicBezTo>
                                  <a:pt x="12488470" y="1854525"/>
                                  <a:pt x="12486369" y="1872933"/>
                                  <a:pt x="12539286" y="1921616"/>
                                </a:cubicBezTo>
                                <a:cubicBezTo>
                                  <a:pt x="12592203" y="1970299"/>
                                  <a:pt x="12695919" y="2084599"/>
                                  <a:pt x="12755186" y="2137516"/>
                                </a:cubicBezTo>
                                <a:cubicBezTo>
                                  <a:pt x="12814453" y="2190433"/>
                                  <a:pt x="12865253" y="2215833"/>
                                  <a:pt x="12894886" y="2239116"/>
                                </a:cubicBezTo>
                                <a:cubicBezTo>
                                  <a:pt x="12924519" y="2262399"/>
                                  <a:pt x="12932986" y="2277216"/>
                                  <a:pt x="12932986" y="2277216"/>
                                </a:cubicBezTo>
                                <a:lnTo>
                                  <a:pt x="12958386" y="2302616"/>
                                </a:lnTo>
                                <a:cubicBezTo>
                                  <a:pt x="12968969" y="2313199"/>
                                  <a:pt x="12990136" y="2330133"/>
                                  <a:pt x="12996486" y="2340716"/>
                                </a:cubicBezTo>
                                <a:cubicBezTo>
                                  <a:pt x="13002836" y="2351299"/>
                                  <a:pt x="13011303" y="2351299"/>
                                  <a:pt x="12996486" y="2366116"/>
                                </a:cubicBezTo>
                                <a:cubicBezTo>
                                  <a:pt x="12981669" y="2380933"/>
                                  <a:pt x="12964736" y="2402099"/>
                                  <a:pt x="12907586" y="2429616"/>
                                </a:cubicBezTo>
                                <a:cubicBezTo>
                                  <a:pt x="12850436" y="2457133"/>
                                  <a:pt x="12712853" y="2503699"/>
                                  <a:pt x="12653586" y="2531216"/>
                                </a:cubicBezTo>
                                <a:cubicBezTo>
                                  <a:pt x="12594319" y="2558733"/>
                                  <a:pt x="12626069" y="2543916"/>
                                  <a:pt x="12551986" y="2594716"/>
                                </a:cubicBezTo>
                                <a:cubicBezTo>
                                  <a:pt x="12477903" y="2645516"/>
                                  <a:pt x="12295869" y="2768283"/>
                                  <a:pt x="12209086" y="2836016"/>
                                </a:cubicBezTo>
                                <a:cubicBezTo>
                                  <a:pt x="12122303" y="2903749"/>
                                  <a:pt x="12094786" y="2954549"/>
                                  <a:pt x="12031286" y="3001116"/>
                                </a:cubicBezTo>
                                <a:cubicBezTo>
                                  <a:pt x="11967786" y="3047683"/>
                                  <a:pt x="11874653" y="3083666"/>
                                  <a:pt x="11828086" y="3115416"/>
                                </a:cubicBezTo>
                                <a:cubicBezTo>
                                  <a:pt x="11781519" y="3147166"/>
                                  <a:pt x="11811153" y="3157749"/>
                                  <a:pt x="11751886" y="3191616"/>
                                </a:cubicBezTo>
                                <a:cubicBezTo>
                                  <a:pt x="11692619" y="3225483"/>
                                  <a:pt x="11552919" y="3274166"/>
                                  <a:pt x="11472486" y="3318616"/>
                                </a:cubicBezTo>
                                <a:cubicBezTo>
                                  <a:pt x="11392053" y="3363066"/>
                                  <a:pt x="11328553" y="3418099"/>
                                  <a:pt x="11269286" y="3458316"/>
                                </a:cubicBezTo>
                                <a:cubicBezTo>
                                  <a:pt x="11210019" y="3498533"/>
                                  <a:pt x="11159219" y="3521816"/>
                                  <a:pt x="11116886" y="3559916"/>
                                </a:cubicBezTo>
                                <a:cubicBezTo>
                                  <a:pt x="11074553" y="3598016"/>
                                  <a:pt x="11057619" y="3640349"/>
                                  <a:pt x="11015286" y="3686916"/>
                                </a:cubicBezTo>
                                <a:cubicBezTo>
                                  <a:pt x="10972953" y="3733483"/>
                                  <a:pt x="10920036" y="3790633"/>
                                  <a:pt x="10862886" y="3839316"/>
                                </a:cubicBezTo>
                                <a:cubicBezTo>
                                  <a:pt x="10805736" y="3887999"/>
                                  <a:pt x="10727419" y="3934566"/>
                                  <a:pt x="10672386" y="3979016"/>
                                </a:cubicBezTo>
                                <a:cubicBezTo>
                                  <a:pt x="10617353" y="4023466"/>
                                  <a:pt x="10604653" y="4034049"/>
                                  <a:pt x="10532686" y="4106016"/>
                                </a:cubicBezTo>
                                <a:cubicBezTo>
                                  <a:pt x="10460719" y="4177983"/>
                                  <a:pt x="10359119" y="4271116"/>
                                  <a:pt x="10240586" y="4410816"/>
                                </a:cubicBezTo>
                                <a:cubicBezTo>
                                  <a:pt x="10122053" y="4550516"/>
                                  <a:pt x="9908269" y="4832033"/>
                                  <a:pt x="9821486" y="4944216"/>
                                </a:cubicBezTo>
                                <a:cubicBezTo>
                                  <a:pt x="9734703" y="5056399"/>
                                  <a:pt x="9751636" y="4999249"/>
                                  <a:pt x="9719886" y="5083916"/>
                                </a:cubicBezTo>
                                <a:cubicBezTo>
                                  <a:pt x="9688136" y="5168583"/>
                                  <a:pt x="9652153" y="5350616"/>
                                  <a:pt x="9630986" y="5452216"/>
                                </a:cubicBezTo>
                                <a:cubicBezTo>
                                  <a:pt x="9609819" y="5553816"/>
                                  <a:pt x="9595003" y="5617316"/>
                                  <a:pt x="9592886" y="5693516"/>
                                </a:cubicBezTo>
                                <a:cubicBezTo>
                                  <a:pt x="9590769" y="5769716"/>
                                  <a:pt x="9601353" y="5841683"/>
                                  <a:pt x="9618286" y="5909416"/>
                                </a:cubicBezTo>
                                <a:cubicBezTo>
                                  <a:pt x="9635219" y="5977149"/>
                                  <a:pt x="9664853" y="6042766"/>
                                  <a:pt x="9694486" y="6099916"/>
                                </a:cubicBezTo>
                                <a:cubicBezTo>
                                  <a:pt x="9724119" y="6157066"/>
                                  <a:pt x="9772803" y="6201516"/>
                                  <a:pt x="9796086" y="6252316"/>
                                </a:cubicBezTo>
                                <a:cubicBezTo>
                                  <a:pt x="9819369" y="6303116"/>
                                  <a:pt x="9825719" y="6358149"/>
                                  <a:pt x="9834186" y="6404716"/>
                                </a:cubicBezTo>
                                <a:cubicBezTo>
                                  <a:pt x="9842653" y="6451283"/>
                                  <a:pt x="9783386" y="6449166"/>
                                  <a:pt x="9846886" y="6531716"/>
                                </a:cubicBezTo>
                                <a:cubicBezTo>
                                  <a:pt x="9910386" y="6614266"/>
                                  <a:pt x="10134753" y="6804766"/>
                                  <a:pt x="10215186" y="6900016"/>
                                </a:cubicBezTo>
                                <a:cubicBezTo>
                                  <a:pt x="10295619" y="6995266"/>
                                  <a:pt x="10308319" y="7062999"/>
                                  <a:pt x="10329486" y="7103216"/>
                                </a:cubicBezTo>
                                <a:cubicBezTo>
                                  <a:pt x="10350653" y="7143433"/>
                                  <a:pt x="10337953" y="7130733"/>
                                  <a:pt x="10342186" y="7141316"/>
                                </a:cubicBezTo>
                                <a:cubicBezTo>
                                  <a:pt x="10346419" y="7151899"/>
                                  <a:pt x="10361236" y="7139199"/>
                                  <a:pt x="10354886" y="7166716"/>
                                </a:cubicBezTo>
                                <a:cubicBezTo>
                                  <a:pt x="10348536" y="7194233"/>
                                  <a:pt x="10382403" y="7213283"/>
                                  <a:pt x="10304086" y="7306416"/>
                                </a:cubicBezTo>
                                <a:cubicBezTo>
                                  <a:pt x="10225769" y="7399549"/>
                                  <a:pt x="10033153" y="7609099"/>
                                  <a:pt x="9884986" y="7725516"/>
                                </a:cubicBezTo>
                                <a:cubicBezTo>
                                  <a:pt x="9736819" y="7841933"/>
                                  <a:pt x="9523036" y="7928716"/>
                                  <a:pt x="9415086" y="8004916"/>
                                </a:cubicBezTo>
                                <a:cubicBezTo>
                                  <a:pt x="9307136" y="8081116"/>
                                  <a:pt x="9285969" y="8142499"/>
                                  <a:pt x="9237286" y="8182716"/>
                                </a:cubicBezTo>
                                <a:cubicBezTo>
                                  <a:pt x="9188603" y="8222933"/>
                                  <a:pt x="9158969" y="8237749"/>
                                  <a:pt x="9122986" y="8246216"/>
                                </a:cubicBezTo>
                                <a:cubicBezTo>
                                  <a:pt x="9087003" y="8254683"/>
                                  <a:pt x="9184369" y="8269499"/>
                                  <a:pt x="9021386" y="8233516"/>
                                </a:cubicBezTo>
                                <a:cubicBezTo>
                                  <a:pt x="8858403" y="8197533"/>
                                  <a:pt x="8392736" y="8083233"/>
                                  <a:pt x="8145086" y="8030316"/>
                                </a:cubicBezTo>
                                <a:cubicBezTo>
                                  <a:pt x="7897436" y="7977399"/>
                                  <a:pt x="7645553" y="7939299"/>
                                  <a:pt x="7535486" y="7916016"/>
                                </a:cubicBezTo>
                                <a:cubicBezTo>
                                  <a:pt x="7425419" y="7892733"/>
                                  <a:pt x="7522786" y="7894849"/>
                                  <a:pt x="7484686" y="7890616"/>
                                </a:cubicBezTo>
                                <a:cubicBezTo>
                                  <a:pt x="7446586" y="7886383"/>
                                  <a:pt x="7410603" y="7918133"/>
                                  <a:pt x="7306886" y="7890616"/>
                                </a:cubicBezTo>
                                <a:cubicBezTo>
                                  <a:pt x="7203169" y="7863099"/>
                                  <a:pt x="7124853" y="7797483"/>
                                  <a:pt x="6862386" y="7725516"/>
                                </a:cubicBezTo>
                                <a:cubicBezTo>
                                  <a:pt x="6599919" y="7653549"/>
                                  <a:pt x="5935286" y="7507499"/>
                                  <a:pt x="5732086" y="7458816"/>
                                </a:cubicBezTo>
                                <a:cubicBezTo>
                                  <a:pt x="5528886" y="7410133"/>
                                  <a:pt x="5666469" y="7441883"/>
                                  <a:pt x="5643186" y="7433416"/>
                                </a:cubicBezTo>
                                <a:cubicBezTo>
                                  <a:pt x="5619903" y="7424949"/>
                                  <a:pt x="5609319" y="7414366"/>
                                  <a:pt x="5592386" y="7408016"/>
                                </a:cubicBezTo>
                                <a:cubicBezTo>
                                  <a:pt x="5575453" y="7401666"/>
                                  <a:pt x="5554286" y="7397433"/>
                                  <a:pt x="5541586" y="7395316"/>
                                </a:cubicBezTo>
                                <a:cubicBezTo>
                                  <a:pt x="5528886" y="7393199"/>
                                  <a:pt x="5505603" y="7431299"/>
                                  <a:pt x="5516186" y="7395316"/>
                                </a:cubicBezTo>
                                <a:cubicBezTo>
                                  <a:pt x="5526769" y="7359333"/>
                                  <a:pt x="5586036" y="7232333"/>
                                  <a:pt x="5605086" y="7179416"/>
                                </a:cubicBezTo>
                                <a:cubicBezTo>
                                  <a:pt x="5624136" y="7126499"/>
                                  <a:pt x="5626253" y="7103216"/>
                                  <a:pt x="5630486" y="7077816"/>
                                </a:cubicBezTo>
                                <a:cubicBezTo>
                                  <a:pt x="5634719" y="7052416"/>
                                  <a:pt x="5655886" y="7037599"/>
                                  <a:pt x="5630486" y="7027016"/>
                                </a:cubicBezTo>
                                <a:cubicBezTo>
                                  <a:pt x="5605086" y="7016433"/>
                                  <a:pt x="5662236" y="7056649"/>
                                  <a:pt x="5478086" y="7014316"/>
                                </a:cubicBezTo>
                                <a:cubicBezTo>
                                  <a:pt x="5293936" y="6971983"/>
                                  <a:pt x="4804986" y="6838633"/>
                                  <a:pt x="4525586" y="6773016"/>
                                </a:cubicBezTo>
                                <a:cubicBezTo>
                                  <a:pt x="4246186" y="6707399"/>
                                  <a:pt x="3987953" y="6654483"/>
                                  <a:pt x="3801686" y="6620616"/>
                                </a:cubicBezTo>
                                <a:cubicBezTo>
                                  <a:pt x="3615419" y="6586749"/>
                                  <a:pt x="3492653" y="6578283"/>
                                  <a:pt x="3407986" y="6569816"/>
                                </a:cubicBezTo>
                                <a:cubicBezTo>
                                  <a:pt x="3323319" y="6561349"/>
                                  <a:pt x="3293686" y="6569816"/>
                                  <a:pt x="3293686" y="6569816"/>
                                </a:cubicBezTo>
                                <a:cubicBezTo>
                                  <a:pt x="3240769" y="6569816"/>
                                  <a:pt x="3143403" y="6563466"/>
                                  <a:pt x="3090486" y="6569816"/>
                                </a:cubicBezTo>
                                <a:cubicBezTo>
                                  <a:pt x="3037569" y="6576166"/>
                                  <a:pt x="3010053" y="6607916"/>
                                  <a:pt x="2976186" y="6607916"/>
                                </a:cubicBezTo>
                                <a:cubicBezTo>
                                  <a:pt x="2942319" y="6607916"/>
                                  <a:pt x="2919036" y="6614266"/>
                                  <a:pt x="2887286" y="6569816"/>
                                </a:cubicBezTo>
                                <a:cubicBezTo>
                                  <a:pt x="2855536" y="6525366"/>
                                  <a:pt x="2830136" y="6430116"/>
                                  <a:pt x="2785686" y="6341216"/>
                                </a:cubicBezTo>
                                <a:cubicBezTo>
                                  <a:pt x="2741236" y="6252316"/>
                                  <a:pt x="2660803" y="6102033"/>
                                  <a:pt x="2620586" y="6036416"/>
                                </a:cubicBezTo>
                                <a:cubicBezTo>
                                  <a:pt x="2580369" y="5970799"/>
                                  <a:pt x="2563436" y="5966566"/>
                                  <a:pt x="2544386" y="5947516"/>
                                </a:cubicBezTo>
                                <a:cubicBezTo>
                                  <a:pt x="2525336" y="5928466"/>
                                  <a:pt x="2567669" y="5930583"/>
                                  <a:pt x="2506286" y="5922116"/>
                                </a:cubicBezTo>
                                <a:cubicBezTo>
                                  <a:pt x="2444903" y="5913649"/>
                                  <a:pt x="2254403" y="5905183"/>
                                  <a:pt x="2176086" y="5896716"/>
                                </a:cubicBezTo>
                                <a:cubicBezTo>
                                  <a:pt x="2097769" y="5888249"/>
                                  <a:pt x="2070253" y="5881899"/>
                                  <a:pt x="2036386" y="5871316"/>
                                </a:cubicBezTo>
                                <a:cubicBezTo>
                                  <a:pt x="2002519" y="5860733"/>
                                  <a:pt x="1985586" y="5852266"/>
                                  <a:pt x="1972886" y="5833216"/>
                                </a:cubicBezTo>
                                <a:cubicBezTo>
                                  <a:pt x="1960186" y="5814166"/>
                                  <a:pt x="1966536" y="5778183"/>
                                  <a:pt x="1960186" y="5757016"/>
                                </a:cubicBezTo>
                                <a:cubicBezTo>
                                  <a:pt x="1953836" y="5735849"/>
                                  <a:pt x="1972886" y="5721033"/>
                                  <a:pt x="1934786" y="5706216"/>
                                </a:cubicBezTo>
                                <a:cubicBezTo>
                                  <a:pt x="1896686" y="5691399"/>
                                  <a:pt x="1773919" y="5685049"/>
                                  <a:pt x="1731586" y="5668116"/>
                                </a:cubicBezTo>
                                <a:cubicBezTo>
                                  <a:pt x="1689253" y="5651183"/>
                                  <a:pt x="1680786" y="5634249"/>
                                  <a:pt x="1680786" y="5604616"/>
                                </a:cubicBezTo>
                                <a:cubicBezTo>
                                  <a:pt x="1680786" y="5574983"/>
                                  <a:pt x="1691367" y="5600366"/>
                                  <a:pt x="1731586" y="5490316"/>
                                </a:cubicBezTo>
                                <a:cubicBezTo>
                                  <a:pt x="1771805" y="5380266"/>
                                  <a:pt x="1888234" y="5058617"/>
                                  <a:pt x="1922101" y="4944317"/>
                                </a:cubicBezTo>
                                <a:cubicBezTo>
                                  <a:pt x="1955968" y="4830017"/>
                                  <a:pt x="1924205" y="4844750"/>
                                  <a:pt x="1934786" y="4804516"/>
                                </a:cubicBezTo>
                                <a:cubicBezTo>
                                  <a:pt x="1945367" y="4764282"/>
                                  <a:pt x="1996169" y="4736783"/>
                                  <a:pt x="1985586" y="4702916"/>
                                </a:cubicBezTo>
                                <a:cubicBezTo>
                                  <a:pt x="1975003" y="4669049"/>
                                  <a:pt x="2000402" y="4724082"/>
                                  <a:pt x="1871286" y="4601316"/>
                                </a:cubicBezTo>
                                <a:cubicBezTo>
                                  <a:pt x="1742170" y="4478550"/>
                                  <a:pt x="1361168" y="4099653"/>
                                  <a:pt x="1210886" y="3966316"/>
                                </a:cubicBezTo>
                                <a:cubicBezTo>
                                  <a:pt x="1060604" y="3832979"/>
                                  <a:pt x="1026745" y="3845744"/>
                                  <a:pt x="969594" y="3801293"/>
                                </a:cubicBezTo>
                                <a:cubicBezTo>
                                  <a:pt x="912443" y="3756842"/>
                                  <a:pt x="918787" y="3746195"/>
                                  <a:pt x="867986" y="3699616"/>
                                </a:cubicBezTo>
                                <a:cubicBezTo>
                                  <a:pt x="817185" y="3653037"/>
                                  <a:pt x="717703" y="3570499"/>
                                  <a:pt x="664786" y="3521816"/>
                                </a:cubicBezTo>
                                <a:cubicBezTo>
                                  <a:pt x="611869" y="3473133"/>
                                  <a:pt x="586467" y="3437879"/>
                                  <a:pt x="550486" y="3407516"/>
                                </a:cubicBezTo>
                                <a:cubicBezTo>
                                  <a:pt x="514505" y="3377153"/>
                                  <a:pt x="537263" y="3363557"/>
                                  <a:pt x="448902" y="3339639"/>
                                </a:cubicBezTo>
                                <a:cubicBezTo>
                                  <a:pt x="360541" y="3315721"/>
                                  <a:pt x="96072" y="3278194"/>
                                  <a:pt x="20319" y="3264008"/>
                                </a:cubicBezTo>
                                <a:cubicBezTo>
                                  <a:pt x="-42730" y="3211831"/>
                                  <a:pt x="56325" y="3045072"/>
                                  <a:pt x="108706" y="2937775"/>
                                </a:cubicBezTo>
                                <a:cubicBezTo>
                                  <a:pt x="161087" y="2830478"/>
                                  <a:pt x="66242" y="3026651"/>
                                  <a:pt x="334605" y="2620225"/>
                                </a:cubicBezTo>
                                <a:close/>
                              </a:path>
                            </a:pathLst>
                          </a:custGeom>
                          <a:solidFill>
                            <a:srgbClr val="FFFFFF"/>
                          </a:solidFill>
                          <a:ln w="25400" cap="flat" cmpd="sng">
                            <a:solidFill>
                              <a:srgbClr val="FF0000"/>
                            </a:solidFill>
                            <a:prstDash val="solid"/>
                            <a:headEnd type="none" w="med" len="med"/>
                            <a:tailEnd type="none" w="med" len="med"/>
                          </a:ln>
                          <a:effectLst/>
                        </wps:spPr>
                        <wps:bodyPr upright="1"/>
                      </wps:wsp>
                    </wpg:wgp>
                  </a:graphicData>
                </a:graphic>
              </wp:anchor>
            </w:drawing>
          </mc:Choice>
          <mc:Fallback>
            <w:pict>
              <v:group id="_x0000_s1026" o:spid="_x0000_s1026" o:spt="203" style="position:absolute;left:0pt;margin-left:921.8pt;margin-top:533.2pt;height:151.35pt;width:144.75pt;z-index:251665408;mso-width-relative:page;mso-height-relative:page;" coordorigin="19854,12195" coordsize="2895,3027" o:gfxdata="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">
                <o:lock v:ext="edit" aspectratio="f"/>
                <v:group id="_x0000_s1026" o:spid="_x0000_s1026" o:spt="203" style="position:absolute;left:19854;top:12195;height:3027;width:2895;" coordorigin="18225,12345" coordsize="2895,3027"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group id="_x0000_s1026" o:spid="_x0000_s1026" o:spt="203" style="position:absolute;left:18225;top:12345;height:3027;width:2895;" coordorigin="17730,11925" coordsize="2415,3027" o:gfxdata="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TWXFr0AAADbAAAADwAAAAAAAAABACAAAAAiAAAAZHJzL2Rvd25yZXYueG1s&#10;UEsBAhQAFAAAAAgAh07iQDMvBZ47AAAAOQAAABUAAAAAAAAAAQAgAAAADAEAAGRycy9ncm91cHNo&#10;YXBleG1sLnhtbFBLBQYAAAAABgAGAGABAADJAwAAAAA=&#10;">
                    <o:lock v:ext="edit" aspectratio="f"/>
                    <v:rect id="_x0000_s1026" o:spid="_x0000_s1026" o:spt="1" style="position:absolute;left:17730;top:11925;height:3027;width:2415;" fillcolor="#FFFFFF" filled="t" stroked="t" coordsize="21600,21600" o:gfxdata="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523I7sAAADa&#10;AAAADwAAAAAAAAABACAAAAAiAAAAZHJzL2Rvd25yZXYueG1sUEsBAhQAFAAAAAgAh07iQDMvBZ47&#10;AAAAOQAAABAAAAAAAAAAAQAgAAAACgEAAGRycy9zaGFwZXhtbC54bWxQSwUGAAAAAAYABgBbAQAA&#10;tAMAAAAA&#10;">
                      <v:fill on="t" focussize="0,0"/>
                      <v:stroke weight="0.5pt" color="#000000" joinstyle="miter"/>
                      <v:imagedata o:title=""/>
                      <o:lock v:ext="edit" aspectratio="f"/>
                      <v:textbox>
                        <w:txbxContent>
                          <w:p>
                            <w:pPr>
                              <w:spacing w:line="360" w:lineRule="auto"/>
                              <w:jc w:val="center"/>
                              <w:rPr>
                                <w:b/>
                                <w:sz w:val="24"/>
                              </w:rPr>
                            </w:pPr>
                            <w:r>
                              <w:rPr>
                                <w:rFonts w:hint="eastAsia"/>
                                <w:b/>
                                <w:sz w:val="24"/>
                              </w:rPr>
                              <w:t>图例</w:t>
                            </w:r>
                          </w:p>
                          <w:p>
                            <w:pPr>
                              <w:spacing w:line="360" w:lineRule="auto"/>
                              <w:ind w:firstLine="420" w:firstLineChars="200"/>
                            </w:pPr>
                            <w:r>
                              <w:rPr>
                                <w:rFonts w:hint="eastAsia"/>
                              </w:rPr>
                              <w:t>项目用地范围</w:t>
                            </w:r>
                          </w:p>
                          <w:p>
                            <w:pPr>
                              <w:spacing w:line="360" w:lineRule="auto"/>
                              <w:ind w:firstLine="420" w:firstLineChars="200"/>
                            </w:pPr>
                            <w:r>
                              <w:rPr>
                                <w:rFonts w:hint="eastAsia"/>
                              </w:rPr>
                              <w:t>大气、风险环评范围</w:t>
                            </w:r>
                          </w:p>
                          <w:p>
                            <w:pPr>
                              <w:spacing w:line="360" w:lineRule="auto"/>
                              <w:ind w:firstLine="420" w:firstLineChars="200"/>
                            </w:pPr>
                            <w:r>
                              <w:rPr>
                                <w:rFonts w:hint="eastAsia"/>
                              </w:rPr>
                              <w:t>地表水评价范围</w:t>
                            </w:r>
                          </w:p>
                          <w:p>
                            <w:pPr>
                              <w:spacing w:line="360" w:lineRule="auto"/>
                              <w:ind w:firstLine="420" w:firstLineChars="200"/>
                            </w:pPr>
                            <w:r>
                              <w:rPr>
                                <w:rFonts w:hint="eastAsia"/>
                              </w:rPr>
                              <w:t>声环境评价范围</w:t>
                            </w:r>
                          </w:p>
                          <w:p>
                            <w:pPr>
                              <w:spacing w:line="360" w:lineRule="auto"/>
                              <w:ind w:firstLine="420" w:firstLineChars="200"/>
                            </w:pPr>
                            <w:r>
                              <w:rPr>
                                <w:rFonts w:hint="eastAsia"/>
                              </w:rPr>
                              <w:t>地下水评价范围</w:t>
                            </w:r>
                          </w:p>
                        </w:txbxContent>
                      </v:textbox>
                    </v:rect>
                    <v:group id="_x0000_s1026" o:spid="_x0000_s1026" o:spt="203" style="position:absolute;left:17835;top:12525;height:1845;width:390;" coordorigin="12570,7920" coordsize="390,1845" o:gfxdata="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LcD2K7AAAA2wAAAA8AAAAAAAAAAQAgAAAAIgAAAGRycy9kb3ducmV2LnhtbFBL&#10;AQIUABQAAAAIAIdO4kAzLwWeOwAAADkAAAAVAAAAAAAAAAEAIAAAAAoBAABkcnMvZ3JvdXBzaGFw&#10;ZXhtbC54bWxQSwUGAAAAAAYABgBgAQAAxwMAAAAA&#10;">
                      <o:lock v:ext="edit" aspectratio="f"/>
                      <v:shape id="_x0000_s1026" o:spid="_x0000_s1026" o:spt="100" style="position:absolute;left:12570;top:7920;height:285;width:360;" filled="f" stroked="t" coordsize="885,525" o:gfxdata="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F86GtwAAANoAAAAP&#10;AAAAAAAAAAEAIAAAACIAAABkcnMvZG93bnJldi54bWxQSwECFAAUAAAACACHTuJAMy8FnjsAAAA5&#10;AAAAEAAAAAAAAAABACAAAAAGAQAAZHJzL3NoYXBleG1sLnhtbFBLBQYAAAAABgAGAFsBAACwAwAA&#10;AAA=&#10;" path="m0,0l75,375,375,345,420,525,885,135,825,0,0,0xe">
                        <v:path o:connectlocs="0,0;19373,129268;96864,118926;108488,180975;228600,46536;213102,0;0,0" o:connectangles="0,0,0,0,0,0,0"/>
                        <v:fill on="f" focussize="0,0"/>
                        <v:stroke weight="1.25pt" color="#FF0000" joinstyle="round"/>
                        <v:imagedata o:title=""/>
                        <o:lock v:ext="edit" aspectratio="f"/>
                      </v:shape>
                      <v:shape id="_x0000_s1026" o:spid="_x0000_s1026" o:spt="3" type="#_x0000_t3" style="position:absolute;left:12645;top:8325;height:240;width:210;" filled="f" stroked="t" coordsize="21600,21600" o:gfxdata="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pd2G8AAAA&#10;2gAAAA8AAAAAAAAAAQAgAAAAIgAAAGRycy9kb3ducmV2LnhtbFBLAQIUABQAAAAIAIdO4kAzLwWe&#10;OwAAADkAAAAQAAAAAAAAAAEAIAAAAAsBAABkcnMvc2hhcGV4bWwueG1sUEsFBgAAAAAGAAYAWwEA&#10;ALUDAAAAAA==&#10;">
                        <v:fill on="f" focussize="0,0"/>
                        <v:stroke weight="1.25pt" color="#0000FF" joinstyle="round"/>
                        <v:imagedata o:title=""/>
                        <o:lock v:ext="edit" aspectratio="f"/>
                      </v:shape>
                      <v:shape id="_x0000_s1026" o:spid="_x0000_s1026" o:spt="3" type="#_x0000_t3" style="position:absolute;left:12645;top:9525;height:240;width:210;" filled="f" stroked="t" coordsize="21600,21600" o:gfxdata="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YAiC/&#10;AAAA2wAAAA8AAAAAAAAAAQAgAAAAIgAAAGRycy9kb3ducmV2LnhtbFBLAQIUABQAAAAIAIdO4kAz&#10;LwWeOwAAADkAAAAQAAAAAAAAAAEAIAAAAA4BAABkcnMvc2hhcGV4bWwueG1sUEsFBgAAAAAGAAYA&#10;WwEAALgDAAAAAA==&#10;">
                        <v:fill on="f" focussize="0,0"/>
                        <v:stroke weight="1.25pt" color="#FF0000" joinstyle="round"/>
                        <v:imagedata o:title=""/>
                        <o:lock v:ext="edit" aspectratio="f"/>
                      </v:shape>
                      <v:shape id="_x0000_s1026" o:spid="_x0000_s1026" o:spt="100" style="position:absolute;left:12600;top:9090;height:285;width:360;" filled="f" stroked="t" coordsize="885,525" o:gfxdata="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wC7g7gAAADbAAAA&#10;DwAAAAAAAAABACAAAAAiAAAAZHJzL2Rvd25yZXYueG1sUEsBAhQAFAAAAAgAh07iQDMvBZ47AAAA&#10;OQAAABAAAAAAAAAAAQAgAAAABwEAAGRycy9zaGFwZXhtbC54bWxQSwUGAAAAAAYABgBbAQAAsQMA&#10;AAAA&#10;" path="m0,0l75,375,375,345,420,525,885,135,825,0,0,0xe">
                        <v:path o:connectlocs="0,0;19373,129268;96864,118926;108488,180975;228600,46536;213102,0;0,0" o:connectangles="0,0,0,0,0,0,0"/>
                        <v:fill on="f" focussize="0,0"/>
                        <v:stroke weight="1.25pt" color="#00B0F0" joinstyle="round"/>
                        <v:imagedata o:title=""/>
                        <o:lock v:ext="edit" aspectratio="f"/>
                      </v:shape>
                      <v:shape id="_x0000_s1026" o:spid="_x0000_s1026" o:spt="100" style="position:absolute;left:12600;top:8817;height:33;width:345;" filled="f" stroked="t" coordsize="345,33" o:gfxdata="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8CZy8AAAA&#10;2wAAAA8AAAAAAAAAAQAgAAAAIgAAAGRycy9kb3ducmV2LnhtbFBLAQIUABQAAAAIAIdO4kAzLwWe&#10;OwAAADkAAAAQAAAAAAAAAAEAIAAAAAsBAABkcnMvc2hhcGV4bWwueG1sUEsFBgAAAAAGAAYAWwEA&#10;ALUDAAAAAA==&#10;" path="m0,0c163,33,50,15,345,15e">
                        <v:path o:connectlocs="0,0;219075,9525" o:connectangles="0,0"/>
                        <v:fill on="f" focussize="0,0"/>
                        <v:stroke weight="3.5pt" color="#00B0F0" joinstyle="round"/>
                        <v:imagedata o:title=""/>
                        <o:lock v:ext="edit" aspectratio="f"/>
                      </v:shape>
                    </v:group>
                  </v:group>
                  <v:shape id="_x0000_s1026" o:spid="_x0000_s1026" o:spt="100" style="position:absolute;left:18294;top:14115;height:305;width:441;rotation:997225f;" fillcolor="#FFFFFF" filled="t" stroked="t" coordsize="13004719,8256544" o:gfxdata="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IaGt65AAAA2wAA&#10;AA8AAAAAAAAAAQAgAAAAIgAAAGRycy9kb3ducmV2LnhtbFBLAQIUABQAAAAIAIdO4kAzLwWeOwAA&#10;ADkAAAAQAAAAAAAAAAEAIAAAAAgBAABkcnMvc2hhcGV4bWwueG1sUEsFBgAAAAAGAAYAWwEAALID&#10;AAAAAA==&#10;" path="m334605,2620225c602968,2213799,1443664,912635,1718886,499216c1994108,85797,1914923,270970,1985936,139713c2056949,8456,2984627,92819,2984627,92819l6379786,16616,8297551,1516c8659501,1516,8488430,-7068,8551486,16616c8614542,40300,8652607,116102,8675890,143619c8699173,171136,8659003,160550,8691186,181716c8723369,202882,8797019,224049,8868986,270616c8940953,317183,9051019,408199,9122986,461116c9194953,514033,9254220,554249,9300786,588116c9347352,621983,9381219,641033,9402386,664316c9423553,687599,9419319,698183,9427786,727816c9436253,757449,9440486,789199,9453186,842116c9465886,895033,9487053,994516,9503986,1045316c9520919,1096116,9531503,1123633,9554786,1146916c9578069,1170199,9607703,1170199,9643686,1185016c9679669,1199833,9741053,1225233,9770686,1235816c9800319,1246399,9804553,1231583,9821486,1248516c9838419,1265449,9861703,1305666,9872286,1337416c9882869,1369166,9876519,1415733,9884986,1439016c9893453,1462299,9889219,1462299,9923086,1477116c9956953,1491933,10052203,1515216,10088186,1527916c10124169,1540616,10124169,1542733,10138986,1553316c10153803,1563899,10174969,1553316,10177086,1591416c10179203,1629516,10155919,1703599,10151686,1781916c10147453,1860233,10155919,1993583,10151686,2061316c10147453,2129049,10128403,2165033,10126286,2188316c10124169,2211599,10045853,2217949,10138986,2201016c10232119,2184083,10335820,2142392,10685086,2086716c11034352,2031040,11942481,1907179,12234581,1866962c12526681,1826745,12386902,1836307,12437686,1845416c12488470,1854525,12486369,1872933,12539286,1921616c12592203,1970299,12695919,2084599,12755186,2137516c12814453,2190433,12865253,2215833,12894886,2239116c12924519,2262399,12932986,2277216,12932986,2277216l12958386,2302616c12968969,2313199,12990136,2330133,12996486,2340716c13002836,2351299,13011303,2351299,12996486,2366116c12981669,2380933,12964736,2402099,12907586,2429616c12850436,2457133,12712853,2503699,12653586,2531216c12594319,2558733,12626069,2543916,12551986,2594716c12477903,2645516,12295869,2768283,12209086,2836016c12122303,2903749,12094786,2954549,12031286,3001116c11967786,3047683,11874653,3083666,11828086,3115416c11781519,3147166,11811153,3157749,11751886,3191616c11692619,3225483,11552919,3274166,11472486,3318616c11392053,3363066,11328553,3418099,11269286,3458316c11210019,3498533,11159219,3521816,11116886,3559916c11074553,3598016,11057619,3640349,11015286,3686916c10972953,3733483,10920036,3790633,10862886,3839316c10805736,3887999,10727419,3934566,10672386,3979016c10617353,4023466,10604653,4034049,10532686,4106016c10460719,4177983,10359119,4271116,10240586,4410816c10122053,4550516,9908269,4832033,9821486,4944216c9734703,5056399,9751636,4999249,9719886,5083916c9688136,5168583,9652153,5350616,9630986,5452216c9609819,5553816,9595003,5617316,9592886,5693516c9590769,5769716,9601353,5841683,9618286,5909416c9635219,5977149,9664853,6042766,9694486,6099916c9724119,6157066,9772803,6201516,9796086,6252316c9819369,6303116,9825719,6358149,9834186,6404716c9842653,6451283,9783386,6449166,9846886,6531716c9910386,6614266,10134753,6804766,10215186,6900016c10295619,6995266,10308319,7062999,10329486,7103216c10350653,7143433,10337953,7130733,10342186,7141316c10346419,7151899,10361236,7139199,10354886,7166716c10348536,7194233,10382403,7213283,10304086,7306416c10225769,7399549,10033153,7609099,9884986,7725516c9736819,7841933,9523036,7928716,9415086,8004916c9307136,8081116,9285969,8142499,9237286,8182716c9188603,8222933,9158969,8237749,9122986,8246216c9087003,8254683,9184369,8269499,9021386,8233516c8858403,8197533,8392736,8083233,8145086,8030316c7897436,7977399,7645553,7939299,7535486,7916016c7425419,7892733,7522786,7894849,7484686,7890616c7446586,7886383,7410603,7918133,7306886,7890616c7203169,7863099,7124853,7797483,6862386,7725516c6599919,7653549,5935286,7507499,5732086,7458816c5528886,7410133,5666469,7441883,5643186,7433416c5619903,7424949,5609319,7414366,5592386,7408016c5575453,7401666,5554286,7397433,5541586,7395316c5528886,7393199,5505603,7431299,5516186,7395316c5526769,7359333,5586036,7232333,5605086,7179416c5624136,7126499,5626253,7103216,5630486,7077816c5634719,7052416,5655886,7037599,5630486,7027016c5605086,7016433,5662236,7056649,5478086,7014316c5293936,6971983,4804986,6838633,4525586,6773016c4246186,6707399,3987953,6654483,3801686,6620616c3615419,6586749,3492653,6578283,3407986,6569816c3323319,6561349,3293686,6569816,3293686,6569816c3240769,6569816,3143403,6563466,3090486,6569816c3037569,6576166,3010053,6607916,2976186,6607916c2942319,6607916,2919036,6614266,2887286,6569816c2855536,6525366,2830136,6430116,2785686,6341216c2741236,6252316,2660803,6102033,2620586,6036416c2580369,5970799,2563436,5966566,2544386,5947516c2525336,5928466,2567669,5930583,2506286,5922116c2444903,5913649,2254403,5905183,2176086,5896716c2097769,5888249,2070253,5881899,2036386,5871316c2002519,5860733,1985586,5852266,1972886,5833216c1960186,5814166,1966536,5778183,1960186,5757016c1953836,5735849,1972886,5721033,1934786,5706216c1896686,5691399,1773919,5685049,1731586,5668116c1689253,5651183,1680786,5634249,1680786,5604616c1680786,5574983,1691367,5600366,1731586,5490316c1771805,5380266,1888234,5058617,1922101,4944317c1955968,4830017,1924205,4844750,1934786,4804516c1945367,4764282,1996169,4736783,1985586,4702916c1975003,4669049,2000402,4724082,1871286,4601316c1742170,4478550,1361168,4099653,1210886,3966316c1060604,3832979,1026745,3845744,969594,3801293c912443,3756842,918787,3746195,867986,3699616c817185,3653037,717703,3570499,664786,3521816c611869,3473133,586467,3437879,550486,3407516c514505,3377153,537263,3363557,448902,3339639c360541,3315721,96072,3278194,20319,3264008c-42730,3211831,56325,3045072,108706,2937775c161087,2830478,66242,3026651,334605,2620225xe">
                    <v:path o:connectlocs="59617,465505;306258,88690;353839,24821;531778,16490;1136702,2952;1478395,269;1523639,2952;1545805,25515;1548530,32283;1580209,48077;1625465,81921;1657144,104484;1675246,118021;1679772,129303;1684298,149609;1693349,185709;1702400,203759;1718239,210528;1740867,219553;1749918,221810;1758970,237603;1761232,255654;1768021,262422;1797437,271447;1806488,275960;1813277,282729;1808751,316573;1808751,366211;1804225,388773;1806488,391029;1903788,370723;2179866,331682;2216053,327854;2234156,341392;2272623,379748;2297514,397798;2304302,404567;2308828,409080;2315616,415848;2315616,420361;2299777,431642;2254521,449692;2236418,460974;2175323,503843;2143644,533174;2107439,553480;2093863,567018;2044081,589581;2007877,614400;1980723,632450;1962621,655012;1935467,682087;1901525,706906;1876635,729469;1824591,783619;1749918,878382;1731816,903201;1715977,968633;1709188,1011502;1713714,1049859;1727291,1083703;1745393,1110778;1752181,1137853;1754444,1160415;1820065,1225847;1840430,1261947;1842693,1268716;1844956,1273229;1835905,1298048;1761232,1372504;1677509,1422142;1645830,1453730;1625465,1465011;1607363,1462755;1451230,1426655;1342616,1406348;1333565,1401836;1301886,1401836;1222688,1372504;1021300,1325123;1005460,1320610;996409,1316098;987358,1313841;982833,1313841;998672,1275485;1003198,1257435;1003198,1248410;976044,1246154;806335,1203285;677356,1176209;607209,1167184;586844,1167184;550640,1167184;530274,1173953;514435,1167184;496333,1126572;466916,1072421;453340,1056627;446551,1052115;387719,1047602;362828,1043090;351514,1036321;349251,1022783;344726,1013758;308521,1006990;299470,995708;308521,975402;342465,878400;344726,853564;353777,835513;333412,817463;215747,704650;172755,675332;154651,657269;118447,625681;98081,605375;79982,593316;3620,579879;19368,521921;59617,465505" o:connectangles="0,0,0,0,0,0,0,0,0,0,0,0,0,0,0,0,0,0,0,0,0,0,0,0,0,0,0,0,0,0,0,0,0,0,0,0,0,0,0,0,0,0,0,0,0,0,0,0,0,0,0,0,0,0,0,0,0,0,0,0,0,0,0,0,0,0,0,0,0,0,0,0,0,0,0,0,0,0,0,0,0,0,0,0,0,0,0,0,0,0,0,0,0,0,0,0,0,0,0,0,0,0,0,0,0,0,0,0,0,0,0,0,0,0,0,0,0,0,0,0"/>
                    <v:fill on="t" focussize="0,0"/>
                    <v:stroke weight="2pt" color="#00B0F0" joinstyle="round"/>
                    <v:imagedata o:title=""/>
                    <o:lock v:ext="edit" aspectratio="f"/>
                  </v:shape>
                </v:group>
                <v:shape id="_x0000_s1026" o:spid="_x0000_s1026" o:spt="100" style="position:absolute;left:19976;top:12783;height:285;width:467;rotation:997225f;" fillcolor="#FFFFFF" filled="t" stroked="t" coordsize="13004719,8256544" o:gfxdata="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Gpe/K5AAAA2wAA&#10;AA8AAAAAAAAAAQAgAAAAIgAAAGRycy9kb3ducmV2LnhtbFBLAQIUABQAAAAIAIdO4kAzLwWeOwAA&#10;ADkAAAAQAAAAAAAAAAEAIAAAAAgBAABkcnMvc2hhcGV4bWwueG1sUEsFBgAAAAAGAAYAWwEAALID&#10;AAAAAA==&#10;" path="m334605,2620225c602968,2213799,1443664,912635,1718886,499216c1994108,85797,1914923,270970,1985936,139713c2056949,8456,2984627,92819,2984627,92819l6379786,16616,8297551,1516c8659501,1516,8488430,-7068,8551486,16616c8614542,40300,8652607,116102,8675890,143619c8699173,171136,8659003,160550,8691186,181716c8723369,202882,8797019,224049,8868986,270616c8940953,317183,9051019,408199,9122986,461116c9194953,514033,9254220,554249,9300786,588116c9347352,621983,9381219,641033,9402386,664316c9423553,687599,9419319,698183,9427786,727816c9436253,757449,9440486,789199,9453186,842116c9465886,895033,9487053,994516,9503986,1045316c9520919,1096116,9531503,1123633,9554786,1146916c9578069,1170199,9607703,1170199,9643686,1185016c9679669,1199833,9741053,1225233,9770686,1235816c9800319,1246399,9804553,1231583,9821486,1248516c9838419,1265449,9861703,1305666,9872286,1337416c9882869,1369166,9876519,1415733,9884986,1439016c9893453,1462299,9889219,1462299,9923086,1477116c9956953,1491933,10052203,1515216,10088186,1527916c10124169,1540616,10124169,1542733,10138986,1553316c10153803,1563899,10174969,1553316,10177086,1591416c10179203,1629516,10155919,1703599,10151686,1781916c10147453,1860233,10155919,1993583,10151686,2061316c10147453,2129049,10128403,2165033,10126286,2188316c10124169,2211599,10045853,2217949,10138986,2201016c10232119,2184083,10335820,2142392,10685086,2086716c11034352,2031040,11942481,1907179,12234581,1866962c12526681,1826745,12386902,1836307,12437686,1845416c12488470,1854525,12486369,1872933,12539286,1921616c12592203,1970299,12695919,2084599,12755186,2137516c12814453,2190433,12865253,2215833,12894886,2239116c12924519,2262399,12932986,2277216,12932986,2277216l12958386,2302616c12968969,2313199,12990136,2330133,12996486,2340716c13002836,2351299,13011303,2351299,12996486,2366116c12981669,2380933,12964736,2402099,12907586,2429616c12850436,2457133,12712853,2503699,12653586,2531216c12594319,2558733,12626069,2543916,12551986,2594716c12477903,2645516,12295869,2768283,12209086,2836016c12122303,2903749,12094786,2954549,12031286,3001116c11967786,3047683,11874653,3083666,11828086,3115416c11781519,3147166,11811153,3157749,11751886,3191616c11692619,3225483,11552919,3274166,11472486,3318616c11392053,3363066,11328553,3418099,11269286,3458316c11210019,3498533,11159219,3521816,11116886,3559916c11074553,3598016,11057619,3640349,11015286,3686916c10972953,3733483,10920036,3790633,10862886,3839316c10805736,3887999,10727419,3934566,10672386,3979016c10617353,4023466,10604653,4034049,10532686,4106016c10460719,4177983,10359119,4271116,10240586,4410816c10122053,4550516,9908269,4832033,9821486,4944216c9734703,5056399,9751636,4999249,9719886,5083916c9688136,5168583,9652153,5350616,9630986,5452216c9609819,5553816,9595003,5617316,9592886,5693516c9590769,5769716,9601353,5841683,9618286,5909416c9635219,5977149,9664853,6042766,9694486,6099916c9724119,6157066,9772803,6201516,9796086,6252316c9819369,6303116,9825719,6358149,9834186,6404716c9842653,6451283,9783386,6449166,9846886,6531716c9910386,6614266,10134753,6804766,10215186,6900016c10295619,6995266,10308319,7062999,10329486,7103216c10350653,7143433,10337953,7130733,10342186,7141316c10346419,7151899,10361236,7139199,10354886,7166716c10348536,7194233,10382403,7213283,10304086,7306416c10225769,7399549,10033153,7609099,9884986,7725516c9736819,7841933,9523036,7928716,9415086,8004916c9307136,8081116,9285969,8142499,9237286,8182716c9188603,8222933,9158969,8237749,9122986,8246216c9087003,8254683,9184369,8269499,9021386,8233516c8858403,8197533,8392736,8083233,8145086,8030316c7897436,7977399,7645553,7939299,7535486,7916016c7425419,7892733,7522786,7894849,7484686,7890616c7446586,7886383,7410603,7918133,7306886,7890616c7203169,7863099,7124853,7797483,6862386,7725516c6599919,7653549,5935286,7507499,5732086,7458816c5528886,7410133,5666469,7441883,5643186,7433416c5619903,7424949,5609319,7414366,5592386,7408016c5575453,7401666,5554286,7397433,5541586,7395316c5528886,7393199,5505603,7431299,5516186,7395316c5526769,7359333,5586036,7232333,5605086,7179416c5624136,7126499,5626253,7103216,5630486,7077816c5634719,7052416,5655886,7037599,5630486,7027016c5605086,7016433,5662236,7056649,5478086,7014316c5293936,6971983,4804986,6838633,4525586,6773016c4246186,6707399,3987953,6654483,3801686,6620616c3615419,6586749,3492653,6578283,3407986,6569816c3323319,6561349,3293686,6569816,3293686,6569816c3240769,6569816,3143403,6563466,3090486,6569816c3037569,6576166,3010053,6607916,2976186,6607916c2942319,6607916,2919036,6614266,2887286,6569816c2855536,6525366,2830136,6430116,2785686,6341216c2741236,6252316,2660803,6102033,2620586,6036416c2580369,5970799,2563436,5966566,2544386,5947516c2525336,5928466,2567669,5930583,2506286,5922116c2444903,5913649,2254403,5905183,2176086,5896716c2097769,5888249,2070253,5881899,2036386,5871316c2002519,5860733,1985586,5852266,1972886,5833216c1960186,5814166,1966536,5778183,1960186,5757016c1953836,5735849,1972886,5721033,1934786,5706216c1896686,5691399,1773919,5685049,1731586,5668116c1689253,5651183,1680786,5634249,1680786,5604616c1680786,5574983,1691367,5600366,1731586,5490316c1771805,5380266,1888234,5058617,1922101,4944317c1955968,4830017,1924205,4844750,1934786,4804516c1945367,4764282,1996169,4736783,1985586,4702916c1975003,4669049,2000402,4724082,1871286,4601316c1742170,4478550,1361168,4099653,1210886,3966316c1060604,3832979,1026745,3845744,969594,3801293c912443,3756842,918787,3746195,867986,3699616c817185,3653037,717703,3570499,664786,3521816c611869,3473133,586467,3437879,550486,3407516c514505,3377153,537263,3363557,448902,3339639c360541,3315721,96072,3278194,20319,3264008c-42730,3211831,56325,3045072,108706,2937775c161087,2830478,66242,3026651,334605,2620225xe">
                  <v:path o:connectlocs="59617,465505;306258,88690;353839,24821;531778,16490;1136702,2952;1478395,269;1523639,2952;1545805,25515;1548530,32283;1580209,48077;1625465,81921;1657144,104484;1675246,118021;1679772,129303;1684298,149609;1693349,185709;1702400,203759;1718239,210528;1740867,219553;1749918,221810;1758970,237603;1761232,255654;1768021,262422;1797437,271447;1806488,275960;1813277,282729;1808751,316573;1808751,366211;1804225,388773;1806488,391029;1903788,370723;2179866,331682;2216053,327854;2234156,341392;2272623,379748;2297514,397798;2304302,404567;2308828,409080;2315616,415848;2315616,420361;2299777,431642;2254521,449692;2236418,460974;2175323,503843;2143644,533174;2107439,553480;2093863,567018;2044081,589581;2007877,614400;1980723,632450;1962621,655012;1935467,682087;1901525,706906;1876635,729469;1824591,783619;1749918,878382;1731816,903201;1715977,968633;1709188,1011502;1713714,1049859;1727291,1083703;1745393,1110778;1752181,1137853;1754444,1160415;1820065,1225847;1840430,1261947;1842693,1268716;1844956,1273229;1835905,1298048;1761232,1372504;1677509,1422142;1645830,1453730;1625465,1465011;1607363,1462755;1451230,1426655;1342616,1406348;1333565,1401836;1301886,1401836;1222688,1372504;1021300,1325123;1005460,1320610;996409,1316098;987358,1313841;982833,1313841;998672,1275485;1003198,1257435;1003198,1248410;976044,1246154;806335,1203285;677356,1176209;607209,1167184;586844,1167184;550640,1167184;530274,1173953;514435,1167184;496333,1126572;466916,1072421;453340,1056627;446551,1052115;387719,1047602;362828,1043090;351514,1036321;349251,1022783;344726,1013758;308521,1006990;299470,995708;308521,975402;342465,878400;344726,853564;353777,835513;333412,817463;215747,704650;172755,675332;154651,657269;118447,625681;98081,605375;79982,593316;3620,579879;19368,521921;59617,465505" o:connectangles="0,0,0,0,0,0,0,0,0,0,0,0,0,0,0,0,0,0,0,0,0,0,0,0,0,0,0,0,0,0,0,0,0,0,0,0,0,0,0,0,0,0,0,0,0,0,0,0,0,0,0,0,0,0,0,0,0,0,0,0,0,0,0,0,0,0,0,0,0,0,0,0,0,0,0,0,0,0,0,0,0,0,0,0,0,0,0,0,0,0,0,0,0,0,0,0,0,0,0,0,0,0,0,0,0,0,0,0,0,0,0,0,0,0,0,0,0,0,0,0"/>
                  <v:fill on="t" focussize="0,0"/>
                  <v:stroke weight="2pt" color="#FF0000" joinstyle="round"/>
                  <v:imagedata o:title=""/>
                  <o:lock v:ext="edit" aspectratio="f"/>
                </v:shape>
              </v:group>
            </w:pict>
          </mc:Fallback>
        </mc:AlternateContent>
      </w:r>
      <w:r>
        <w:rPr>
          <w:color w:val="auto"/>
          <w:sz w:val="32"/>
          <w:szCs w:val="32"/>
        </w:rPr>
        <mc:AlternateContent>
          <mc:Choice Requires="wps">
            <w:drawing>
              <wp:anchor distT="0" distB="0" distL="114300" distR="114300" simplePos="0" relativeHeight="251664384" behindDoc="0" locked="0" layoutInCell="1" allowOverlap="1">
                <wp:simplePos x="0" y="0"/>
                <wp:positionH relativeFrom="column">
                  <wp:posOffset>9367520</wp:posOffset>
                </wp:positionH>
                <wp:positionV relativeFrom="paragraph">
                  <wp:posOffset>3451225</wp:posOffset>
                </wp:positionV>
                <wp:extent cx="1628775" cy="455295"/>
                <wp:effectExtent l="1905" t="15875" r="0" b="16510"/>
                <wp:wrapNone/>
                <wp:docPr id="85" name="直接箭头连接符 85"/>
                <wp:cNvGraphicFramePr/>
                <a:graphic xmlns:a="http://schemas.openxmlformats.org/drawingml/2006/main">
                  <a:graphicData uri="http://schemas.microsoft.com/office/word/2010/wordprocessingShape">
                    <wps:wsp>
                      <wps:cNvCnPr>
                        <a:cxnSpLocks noChangeShapeType="1"/>
                      </wps:cNvCnPr>
                      <wps:spPr bwMode="auto">
                        <a:xfrm flipV="1">
                          <a:off x="0" y="0"/>
                          <a:ext cx="1628775" cy="455295"/>
                        </a:xfrm>
                        <a:prstGeom prst="straightConnector1">
                          <a:avLst/>
                        </a:prstGeom>
                        <a:noFill/>
                        <a:ln w="12700">
                          <a:solidFill>
                            <a:srgbClr val="0000FF"/>
                          </a:solidFill>
                          <a:round/>
                          <a:tailEnd type="triangle" w="med" len="med"/>
                        </a:ln>
                        <a:effectLst/>
                      </wps:spPr>
                      <wps:bodyPr/>
                    </wps:wsp>
                  </a:graphicData>
                </a:graphic>
              </wp:anchor>
            </w:drawing>
          </mc:Choice>
          <mc:Fallback>
            <w:pict>
              <v:shape id="_x0000_s1026" o:spid="_x0000_s1026" o:spt="32" type="#_x0000_t32" style="position:absolute;left:0pt;flip:y;margin-left:737.6pt;margin-top:271.75pt;height:35.85pt;width:128.25pt;z-index:251664384;mso-width-relative:page;mso-height-relative:page;" filled="f" stroked="t" coordsize="21600,21600" o:gfxdata="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5C7ddkAAAANAQAADwAAAAAAAAABACAAAAAiAAAA&#10;ZHJzL2Rvd25yZXYueG1sUEsBAhQAFAAAAAgAh07iQPQPmaIGAgAAvgMAAA4AAAAAAAAAAQAgAAAA&#10;KAEAAGRycy9lMm9Eb2MueG1sUEsFBgAAAAAGAAYAWQEAAKAFAAAAAA==&#10;">
                <v:fill on="f" focussize="0,0"/>
                <v:stroke weight="1pt" color="#0000FF" joinstyle="round" endarrow="block"/>
                <v:imagedata o:title=""/>
                <o:lock v:ext="edit" aspectratio="f"/>
              </v:shape>
            </w:pict>
          </mc:Fallback>
        </mc:AlternateContent>
      </w:r>
      <w:r>
        <w:rPr>
          <w:color w:val="auto"/>
          <w:sz w:val="32"/>
          <w:szCs w:val="32"/>
        </w:rPr>
        <mc:AlternateContent>
          <mc:Choice Requires="wps">
            <w:drawing>
              <wp:anchor distT="0" distB="0" distL="114300" distR="114300" simplePos="0" relativeHeight="251663360" behindDoc="0" locked="0" layoutInCell="1" allowOverlap="1">
                <wp:simplePos x="0" y="0"/>
                <wp:positionH relativeFrom="column">
                  <wp:posOffset>8167370</wp:posOffset>
                </wp:positionH>
                <wp:positionV relativeFrom="paragraph">
                  <wp:posOffset>3573145</wp:posOffset>
                </wp:positionV>
                <wp:extent cx="734060" cy="342900"/>
                <wp:effectExtent l="0" t="0" r="0" b="0"/>
                <wp:wrapNone/>
                <wp:docPr id="6" name="矩形 6"/>
                <wp:cNvGraphicFramePr/>
                <a:graphic xmlns:a="http://schemas.openxmlformats.org/drawingml/2006/main">
                  <a:graphicData uri="http://schemas.microsoft.com/office/word/2010/wordprocessingShape">
                    <wps:wsp>
                      <wps:cNvSpPr/>
                      <wps:spPr>
                        <a:xfrm>
                          <a:off x="0" y="0"/>
                          <a:ext cx="734060" cy="342900"/>
                        </a:xfrm>
                        <a:prstGeom prst="rect">
                          <a:avLst/>
                        </a:prstGeom>
                        <a:noFill/>
                        <a:ln w="9525">
                          <a:noFill/>
                        </a:ln>
                        <a:effectLst/>
                      </wps:spPr>
                      <wps:txbx>
                        <w:txbxContent>
                          <w:p>
                            <w:pPr>
                              <w:rPr>
                                <w:b/>
                              </w:rPr>
                            </w:pPr>
                          </w:p>
                        </w:txbxContent>
                      </wps:txbx>
                      <wps:bodyPr upright="1"/>
                    </wps:wsp>
                  </a:graphicData>
                </a:graphic>
              </wp:anchor>
            </w:drawing>
          </mc:Choice>
          <mc:Fallback>
            <w:pict>
              <v:rect id="_x0000_s1026" o:spid="_x0000_s1026" o:spt="1" style="position:absolute;left:0pt;margin-left:643.1pt;margin-top:281.35pt;height:27pt;width:57.8pt;z-index:251663360;mso-width-relative:page;mso-height-relative:page;" filled="f" stroked="f" coordsize="21600,21600" o:gfxdata="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IZSe23cAAAADQEAAA8AAAAAAAAAAQAgAAAA&#10;IgAAAGRycy9kb3ducmV2LnhtbFBLAQIUABQAAAAIAIdO4kA8uSdXlQEAAAkDAAAOAAAAAAAAAAEA&#10;IAAAACsBAABkcnMvZTJvRG9jLnhtbFBLBQYAAAAABgAGAFkBAAAyBQAAAAA=&#10;">
                <v:fill on="f" focussize="0,0"/>
                <v:stroke on="f"/>
                <v:imagedata o:title=""/>
                <o:lock v:ext="edit" aspectratio="f"/>
                <v:textbox>
                  <w:txbxContent>
                    <w:p>
                      <w:pPr>
                        <w:rPr>
                          <w:b/>
                        </w:rPr>
                      </w:pPr>
                    </w:p>
                  </w:txbxContent>
                </v:textbox>
              </v:rect>
            </w:pict>
          </mc:Fallback>
        </mc:AlternateContent>
      </w:r>
      <w:bookmarkStart w:id="245" w:name="_Toc461434736"/>
      <w:bookmarkStart w:id="246" w:name="_Toc454136174"/>
      <w:bookmarkStart w:id="247" w:name="_Toc461434968"/>
      <w:bookmarkStart w:id="248" w:name="_Toc465156546"/>
      <w:r>
        <w:rPr>
          <w:color w:val="auto"/>
          <w:sz w:val="32"/>
          <w:szCs w:val="32"/>
        </w:rPr>
        <w:t>2.</w:t>
      </w:r>
      <w:bookmarkEnd w:id="216"/>
      <w:bookmarkEnd w:id="217"/>
      <w:bookmarkEnd w:id="234"/>
      <w:bookmarkEnd w:id="235"/>
      <w:bookmarkEnd w:id="245"/>
      <w:bookmarkEnd w:id="246"/>
      <w:bookmarkEnd w:id="247"/>
      <w:bookmarkEnd w:id="248"/>
      <w:r>
        <w:rPr>
          <w:rFonts w:hint="eastAsia"/>
          <w:color w:val="auto"/>
          <w:sz w:val="32"/>
          <w:szCs w:val="32"/>
        </w:rPr>
        <w:t xml:space="preserve">8  </w:t>
      </w:r>
      <w:r>
        <w:rPr>
          <w:color w:val="auto"/>
          <w:sz w:val="32"/>
          <w:szCs w:val="32"/>
        </w:rPr>
        <w:t>环境保护目标</w:t>
      </w:r>
      <w:bookmarkEnd w:id="238"/>
      <w:bookmarkEnd w:id="239"/>
      <w:bookmarkEnd w:id="240"/>
      <w:bookmarkEnd w:id="241"/>
      <w:bookmarkEnd w:id="242"/>
      <w:bookmarkEnd w:id="243"/>
      <w:bookmarkEnd w:id="244"/>
    </w:p>
    <w:p>
      <w:pPr>
        <w:adjustRightInd w:val="0"/>
        <w:snapToGrid w:val="0"/>
        <w:spacing w:line="360" w:lineRule="auto"/>
        <w:ind w:firstLine="480" w:firstLineChars="200"/>
        <w:rPr>
          <w:color w:val="auto"/>
          <w:sz w:val="24"/>
        </w:rPr>
      </w:pPr>
      <w:r>
        <w:rPr>
          <w:color w:val="auto"/>
          <w:sz w:val="24"/>
        </w:rPr>
        <w:t>经现场查勘和资料调研，本项目大气评价范围内主要环境保护目标详见</w:t>
      </w:r>
      <w:r>
        <w:rPr>
          <w:rFonts w:hint="eastAsia"/>
          <w:color w:val="auto"/>
          <w:sz w:val="24"/>
        </w:rPr>
        <w:t>下表</w:t>
      </w:r>
      <w:r>
        <w:rPr>
          <w:color w:val="auto"/>
          <w:sz w:val="24"/>
        </w:rPr>
        <w:t>，分布情况详见图2.8-1。</w:t>
      </w:r>
    </w:p>
    <w:p>
      <w:pPr>
        <w:tabs>
          <w:tab w:val="left" w:pos="0"/>
          <w:tab w:val="left" w:pos="2089"/>
        </w:tabs>
        <w:ind w:firstLine="422" w:firstLineChars="200"/>
        <w:jc w:val="center"/>
        <w:rPr>
          <w:b/>
          <w:bCs/>
          <w:color w:val="auto"/>
        </w:rPr>
      </w:pPr>
      <w:r>
        <w:rPr>
          <w:b/>
          <w:bCs/>
          <w:color w:val="auto"/>
        </w:rPr>
        <w:t>表2.8</w:t>
      </w:r>
      <w:r>
        <w:rPr>
          <w:b/>
          <w:bCs/>
          <w:color w:val="auto"/>
        </w:rPr>
        <w:noBreakHyphen/>
      </w:r>
      <w:r>
        <w:rPr>
          <w:b/>
          <w:bCs/>
          <w:color w:val="auto"/>
        </w:rPr>
        <w:t>1</w:t>
      </w:r>
      <w:r>
        <w:rPr>
          <w:rFonts w:hint="eastAsia"/>
          <w:b/>
          <w:bCs/>
          <w:color w:val="auto"/>
        </w:rPr>
        <w:t xml:space="preserve">  </w:t>
      </w:r>
      <w:r>
        <w:rPr>
          <w:b/>
          <w:bCs/>
          <w:color w:val="auto"/>
        </w:rPr>
        <w:t>主要环境保护目标一览表</w:t>
      </w:r>
    </w:p>
    <w:tbl>
      <w:tblPr>
        <w:tblStyle w:val="24"/>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0"/>
        <w:gridCol w:w="1088"/>
        <w:gridCol w:w="841"/>
        <w:gridCol w:w="721"/>
        <w:gridCol w:w="993"/>
        <w:gridCol w:w="1257"/>
        <w:gridCol w:w="986"/>
        <w:gridCol w:w="923"/>
        <w:gridCol w:w="9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restart"/>
            <w:tcBorders>
              <w:tl2br w:val="nil"/>
              <w:tr2bl w:val="nil"/>
            </w:tcBorders>
            <w:vAlign w:val="center"/>
          </w:tcPr>
          <w:p>
            <w:pPr>
              <w:jc w:val="center"/>
              <w:rPr>
                <w:color w:val="auto"/>
                <w:szCs w:val="21"/>
              </w:rPr>
            </w:pPr>
            <w:r>
              <w:rPr>
                <w:color w:val="auto"/>
                <w:szCs w:val="21"/>
              </w:rPr>
              <w:t>环境要素</w:t>
            </w:r>
          </w:p>
        </w:tc>
        <w:tc>
          <w:tcPr>
            <w:tcW w:w="1088" w:type="dxa"/>
            <w:vMerge w:val="restart"/>
            <w:tcBorders>
              <w:tl2br w:val="nil"/>
              <w:tr2bl w:val="nil"/>
            </w:tcBorders>
            <w:vAlign w:val="center"/>
          </w:tcPr>
          <w:p>
            <w:pPr>
              <w:jc w:val="center"/>
              <w:rPr>
                <w:color w:val="auto"/>
                <w:szCs w:val="21"/>
              </w:rPr>
            </w:pPr>
            <w:r>
              <w:rPr>
                <w:color w:val="auto"/>
                <w:szCs w:val="21"/>
              </w:rPr>
              <w:t>名称</w:t>
            </w:r>
          </w:p>
        </w:tc>
        <w:tc>
          <w:tcPr>
            <w:tcW w:w="1562" w:type="dxa"/>
            <w:gridSpan w:val="2"/>
            <w:tcBorders>
              <w:tl2br w:val="nil"/>
              <w:tr2bl w:val="nil"/>
            </w:tcBorders>
            <w:vAlign w:val="center"/>
          </w:tcPr>
          <w:p>
            <w:pPr>
              <w:jc w:val="center"/>
              <w:rPr>
                <w:color w:val="auto"/>
                <w:szCs w:val="21"/>
              </w:rPr>
            </w:pPr>
            <w:r>
              <w:rPr>
                <w:color w:val="auto"/>
                <w:szCs w:val="21"/>
              </w:rPr>
              <w:t>坐标/m</w:t>
            </w:r>
          </w:p>
        </w:tc>
        <w:tc>
          <w:tcPr>
            <w:tcW w:w="993" w:type="dxa"/>
            <w:vMerge w:val="restart"/>
            <w:tcBorders>
              <w:tl2br w:val="nil"/>
              <w:tr2bl w:val="nil"/>
            </w:tcBorders>
            <w:vAlign w:val="center"/>
          </w:tcPr>
          <w:p>
            <w:pPr>
              <w:jc w:val="center"/>
              <w:rPr>
                <w:color w:val="auto"/>
                <w:szCs w:val="21"/>
              </w:rPr>
            </w:pPr>
            <w:r>
              <w:rPr>
                <w:color w:val="auto"/>
                <w:szCs w:val="21"/>
              </w:rPr>
              <w:t>保护对象</w:t>
            </w:r>
          </w:p>
        </w:tc>
        <w:tc>
          <w:tcPr>
            <w:tcW w:w="1257" w:type="dxa"/>
            <w:vMerge w:val="restart"/>
            <w:tcBorders>
              <w:tl2br w:val="nil"/>
              <w:tr2bl w:val="nil"/>
            </w:tcBorders>
            <w:vAlign w:val="center"/>
          </w:tcPr>
          <w:p>
            <w:pPr>
              <w:jc w:val="center"/>
              <w:rPr>
                <w:color w:val="auto"/>
                <w:szCs w:val="21"/>
              </w:rPr>
            </w:pPr>
            <w:r>
              <w:rPr>
                <w:color w:val="auto"/>
                <w:szCs w:val="21"/>
              </w:rPr>
              <w:t>保护内容</w:t>
            </w:r>
          </w:p>
        </w:tc>
        <w:tc>
          <w:tcPr>
            <w:tcW w:w="986" w:type="dxa"/>
            <w:vMerge w:val="restart"/>
            <w:tcBorders>
              <w:tl2br w:val="nil"/>
              <w:tr2bl w:val="nil"/>
            </w:tcBorders>
            <w:vAlign w:val="center"/>
          </w:tcPr>
          <w:p>
            <w:pPr>
              <w:jc w:val="center"/>
              <w:rPr>
                <w:color w:val="auto"/>
                <w:szCs w:val="21"/>
              </w:rPr>
            </w:pPr>
            <w:r>
              <w:rPr>
                <w:color w:val="auto"/>
                <w:szCs w:val="21"/>
              </w:rPr>
              <w:t>环境功能区</w:t>
            </w:r>
          </w:p>
        </w:tc>
        <w:tc>
          <w:tcPr>
            <w:tcW w:w="923" w:type="dxa"/>
            <w:vMerge w:val="restart"/>
            <w:tcBorders>
              <w:tl2br w:val="nil"/>
              <w:tr2bl w:val="nil"/>
            </w:tcBorders>
            <w:vAlign w:val="center"/>
          </w:tcPr>
          <w:p>
            <w:pPr>
              <w:jc w:val="center"/>
              <w:rPr>
                <w:color w:val="auto"/>
                <w:szCs w:val="21"/>
              </w:rPr>
            </w:pPr>
            <w:r>
              <w:rPr>
                <w:color w:val="auto"/>
                <w:szCs w:val="21"/>
              </w:rPr>
              <w:t>相对厂址方位</w:t>
            </w:r>
          </w:p>
        </w:tc>
        <w:tc>
          <w:tcPr>
            <w:tcW w:w="933" w:type="dxa"/>
            <w:vMerge w:val="restart"/>
            <w:tcBorders>
              <w:tl2br w:val="nil"/>
              <w:tr2bl w:val="nil"/>
            </w:tcBorders>
            <w:vAlign w:val="center"/>
          </w:tcPr>
          <w:p>
            <w:pPr>
              <w:jc w:val="center"/>
              <w:rPr>
                <w:color w:val="auto"/>
                <w:szCs w:val="21"/>
              </w:rPr>
            </w:pPr>
            <w:r>
              <w:rPr>
                <w:color w:val="auto"/>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continue"/>
            <w:tcBorders>
              <w:tl2br w:val="nil"/>
              <w:tr2bl w:val="nil"/>
            </w:tcBorders>
            <w:vAlign w:val="center"/>
          </w:tcPr>
          <w:p>
            <w:pPr>
              <w:jc w:val="center"/>
              <w:rPr>
                <w:color w:val="auto"/>
                <w:szCs w:val="21"/>
              </w:rPr>
            </w:pPr>
          </w:p>
        </w:tc>
        <w:tc>
          <w:tcPr>
            <w:tcW w:w="1088" w:type="dxa"/>
            <w:vMerge w:val="continue"/>
            <w:tcBorders>
              <w:tl2br w:val="nil"/>
              <w:tr2bl w:val="nil"/>
            </w:tcBorders>
            <w:vAlign w:val="center"/>
          </w:tcPr>
          <w:p>
            <w:pPr>
              <w:jc w:val="center"/>
              <w:rPr>
                <w:color w:val="auto"/>
                <w:szCs w:val="21"/>
              </w:rPr>
            </w:pPr>
          </w:p>
        </w:tc>
        <w:tc>
          <w:tcPr>
            <w:tcW w:w="841" w:type="dxa"/>
            <w:tcBorders>
              <w:tl2br w:val="nil"/>
              <w:tr2bl w:val="nil"/>
            </w:tcBorders>
            <w:vAlign w:val="center"/>
          </w:tcPr>
          <w:p>
            <w:pPr>
              <w:jc w:val="center"/>
              <w:rPr>
                <w:color w:val="auto"/>
                <w:szCs w:val="21"/>
              </w:rPr>
            </w:pPr>
            <w:r>
              <w:rPr>
                <w:color w:val="auto"/>
                <w:szCs w:val="21"/>
              </w:rPr>
              <w:t>X</w:t>
            </w:r>
          </w:p>
        </w:tc>
        <w:tc>
          <w:tcPr>
            <w:tcW w:w="721" w:type="dxa"/>
            <w:tcBorders>
              <w:tl2br w:val="nil"/>
              <w:tr2bl w:val="nil"/>
            </w:tcBorders>
            <w:vAlign w:val="center"/>
          </w:tcPr>
          <w:p>
            <w:pPr>
              <w:jc w:val="center"/>
              <w:rPr>
                <w:color w:val="auto"/>
                <w:szCs w:val="21"/>
              </w:rPr>
            </w:pPr>
            <w:r>
              <w:rPr>
                <w:color w:val="auto"/>
                <w:szCs w:val="21"/>
              </w:rPr>
              <w:t>Y</w:t>
            </w:r>
          </w:p>
        </w:tc>
        <w:tc>
          <w:tcPr>
            <w:tcW w:w="993" w:type="dxa"/>
            <w:vMerge w:val="continue"/>
            <w:tcBorders>
              <w:tl2br w:val="nil"/>
              <w:tr2bl w:val="nil"/>
            </w:tcBorders>
            <w:vAlign w:val="center"/>
          </w:tcPr>
          <w:p>
            <w:pPr>
              <w:jc w:val="center"/>
              <w:rPr>
                <w:color w:val="auto"/>
                <w:szCs w:val="21"/>
              </w:rPr>
            </w:pPr>
          </w:p>
        </w:tc>
        <w:tc>
          <w:tcPr>
            <w:tcW w:w="1257" w:type="dxa"/>
            <w:vMerge w:val="continue"/>
            <w:tcBorders>
              <w:tl2br w:val="nil"/>
              <w:tr2bl w:val="nil"/>
            </w:tcBorders>
            <w:vAlign w:val="center"/>
          </w:tcPr>
          <w:p>
            <w:pPr>
              <w:jc w:val="center"/>
              <w:rPr>
                <w:color w:val="auto"/>
                <w:szCs w:val="21"/>
              </w:rPr>
            </w:pPr>
          </w:p>
        </w:tc>
        <w:tc>
          <w:tcPr>
            <w:tcW w:w="986" w:type="dxa"/>
            <w:vMerge w:val="continue"/>
            <w:tcBorders>
              <w:tl2br w:val="nil"/>
              <w:tr2bl w:val="nil"/>
            </w:tcBorders>
            <w:vAlign w:val="center"/>
          </w:tcPr>
          <w:p>
            <w:pPr>
              <w:jc w:val="center"/>
              <w:rPr>
                <w:color w:val="auto"/>
                <w:szCs w:val="21"/>
              </w:rPr>
            </w:pPr>
          </w:p>
        </w:tc>
        <w:tc>
          <w:tcPr>
            <w:tcW w:w="923" w:type="dxa"/>
            <w:vMerge w:val="continue"/>
            <w:tcBorders>
              <w:tl2br w:val="nil"/>
              <w:tr2bl w:val="nil"/>
            </w:tcBorders>
            <w:vAlign w:val="center"/>
          </w:tcPr>
          <w:p>
            <w:pPr>
              <w:jc w:val="center"/>
              <w:rPr>
                <w:color w:val="auto"/>
                <w:szCs w:val="21"/>
              </w:rPr>
            </w:pPr>
          </w:p>
        </w:tc>
        <w:tc>
          <w:tcPr>
            <w:tcW w:w="933" w:type="dxa"/>
            <w:vMerge w:val="continue"/>
            <w:tcBorders>
              <w:tl2br w:val="nil"/>
              <w:tr2bl w:val="nil"/>
            </w:tcBorders>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restart"/>
            <w:tcBorders>
              <w:tl2br w:val="nil"/>
              <w:tr2bl w:val="nil"/>
            </w:tcBorders>
            <w:vAlign w:val="center"/>
          </w:tcPr>
          <w:p>
            <w:pPr>
              <w:jc w:val="center"/>
              <w:rPr>
                <w:color w:val="auto"/>
                <w:szCs w:val="21"/>
              </w:rPr>
            </w:pPr>
            <w:r>
              <w:rPr>
                <w:color w:val="auto"/>
                <w:szCs w:val="21"/>
              </w:rPr>
              <w:t>大气</w:t>
            </w:r>
          </w:p>
        </w:tc>
        <w:tc>
          <w:tcPr>
            <w:tcW w:w="1088" w:type="dxa"/>
            <w:tcBorders>
              <w:tl2br w:val="nil"/>
              <w:tr2bl w:val="nil"/>
            </w:tcBorders>
            <w:vAlign w:val="center"/>
          </w:tcPr>
          <w:p>
            <w:pPr>
              <w:widowControl/>
              <w:jc w:val="center"/>
              <w:textAlignment w:val="center"/>
              <w:rPr>
                <w:color w:val="auto"/>
                <w:szCs w:val="21"/>
              </w:rPr>
            </w:pPr>
            <w:r>
              <w:rPr>
                <w:color w:val="auto"/>
                <w:kern w:val="0"/>
                <w:szCs w:val="21"/>
                <w:lang w:bidi="ar"/>
              </w:rPr>
              <w:t>沙步村</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-1048</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-216</w:t>
            </w:r>
          </w:p>
        </w:tc>
        <w:tc>
          <w:tcPr>
            <w:tcW w:w="993" w:type="dxa"/>
            <w:tcBorders>
              <w:tl2br w:val="nil"/>
              <w:tr2bl w:val="nil"/>
            </w:tcBorders>
            <w:vAlign w:val="center"/>
          </w:tcPr>
          <w:p>
            <w:pPr>
              <w:adjustRightInd w:val="0"/>
              <w:snapToGrid w:val="0"/>
              <w:jc w:val="center"/>
              <w:rPr>
                <w:color w:val="auto"/>
                <w:szCs w:val="21"/>
              </w:rPr>
            </w:pPr>
            <w:r>
              <w:rPr>
                <w:color w:val="auto"/>
                <w:szCs w:val="21"/>
              </w:rPr>
              <w:t>行政村</w:t>
            </w:r>
          </w:p>
        </w:tc>
        <w:tc>
          <w:tcPr>
            <w:tcW w:w="1257" w:type="dxa"/>
            <w:tcBorders>
              <w:tl2br w:val="nil"/>
              <w:tr2bl w:val="nil"/>
            </w:tcBorders>
            <w:vAlign w:val="center"/>
          </w:tcPr>
          <w:p>
            <w:pPr>
              <w:adjustRightInd w:val="0"/>
              <w:snapToGrid w:val="0"/>
              <w:jc w:val="center"/>
              <w:rPr>
                <w:color w:val="auto"/>
                <w:szCs w:val="21"/>
              </w:rPr>
            </w:pPr>
            <w:r>
              <w:rPr>
                <w:color w:val="auto"/>
                <w:szCs w:val="21"/>
              </w:rPr>
              <w:t>约2400人</w:t>
            </w:r>
          </w:p>
        </w:tc>
        <w:tc>
          <w:tcPr>
            <w:tcW w:w="986" w:type="dxa"/>
            <w:vMerge w:val="restart"/>
            <w:tcBorders>
              <w:tl2br w:val="nil"/>
              <w:tr2bl w:val="nil"/>
            </w:tcBorders>
            <w:vAlign w:val="center"/>
          </w:tcPr>
          <w:p>
            <w:pPr>
              <w:jc w:val="center"/>
              <w:rPr>
                <w:color w:val="auto"/>
                <w:szCs w:val="21"/>
              </w:rPr>
            </w:pPr>
            <w:r>
              <w:rPr>
                <w:color w:val="auto"/>
                <w:szCs w:val="21"/>
              </w:rPr>
              <w:t>环境</w:t>
            </w:r>
          </w:p>
          <w:p>
            <w:pPr>
              <w:jc w:val="center"/>
              <w:rPr>
                <w:color w:val="auto"/>
                <w:szCs w:val="21"/>
              </w:rPr>
            </w:pPr>
            <w:r>
              <w:rPr>
                <w:color w:val="auto"/>
                <w:szCs w:val="21"/>
              </w:rPr>
              <w:t>空气</w:t>
            </w:r>
          </w:p>
          <w:p>
            <w:pPr>
              <w:jc w:val="center"/>
              <w:rPr>
                <w:color w:val="auto"/>
                <w:szCs w:val="21"/>
              </w:rPr>
            </w:pPr>
            <w:r>
              <w:rPr>
                <w:color w:val="auto"/>
                <w:szCs w:val="21"/>
              </w:rPr>
              <w:t>二类区</w:t>
            </w: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西南</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1070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continue"/>
            <w:tcBorders>
              <w:tl2br w:val="nil"/>
              <w:tr2bl w:val="nil"/>
            </w:tcBorders>
            <w:vAlign w:val="center"/>
          </w:tcPr>
          <w:p>
            <w:pPr>
              <w:jc w:val="center"/>
              <w:rPr>
                <w:color w:val="auto"/>
                <w:szCs w:val="21"/>
              </w:rPr>
            </w:pPr>
          </w:p>
        </w:tc>
        <w:tc>
          <w:tcPr>
            <w:tcW w:w="1088" w:type="dxa"/>
            <w:tcBorders>
              <w:tl2br w:val="nil"/>
              <w:tr2bl w:val="nil"/>
            </w:tcBorders>
            <w:vAlign w:val="center"/>
          </w:tcPr>
          <w:p>
            <w:pPr>
              <w:widowControl/>
              <w:jc w:val="center"/>
              <w:textAlignment w:val="center"/>
              <w:rPr>
                <w:color w:val="auto"/>
                <w:szCs w:val="21"/>
              </w:rPr>
            </w:pPr>
            <w:r>
              <w:rPr>
                <w:color w:val="auto"/>
                <w:kern w:val="0"/>
                <w:szCs w:val="21"/>
                <w:lang w:bidi="ar"/>
              </w:rPr>
              <w:t>界牌村</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-748</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382</w:t>
            </w:r>
          </w:p>
        </w:tc>
        <w:tc>
          <w:tcPr>
            <w:tcW w:w="993" w:type="dxa"/>
            <w:tcBorders>
              <w:tl2br w:val="nil"/>
              <w:tr2bl w:val="nil"/>
            </w:tcBorders>
            <w:vAlign w:val="center"/>
          </w:tcPr>
          <w:p>
            <w:pPr>
              <w:adjustRightInd w:val="0"/>
              <w:snapToGrid w:val="0"/>
              <w:jc w:val="center"/>
              <w:rPr>
                <w:color w:val="auto"/>
                <w:szCs w:val="21"/>
              </w:rPr>
            </w:pPr>
            <w:r>
              <w:rPr>
                <w:color w:val="auto"/>
                <w:szCs w:val="21"/>
              </w:rPr>
              <w:t>行政村</w:t>
            </w:r>
          </w:p>
        </w:tc>
        <w:tc>
          <w:tcPr>
            <w:tcW w:w="1257" w:type="dxa"/>
            <w:tcBorders>
              <w:tl2br w:val="nil"/>
              <w:tr2bl w:val="nil"/>
            </w:tcBorders>
            <w:vAlign w:val="center"/>
          </w:tcPr>
          <w:p>
            <w:pPr>
              <w:adjustRightInd w:val="0"/>
              <w:snapToGrid w:val="0"/>
              <w:jc w:val="center"/>
              <w:rPr>
                <w:color w:val="auto"/>
                <w:szCs w:val="21"/>
              </w:rPr>
            </w:pPr>
            <w:r>
              <w:rPr>
                <w:color w:val="auto"/>
                <w:szCs w:val="21"/>
              </w:rPr>
              <w:t>约5050人</w:t>
            </w:r>
          </w:p>
        </w:tc>
        <w:tc>
          <w:tcPr>
            <w:tcW w:w="986" w:type="dxa"/>
            <w:vMerge w:val="continue"/>
            <w:tcBorders>
              <w:tl2br w:val="nil"/>
              <w:tr2bl w:val="nil"/>
            </w:tcBorders>
            <w:vAlign w:val="center"/>
          </w:tcPr>
          <w:p>
            <w:pPr>
              <w:jc w:val="center"/>
              <w:rPr>
                <w:color w:val="auto"/>
                <w:szCs w:val="21"/>
              </w:rPr>
            </w:pP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西北、东北</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840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continue"/>
            <w:tcBorders>
              <w:tl2br w:val="nil"/>
              <w:tr2bl w:val="nil"/>
            </w:tcBorders>
            <w:vAlign w:val="center"/>
          </w:tcPr>
          <w:p>
            <w:pPr>
              <w:jc w:val="center"/>
              <w:rPr>
                <w:color w:val="auto"/>
                <w:szCs w:val="21"/>
              </w:rPr>
            </w:pPr>
          </w:p>
        </w:tc>
        <w:tc>
          <w:tcPr>
            <w:tcW w:w="1088" w:type="dxa"/>
            <w:tcBorders>
              <w:tl2br w:val="nil"/>
              <w:tr2bl w:val="nil"/>
            </w:tcBorders>
            <w:vAlign w:val="center"/>
          </w:tcPr>
          <w:p>
            <w:pPr>
              <w:widowControl/>
              <w:jc w:val="center"/>
              <w:textAlignment w:val="center"/>
              <w:rPr>
                <w:color w:val="auto"/>
                <w:szCs w:val="21"/>
              </w:rPr>
            </w:pPr>
            <w:r>
              <w:rPr>
                <w:color w:val="auto"/>
                <w:kern w:val="0"/>
                <w:szCs w:val="21"/>
                <w:lang w:bidi="ar"/>
              </w:rPr>
              <w:t>舟山村</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1718</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2096</w:t>
            </w:r>
          </w:p>
        </w:tc>
        <w:tc>
          <w:tcPr>
            <w:tcW w:w="993" w:type="dxa"/>
            <w:tcBorders>
              <w:tl2br w:val="nil"/>
              <w:tr2bl w:val="nil"/>
            </w:tcBorders>
            <w:vAlign w:val="center"/>
          </w:tcPr>
          <w:p>
            <w:pPr>
              <w:adjustRightInd w:val="0"/>
              <w:snapToGrid w:val="0"/>
              <w:jc w:val="center"/>
              <w:rPr>
                <w:color w:val="auto"/>
                <w:szCs w:val="21"/>
              </w:rPr>
            </w:pPr>
            <w:r>
              <w:rPr>
                <w:color w:val="auto"/>
                <w:szCs w:val="21"/>
              </w:rPr>
              <w:t>行政村</w:t>
            </w:r>
          </w:p>
        </w:tc>
        <w:tc>
          <w:tcPr>
            <w:tcW w:w="1257" w:type="dxa"/>
            <w:tcBorders>
              <w:tl2br w:val="nil"/>
              <w:tr2bl w:val="nil"/>
            </w:tcBorders>
            <w:vAlign w:val="center"/>
          </w:tcPr>
          <w:p>
            <w:pPr>
              <w:adjustRightInd w:val="0"/>
              <w:snapToGrid w:val="0"/>
              <w:jc w:val="center"/>
              <w:rPr>
                <w:color w:val="auto"/>
                <w:szCs w:val="21"/>
              </w:rPr>
            </w:pPr>
            <w:r>
              <w:rPr>
                <w:color w:val="auto"/>
                <w:szCs w:val="21"/>
              </w:rPr>
              <w:t>约3000人</w:t>
            </w:r>
          </w:p>
        </w:tc>
        <w:tc>
          <w:tcPr>
            <w:tcW w:w="986" w:type="dxa"/>
            <w:vMerge w:val="continue"/>
            <w:tcBorders>
              <w:tl2br w:val="nil"/>
              <w:tr2bl w:val="nil"/>
            </w:tcBorders>
            <w:vAlign w:val="center"/>
          </w:tcPr>
          <w:p>
            <w:pPr>
              <w:jc w:val="center"/>
              <w:rPr>
                <w:color w:val="auto"/>
                <w:szCs w:val="21"/>
              </w:rPr>
            </w:pP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东</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2710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continue"/>
            <w:tcBorders>
              <w:bottom w:val="single" w:color="auto" w:sz="4" w:space="0"/>
              <w:tl2br w:val="nil"/>
              <w:tr2bl w:val="nil"/>
            </w:tcBorders>
            <w:vAlign w:val="center"/>
          </w:tcPr>
          <w:p>
            <w:pPr>
              <w:jc w:val="center"/>
              <w:rPr>
                <w:color w:val="auto"/>
                <w:szCs w:val="21"/>
              </w:rPr>
            </w:pPr>
          </w:p>
        </w:tc>
        <w:tc>
          <w:tcPr>
            <w:tcW w:w="1088" w:type="dxa"/>
            <w:tcBorders>
              <w:bottom w:val="single" w:color="auto" w:sz="4" w:space="0"/>
              <w:tl2br w:val="nil"/>
              <w:tr2bl w:val="nil"/>
            </w:tcBorders>
            <w:vAlign w:val="center"/>
          </w:tcPr>
          <w:p>
            <w:pPr>
              <w:widowControl/>
              <w:jc w:val="center"/>
              <w:textAlignment w:val="center"/>
              <w:rPr>
                <w:color w:val="auto"/>
                <w:szCs w:val="21"/>
              </w:rPr>
            </w:pPr>
            <w:r>
              <w:rPr>
                <w:color w:val="auto"/>
                <w:kern w:val="0"/>
                <w:szCs w:val="21"/>
                <w:lang w:bidi="ar"/>
              </w:rPr>
              <w:t>岐山村</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-1352</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2291</w:t>
            </w:r>
          </w:p>
        </w:tc>
        <w:tc>
          <w:tcPr>
            <w:tcW w:w="993" w:type="dxa"/>
            <w:tcBorders>
              <w:tl2br w:val="nil"/>
              <w:tr2bl w:val="nil"/>
            </w:tcBorders>
            <w:vAlign w:val="center"/>
          </w:tcPr>
          <w:p>
            <w:pPr>
              <w:adjustRightInd w:val="0"/>
              <w:snapToGrid w:val="0"/>
              <w:jc w:val="center"/>
              <w:rPr>
                <w:color w:val="auto"/>
                <w:szCs w:val="21"/>
              </w:rPr>
            </w:pPr>
            <w:r>
              <w:rPr>
                <w:color w:val="auto"/>
                <w:szCs w:val="21"/>
              </w:rPr>
              <w:t>行政村</w:t>
            </w:r>
          </w:p>
        </w:tc>
        <w:tc>
          <w:tcPr>
            <w:tcW w:w="1257" w:type="dxa"/>
            <w:tcBorders>
              <w:bottom w:val="single" w:color="auto" w:sz="4" w:space="0"/>
              <w:tl2br w:val="nil"/>
              <w:tr2bl w:val="nil"/>
            </w:tcBorders>
            <w:vAlign w:val="center"/>
          </w:tcPr>
          <w:p>
            <w:pPr>
              <w:adjustRightInd w:val="0"/>
              <w:snapToGrid w:val="0"/>
              <w:jc w:val="center"/>
              <w:rPr>
                <w:color w:val="auto"/>
                <w:szCs w:val="21"/>
              </w:rPr>
            </w:pPr>
            <w:r>
              <w:rPr>
                <w:color w:val="auto"/>
                <w:szCs w:val="21"/>
              </w:rPr>
              <w:t>约2200人</w:t>
            </w:r>
          </w:p>
        </w:tc>
        <w:tc>
          <w:tcPr>
            <w:tcW w:w="986" w:type="dxa"/>
            <w:vMerge w:val="continue"/>
            <w:tcBorders>
              <w:bottom w:val="single" w:color="auto" w:sz="4" w:space="0"/>
              <w:tl2br w:val="nil"/>
              <w:tr2bl w:val="nil"/>
            </w:tcBorders>
            <w:vAlign w:val="center"/>
          </w:tcPr>
          <w:p>
            <w:pPr>
              <w:jc w:val="center"/>
              <w:rPr>
                <w:color w:val="auto"/>
                <w:szCs w:val="21"/>
              </w:rPr>
            </w:pP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西北</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2660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restart"/>
            <w:tcBorders>
              <w:top w:val="single" w:color="auto" w:sz="4" w:space="0"/>
              <w:tl2br w:val="nil"/>
              <w:tr2bl w:val="nil"/>
            </w:tcBorders>
            <w:vAlign w:val="center"/>
          </w:tcPr>
          <w:p>
            <w:pPr>
              <w:jc w:val="center"/>
              <w:rPr>
                <w:color w:val="auto"/>
                <w:szCs w:val="21"/>
              </w:rPr>
            </w:pPr>
            <w:r>
              <w:rPr>
                <w:color w:val="auto"/>
                <w:szCs w:val="21"/>
              </w:rPr>
              <w:t>地表水</w:t>
            </w:r>
          </w:p>
        </w:tc>
        <w:tc>
          <w:tcPr>
            <w:tcW w:w="1088" w:type="dxa"/>
            <w:tcBorders>
              <w:top w:val="single" w:color="auto" w:sz="4" w:space="0"/>
              <w:tl2br w:val="nil"/>
              <w:tr2bl w:val="nil"/>
            </w:tcBorders>
            <w:vAlign w:val="center"/>
          </w:tcPr>
          <w:p>
            <w:pPr>
              <w:widowControl/>
              <w:jc w:val="center"/>
              <w:textAlignment w:val="center"/>
              <w:rPr>
                <w:color w:val="auto"/>
                <w:szCs w:val="21"/>
              </w:rPr>
            </w:pPr>
            <w:r>
              <w:rPr>
                <w:color w:val="auto"/>
                <w:kern w:val="0"/>
                <w:szCs w:val="21"/>
                <w:lang w:bidi="ar"/>
              </w:rPr>
              <w:t>北江</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-790</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1391</w:t>
            </w:r>
          </w:p>
        </w:tc>
        <w:tc>
          <w:tcPr>
            <w:tcW w:w="993" w:type="dxa"/>
            <w:tcBorders>
              <w:tl2br w:val="nil"/>
              <w:tr2bl w:val="nil"/>
            </w:tcBorders>
            <w:vAlign w:val="center"/>
          </w:tcPr>
          <w:p>
            <w:pPr>
              <w:adjustRightInd w:val="0"/>
              <w:snapToGrid w:val="0"/>
              <w:jc w:val="center"/>
              <w:rPr>
                <w:color w:val="auto"/>
                <w:szCs w:val="21"/>
              </w:rPr>
            </w:pPr>
            <w:r>
              <w:rPr>
                <w:color w:val="auto"/>
                <w:szCs w:val="21"/>
              </w:rPr>
              <w:t>河流</w:t>
            </w:r>
          </w:p>
        </w:tc>
        <w:tc>
          <w:tcPr>
            <w:tcW w:w="1257" w:type="dxa"/>
            <w:tcBorders>
              <w:top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86" w:type="dxa"/>
            <w:tcBorders>
              <w:top w:val="single" w:color="auto" w:sz="4" w:space="0"/>
              <w:bottom w:val="single" w:color="auto" w:sz="4" w:space="0"/>
              <w:tl2br w:val="nil"/>
              <w:tr2bl w:val="nil"/>
            </w:tcBorders>
            <w:vAlign w:val="center"/>
          </w:tcPr>
          <w:p>
            <w:pPr>
              <w:jc w:val="center"/>
              <w:rPr>
                <w:color w:val="auto"/>
                <w:szCs w:val="21"/>
              </w:rPr>
            </w:pPr>
            <w:r>
              <w:rPr>
                <w:color w:val="auto"/>
                <w:szCs w:val="21"/>
              </w:rPr>
              <w:t>地表水Ⅱ级</w:t>
            </w: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西北</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1600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80" w:type="dxa"/>
            <w:vMerge w:val="continue"/>
            <w:tcBorders>
              <w:tl2br w:val="nil"/>
              <w:tr2bl w:val="nil"/>
            </w:tcBorders>
            <w:vAlign w:val="center"/>
          </w:tcPr>
          <w:p>
            <w:pPr>
              <w:jc w:val="center"/>
              <w:rPr>
                <w:color w:val="auto"/>
                <w:szCs w:val="21"/>
              </w:rPr>
            </w:pPr>
          </w:p>
        </w:tc>
        <w:tc>
          <w:tcPr>
            <w:tcW w:w="1088" w:type="dxa"/>
            <w:tcBorders>
              <w:tl2br w:val="nil"/>
              <w:tr2bl w:val="nil"/>
            </w:tcBorders>
            <w:vAlign w:val="center"/>
          </w:tcPr>
          <w:p>
            <w:pPr>
              <w:widowControl/>
              <w:jc w:val="center"/>
              <w:textAlignment w:val="center"/>
              <w:rPr>
                <w:color w:val="auto"/>
                <w:szCs w:val="21"/>
              </w:rPr>
            </w:pPr>
            <w:r>
              <w:rPr>
                <w:color w:val="auto"/>
                <w:kern w:val="0"/>
                <w:szCs w:val="21"/>
                <w:lang w:bidi="ar"/>
              </w:rPr>
              <w:t>沙埗溪</w:t>
            </w:r>
          </w:p>
        </w:tc>
        <w:tc>
          <w:tcPr>
            <w:tcW w:w="841" w:type="dxa"/>
            <w:tcBorders>
              <w:tl2br w:val="nil"/>
              <w:tr2bl w:val="nil"/>
            </w:tcBorders>
            <w:vAlign w:val="center"/>
          </w:tcPr>
          <w:p>
            <w:pPr>
              <w:widowControl/>
              <w:jc w:val="center"/>
              <w:textAlignment w:val="center"/>
              <w:rPr>
                <w:color w:val="auto"/>
                <w:szCs w:val="21"/>
              </w:rPr>
            </w:pPr>
            <w:r>
              <w:rPr>
                <w:color w:val="auto"/>
                <w:kern w:val="0"/>
                <w:szCs w:val="21"/>
                <w:lang w:bidi="ar"/>
              </w:rPr>
              <w:t>740</w:t>
            </w:r>
          </w:p>
        </w:tc>
        <w:tc>
          <w:tcPr>
            <w:tcW w:w="721" w:type="dxa"/>
            <w:tcBorders>
              <w:tl2br w:val="nil"/>
              <w:tr2bl w:val="nil"/>
            </w:tcBorders>
            <w:vAlign w:val="center"/>
          </w:tcPr>
          <w:p>
            <w:pPr>
              <w:widowControl/>
              <w:jc w:val="center"/>
              <w:textAlignment w:val="center"/>
              <w:rPr>
                <w:color w:val="auto"/>
                <w:szCs w:val="21"/>
              </w:rPr>
            </w:pPr>
            <w:r>
              <w:rPr>
                <w:color w:val="auto"/>
                <w:kern w:val="0"/>
                <w:szCs w:val="21"/>
                <w:lang w:bidi="ar"/>
              </w:rPr>
              <w:t>0</w:t>
            </w:r>
          </w:p>
        </w:tc>
        <w:tc>
          <w:tcPr>
            <w:tcW w:w="993" w:type="dxa"/>
            <w:tcBorders>
              <w:tl2br w:val="nil"/>
              <w:tr2bl w:val="nil"/>
            </w:tcBorders>
            <w:vAlign w:val="center"/>
          </w:tcPr>
          <w:p>
            <w:pPr>
              <w:adjustRightInd w:val="0"/>
              <w:snapToGrid w:val="0"/>
              <w:jc w:val="center"/>
              <w:rPr>
                <w:color w:val="auto"/>
                <w:szCs w:val="21"/>
              </w:rPr>
            </w:pPr>
            <w:r>
              <w:rPr>
                <w:color w:val="auto"/>
                <w:szCs w:val="21"/>
              </w:rPr>
              <w:t>河流</w:t>
            </w:r>
          </w:p>
        </w:tc>
        <w:tc>
          <w:tcPr>
            <w:tcW w:w="1257" w:type="dxa"/>
            <w:tcBorders>
              <w:tl2br w:val="nil"/>
              <w:tr2bl w:val="nil"/>
            </w:tcBorders>
            <w:vAlign w:val="center"/>
          </w:tcPr>
          <w:p>
            <w:pPr>
              <w:adjustRightInd w:val="0"/>
              <w:snapToGrid w:val="0"/>
              <w:jc w:val="center"/>
              <w:rPr>
                <w:color w:val="auto"/>
                <w:szCs w:val="21"/>
              </w:rPr>
            </w:pPr>
            <w:r>
              <w:rPr>
                <w:color w:val="auto"/>
                <w:szCs w:val="21"/>
              </w:rPr>
              <w:t>/</w:t>
            </w:r>
          </w:p>
        </w:tc>
        <w:tc>
          <w:tcPr>
            <w:tcW w:w="986" w:type="dxa"/>
            <w:tcBorders>
              <w:top w:val="single" w:color="auto" w:sz="4" w:space="0"/>
              <w:tl2br w:val="nil"/>
              <w:tr2bl w:val="nil"/>
            </w:tcBorders>
            <w:vAlign w:val="center"/>
          </w:tcPr>
          <w:p>
            <w:pPr>
              <w:jc w:val="center"/>
              <w:rPr>
                <w:color w:val="auto"/>
                <w:szCs w:val="21"/>
              </w:rPr>
            </w:pPr>
            <w:r>
              <w:rPr>
                <w:color w:val="auto"/>
                <w:szCs w:val="21"/>
              </w:rPr>
              <w:t>地表水Ⅳ级</w:t>
            </w:r>
          </w:p>
        </w:tc>
        <w:tc>
          <w:tcPr>
            <w:tcW w:w="923" w:type="dxa"/>
            <w:tcBorders>
              <w:tl2br w:val="nil"/>
              <w:tr2bl w:val="nil"/>
            </w:tcBorders>
            <w:vAlign w:val="center"/>
          </w:tcPr>
          <w:p>
            <w:pPr>
              <w:widowControl/>
              <w:jc w:val="center"/>
              <w:textAlignment w:val="center"/>
              <w:rPr>
                <w:color w:val="auto"/>
                <w:szCs w:val="21"/>
              </w:rPr>
            </w:pPr>
            <w:r>
              <w:rPr>
                <w:color w:val="auto"/>
                <w:kern w:val="0"/>
                <w:szCs w:val="21"/>
                <w:lang w:bidi="ar"/>
              </w:rPr>
              <w:t>西</w:t>
            </w:r>
          </w:p>
        </w:tc>
        <w:tc>
          <w:tcPr>
            <w:tcW w:w="933" w:type="dxa"/>
            <w:tcBorders>
              <w:tl2br w:val="nil"/>
              <w:tr2bl w:val="nil"/>
            </w:tcBorders>
            <w:vAlign w:val="center"/>
          </w:tcPr>
          <w:p>
            <w:pPr>
              <w:widowControl/>
              <w:jc w:val="center"/>
              <w:textAlignment w:val="center"/>
              <w:rPr>
                <w:color w:val="auto"/>
                <w:szCs w:val="21"/>
              </w:rPr>
            </w:pPr>
            <w:r>
              <w:rPr>
                <w:color w:val="auto"/>
                <w:kern w:val="0"/>
                <w:szCs w:val="21"/>
                <w:lang w:bidi="ar"/>
              </w:rPr>
              <w:t>740</w:t>
            </w:r>
          </w:p>
        </w:tc>
      </w:tr>
    </w:tbl>
    <w:p>
      <w:pPr>
        <w:rPr>
          <w:b/>
          <w:bCs/>
          <w:color w:val="auto"/>
        </w:rPr>
      </w:pPr>
      <w:r>
        <w:rPr>
          <w:color w:val="auto"/>
        </w:rPr>
        <w:t>注：本次评价</w:t>
      </w:r>
      <w:r>
        <w:rPr>
          <w:color w:val="auto"/>
          <w:szCs w:val="21"/>
        </w:rPr>
        <w:t>以项目</w:t>
      </w:r>
      <w:r>
        <w:rPr>
          <w:rFonts w:hint="eastAsia"/>
          <w:color w:val="auto"/>
          <w:szCs w:val="21"/>
        </w:rPr>
        <w:t>南面角落</w:t>
      </w:r>
      <w:r>
        <w:rPr>
          <w:color w:val="auto"/>
          <w:szCs w:val="21"/>
        </w:rPr>
        <w:t>为坐标原点</w:t>
      </w:r>
      <w:r>
        <w:rPr>
          <w:color w:val="auto"/>
        </w:rPr>
        <w:t>，南北向为y轴、东西向为x轴建立坐标系</w:t>
      </w:r>
      <w:r>
        <w:rPr>
          <w:rFonts w:hint="eastAsia"/>
          <w:color w:val="auto"/>
        </w:rPr>
        <w:t>。</w:t>
      </w:r>
      <w:r>
        <w:rPr>
          <w:rFonts w:hint="eastAsia"/>
          <w:b/>
          <w:bCs/>
          <w:color w:val="auto"/>
        </w:rPr>
        <w:drawing>
          <wp:inline distT="0" distB="0" distL="114300" distR="114300">
            <wp:extent cx="6240145" cy="5332730"/>
            <wp:effectExtent l="0" t="0" r="8255" b="1270"/>
            <wp:docPr id="1" name="图片 1" descr="评价范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评价范围1"/>
                    <pic:cNvPicPr>
                      <a:picLocks noChangeAspect="1"/>
                    </pic:cNvPicPr>
                  </pic:nvPicPr>
                  <pic:blipFill>
                    <a:blip r:embed="rId35"/>
                    <a:stretch>
                      <a:fillRect/>
                    </a:stretch>
                  </pic:blipFill>
                  <pic:spPr>
                    <a:xfrm>
                      <a:off x="0" y="0"/>
                      <a:ext cx="6240145" cy="5332730"/>
                    </a:xfrm>
                    <a:prstGeom prst="rect">
                      <a:avLst/>
                    </a:prstGeom>
                  </pic:spPr>
                </pic:pic>
              </a:graphicData>
            </a:graphic>
          </wp:inline>
        </w:drawing>
      </w:r>
    </w:p>
    <w:p>
      <w:pPr>
        <w:jc w:val="center"/>
        <w:rPr>
          <w:color w:val="auto"/>
        </w:rPr>
        <w:sectPr>
          <w:footerReference r:id="rId5" w:type="default"/>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sz w:val="24"/>
        </w:rPr>
        <w:t>图2.</w:t>
      </w:r>
      <w:r>
        <w:rPr>
          <w:rFonts w:hint="eastAsia"/>
          <w:b/>
          <w:bCs/>
          <w:color w:val="auto"/>
          <w:sz w:val="24"/>
        </w:rPr>
        <w:t>8</w:t>
      </w:r>
      <w:r>
        <w:rPr>
          <w:b/>
          <w:bCs/>
          <w:color w:val="auto"/>
          <w:sz w:val="24"/>
        </w:rPr>
        <w:t>-1</w:t>
      </w:r>
      <w:r>
        <w:rPr>
          <w:rFonts w:hint="eastAsia"/>
          <w:b/>
          <w:bCs/>
          <w:color w:val="auto"/>
          <w:sz w:val="24"/>
        </w:rPr>
        <w:t xml:space="preserve">  </w:t>
      </w:r>
      <w:r>
        <w:rPr>
          <w:b/>
          <w:bCs/>
          <w:color w:val="auto"/>
          <w:sz w:val="24"/>
        </w:rPr>
        <w:t>项目周边敏感点分布示意图</w:t>
      </w:r>
      <w:r>
        <w:rPr>
          <w:b/>
          <w:bCs/>
          <w:color w:val="auto"/>
        </w:rPr>
        <w:br w:type="page"/>
      </w:r>
    </w:p>
    <w:p>
      <w:pPr>
        <w:pStyle w:val="4"/>
        <w:numPr>
          <w:ilvl w:val="0"/>
          <w:numId w:val="0"/>
        </w:numPr>
        <w:spacing w:before="159" w:after="159"/>
        <w:ind w:left="568"/>
        <w:rPr>
          <w:color w:val="auto"/>
          <w:sz w:val="44"/>
          <w:szCs w:val="44"/>
        </w:rPr>
      </w:pPr>
      <w:bookmarkStart w:id="249" w:name="_Toc1067"/>
      <w:bookmarkStart w:id="250" w:name="_Toc29285"/>
      <w:r>
        <w:rPr>
          <w:rFonts w:hint="eastAsia"/>
          <w:color w:val="auto"/>
          <w:sz w:val="44"/>
          <w:szCs w:val="44"/>
        </w:rPr>
        <w:t>3  现有项目回顾</w:t>
      </w:r>
      <w:r>
        <w:rPr>
          <w:color w:val="auto"/>
          <w:sz w:val="44"/>
          <w:szCs w:val="44"/>
        </w:rPr>
        <w:t>分析</w:t>
      </w:r>
      <w:bookmarkEnd w:id="249"/>
      <w:bookmarkEnd w:id="250"/>
    </w:p>
    <w:p>
      <w:pPr>
        <w:pStyle w:val="5"/>
        <w:numPr>
          <w:ilvl w:val="1"/>
          <w:numId w:val="0"/>
        </w:numPr>
        <w:tabs>
          <w:tab w:val="clear" w:pos="720"/>
        </w:tabs>
        <w:spacing w:before="159" w:after="159"/>
        <w:rPr>
          <w:color w:val="auto"/>
          <w:sz w:val="32"/>
          <w:szCs w:val="32"/>
        </w:rPr>
      </w:pPr>
      <w:bookmarkStart w:id="251" w:name="_Toc23309"/>
      <w:bookmarkStart w:id="252" w:name="_Toc3488"/>
      <w:r>
        <w:rPr>
          <w:rFonts w:hint="eastAsia"/>
          <w:color w:val="auto"/>
          <w:sz w:val="32"/>
          <w:szCs w:val="32"/>
        </w:rPr>
        <w:t>3.1  现有项目</w:t>
      </w:r>
      <w:r>
        <w:rPr>
          <w:color w:val="auto"/>
          <w:sz w:val="32"/>
          <w:szCs w:val="32"/>
        </w:rPr>
        <w:t>介绍</w:t>
      </w:r>
      <w:bookmarkEnd w:id="251"/>
      <w:bookmarkEnd w:id="252"/>
    </w:p>
    <w:p>
      <w:pPr>
        <w:pStyle w:val="7"/>
        <w:numPr>
          <w:ilvl w:val="2"/>
          <w:numId w:val="0"/>
        </w:numPr>
        <w:tabs>
          <w:tab w:val="clear" w:pos="720"/>
        </w:tabs>
        <w:spacing w:before="159" w:after="159"/>
        <w:rPr>
          <w:color w:val="auto"/>
        </w:rPr>
      </w:pPr>
      <w:bookmarkStart w:id="253" w:name="_Toc31948"/>
      <w:r>
        <w:rPr>
          <w:rFonts w:hint="eastAsia"/>
          <w:color w:val="auto"/>
        </w:rPr>
        <w:t>3.1.1  现有项目</w:t>
      </w:r>
      <w:r>
        <w:rPr>
          <w:color w:val="auto"/>
        </w:rPr>
        <w:t>基本情况</w:t>
      </w:r>
      <w:bookmarkEnd w:id="2"/>
      <w:bookmarkEnd w:id="253"/>
    </w:p>
    <w:p>
      <w:pPr>
        <w:autoSpaceDE w:val="0"/>
        <w:autoSpaceDN w:val="0"/>
        <w:adjustRightInd w:val="0"/>
        <w:spacing w:line="360" w:lineRule="auto"/>
        <w:ind w:firstLine="480" w:firstLineChars="200"/>
        <w:rPr>
          <w:color w:val="auto"/>
          <w:sz w:val="24"/>
        </w:rPr>
      </w:pPr>
      <w:r>
        <w:rPr>
          <w:color w:val="auto"/>
          <w:sz w:val="24"/>
        </w:rPr>
        <w:t>清远市清城区信兴金属回收加工有限公司位于清远市清城区龙塘镇陂坑管理区万水河边，东经113°6′16″，北纬23°34′20″。占地面积13000平方米，建筑面积约为5</w:t>
      </w:r>
      <w:r>
        <w:rPr>
          <w:rFonts w:hint="eastAsia"/>
          <w:color w:val="auto"/>
          <w:sz w:val="24"/>
        </w:rPr>
        <w:t>7</w:t>
      </w:r>
      <w:r>
        <w:rPr>
          <w:color w:val="auto"/>
          <w:sz w:val="24"/>
        </w:rPr>
        <w:t>00平方米</w:t>
      </w:r>
      <w:r>
        <w:rPr>
          <w:rFonts w:hint="eastAsia"/>
          <w:color w:val="auto"/>
          <w:sz w:val="24"/>
        </w:rPr>
        <w:t>。</w:t>
      </w:r>
      <w:r>
        <w:rPr>
          <w:color w:val="auto"/>
          <w:sz w:val="24"/>
        </w:rPr>
        <w:t>主要将覆铜板边角料破碎后回收</w:t>
      </w:r>
      <w:r>
        <w:rPr>
          <w:rFonts w:hint="eastAsia"/>
          <w:color w:val="auto"/>
          <w:sz w:val="24"/>
        </w:rPr>
        <w:t>其中的</w:t>
      </w:r>
      <w:r>
        <w:rPr>
          <w:color w:val="auto"/>
          <w:sz w:val="24"/>
        </w:rPr>
        <w:t>铜粉</w:t>
      </w:r>
      <w:r>
        <w:rPr>
          <w:rFonts w:hint="eastAsia"/>
          <w:color w:val="auto"/>
          <w:sz w:val="24"/>
        </w:rPr>
        <w:t>。</w:t>
      </w:r>
      <w:r>
        <w:rPr>
          <w:color w:val="auto"/>
          <w:sz w:val="24"/>
        </w:rPr>
        <w:t>公司于2008年取得</w:t>
      </w:r>
      <w:r>
        <w:rPr>
          <w:rFonts w:hint="eastAsia"/>
          <w:color w:val="auto"/>
          <w:sz w:val="24"/>
        </w:rPr>
        <w:t>原</w:t>
      </w:r>
      <w:r>
        <w:rPr>
          <w:color w:val="auto"/>
          <w:sz w:val="24"/>
        </w:rPr>
        <w:t>清远市</w:t>
      </w:r>
      <w:r>
        <w:rPr>
          <w:rFonts w:hint="eastAsia"/>
          <w:color w:val="auto"/>
          <w:sz w:val="24"/>
        </w:rPr>
        <w:t>环境保护</w:t>
      </w:r>
      <w:r>
        <w:rPr>
          <w:color w:val="auto"/>
          <w:sz w:val="24"/>
        </w:rPr>
        <w:t>局关于《清远市清城区信兴金属回收加工厂年回收铜粉600吨建设项目环境影响报告表》的批复（清环建表[2008]141号）；于2011年通过</w:t>
      </w:r>
      <w:r>
        <w:rPr>
          <w:rFonts w:hint="eastAsia"/>
          <w:color w:val="auto"/>
          <w:sz w:val="24"/>
        </w:rPr>
        <w:t>原</w:t>
      </w:r>
      <w:r>
        <w:rPr>
          <w:color w:val="auto"/>
          <w:sz w:val="24"/>
        </w:rPr>
        <w:t>清远市</w:t>
      </w:r>
      <w:r>
        <w:rPr>
          <w:rFonts w:hint="eastAsia"/>
          <w:color w:val="auto"/>
          <w:sz w:val="24"/>
        </w:rPr>
        <w:t>环境保护</w:t>
      </w:r>
      <w:r>
        <w:rPr>
          <w:color w:val="auto"/>
          <w:sz w:val="24"/>
        </w:rPr>
        <w:t>局的验收（清环验[2011]13号）；并于2019年9月30日取得排污许可（证书编号91441802MA4WE24HXJ001U）。</w:t>
      </w:r>
      <w:r>
        <w:rPr>
          <w:rFonts w:hint="eastAsia"/>
          <w:color w:val="auto"/>
          <w:sz w:val="24"/>
        </w:rPr>
        <w:t>现有项目环保相关手续见下表。</w:t>
      </w:r>
    </w:p>
    <w:p>
      <w:pPr>
        <w:pStyle w:val="9"/>
        <w:rPr>
          <w:rFonts w:ascii="Times New Roman" w:hAnsi="Times New Roman" w:eastAsia="宋体"/>
          <w:color w:val="auto"/>
          <w:sz w:val="21"/>
        </w:rPr>
      </w:pPr>
      <w:r>
        <w:rPr>
          <w:rFonts w:ascii="Times New Roman" w:hAnsi="Times New Roman" w:eastAsia="宋体"/>
          <w:color w:val="auto"/>
          <w:sz w:val="21"/>
        </w:rPr>
        <w:t>表</w:t>
      </w:r>
      <w:r>
        <w:rPr>
          <w:rFonts w:ascii="Times New Roman" w:hAnsi="Times New Roman" w:eastAsia="宋体"/>
          <w:color w:val="auto"/>
          <w:sz w:val="21"/>
        </w:rPr>
        <w:fldChar w:fldCharType="begin"/>
      </w:r>
      <w:r>
        <w:rPr>
          <w:rFonts w:ascii="Times New Roman" w:hAnsi="Times New Roman" w:eastAsia="宋体"/>
          <w:color w:val="auto"/>
          <w:sz w:val="21"/>
        </w:rPr>
        <w:instrText xml:space="preserve"> STYLEREF 2 \s </w:instrText>
      </w:r>
      <w:r>
        <w:rPr>
          <w:rFonts w:ascii="Times New Roman" w:hAnsi="Times New Roman" w:eastAsia="宋体"/>
          <w:color w:val="auto"/>
          <w:sz w:val="21"/>
        </w:rPr>
        <w:fldChar w:fldCharType="separate"/>
      </w:r>
      <w:r>
        <w:rPr>
          <w:rFonts w:ascii="Times New Roman" w:hAnsi="Times New Roman" w:eastAsia="宋体"/>
          <w:color w:val="auto"/>
          <w:sz w:val="21"/>
        </w:rPr>
        <w:t>3.1</w:t>
      </w:r>
      <w:r>
        <w:rPr>
          <w:rFonts w:ascii="Times New Roman" w:hAnsi="Times New Roman" w:eastAsia="宋体"/>
          <w:color w:val="auto"/>
          <w:sz w:val="21"/>
        </w:rPr>
        <w:fldChar w:fldCharType="end"/>
      </w:r>
      <w:r>
        <w:rPr>
          <w:rFonts w:ascii="Times New Roman" w:hAnsi="Times New Roman" w:eastAsia="宋体"/>
          <w:color w:val="auto"/>
          <w:sz w:val="21"/>
        </w:rPr>
        <w:noBreakHyphen/>
      </w:r>
      <w:r>
        <w:rPr>
          <w:rFonts w:ascii="Times New Roman" w:hAnsi="Times New Roman" w:eastAsia="宋体"/>
          <w:color w:val="auto"/>
          <w:sz w:val="21"/>
        </w:rPr>
        <w:t>1</w:t>
      </w:r>
      <w:r>
        <w:rPr>
          <w:rFonts w:hint="eastAsia" w:ascii="Times New Roman" w:hAnsi="Times New Roman" w:eastAsia="宋体"/>
          <w:color w:val="auto"/>
          <w:sz w:val="21"/>
        </w:rPr>
        <w:t xml:space="preserve">  现有项目环保相关手续</w:t>
      </w:r>
      <w:r>
        <w:rPr>
          <w:rFonts w:ascii="Times New Roman" w:hAnsi="Times New Roman" w:eastAsia="宋体"/>
          <w:bCs w:val="0"/>
          <w:color w:val="auto"/>
          <w:sz w:val="21"/>
        </w:rPr>
        <w:t>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2"/>
        <w:gridCol w:w="1180"/>
        <w:gridCol w:w="2004"/>
        <w:gridCol w:w="3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2182" w:type="dxa"/>
            <w:shd w:val="clear" w:color="auto" w:fill="auto"/>
            <w:vAlign w:val="center"/>
          </w:tcPr>
          <w:p>
            <w:pPr>
              <w:autoSpaceDE w:val="0"/>
              <w:autoSpaceDN w:val="0"/>
              <w:adjustRightInd w:val="0"/>
              <w:spacing w:line="300" w:lineRule="auto"/>
              <w:jc w:val="center"/>
              <w:rPr>
                <w:color w:val="auto"/>
                <w:szCs w:val="21"/>
              </w:rPr>
            </w:pPr>
            <w:r>
              <w:rPr>
                <w:color w:val="auto"/>
                <w:szCs w:val="21"/>
              </w:rPr>
              <w:t>项目名称</w:t>
            </w:r>
          </w:p>
        </w:tc>
        <w:tc>
          <w:tcPr>
            <w:tcW w:w="1180" w:type="dxa"/>
            <w:shd w:val="clear" w:color="auto" w:fill="auto"/>
            <w:vAlign w:val="center"/>
          </w:tcPr>
          <w:p>
            <w:pPr>
              <w:autoSpaceDE w:val="0"/>
              <w:autoSpaceDN w:val="0"/>
              <w:adjustRightInd w:val="0"/>
              <w:spacing w:line="300" w:lineRule="auto"/>
              <w:jc w:val="center"/>
              <w:rPr>
                <w:color w:val="auto"/>
              </w:rPr>
            </w:pPr>
            <w:r>
              <w:rPr>
                <w:rFonts w:hint="eastAsia"/>
                <w:color w:val="auto"/>
                <w:szCs w:val="21"/>
              </w:rPr>
              <w:t>时间</w:t>
            </w:r>
          </w:p>
        </w:tc>
        <w:tc>
          <w:tcPr>
            <w:tcW w:w="2004" w:type="dxa"/>
            <w:shd w:val="clear" w:color="auto" w:fill="auto"/>
            <w:vAlign w:val="center"/>
          </w:tcPr>
          <w:p>
            <w:pPr>
              <w:autoSpaceDE w:val="0"/>
              <w:autoSpaceDN w:val="0"/>
              <w:adjustRightInd w:val="0"/>
              <w:spacing w:line="300" w:lineRule="auto"/>
              <w:rPr>
                <w:color w:val="auto"/>
                <w:szCs w:val="21"/>
              </w:rPr>
            </w:pPr>
            <w:r>
              <w:rPr>
                <w:rFonts w:hint="eastAsia"/>
                <w:color w:val="auto"/>
                <w:szCs w:val="21"/>
              </w:rPr>
              <w:t>环保手续文件</w:t>
            </w:r>
          </w:p>
        </w:tc>
        <w:tc>
          <w:tcPr>
            <w:tcW w:w="3582" w:type="dxa"/>
            <w:shd w:val="clear" w:color="auto" w:fill="auto"/>
            <w:vAlign w:val="center"/>
          </w:tcPr>
          <w:p>
            <w:pPr>
              <w:autoSpaceDE w:val="0"/>
              <w:autoSpaceDN w:val="0"/>
              <w:adjustRightInd w:val="0"/>
              <w:spacing w:line="300" w:lineRule="auto"/>
              <w:jc w:val="center"/>
              <w:rPr>
                <w:color w:val="auto"/>
                <w:szCs w:val="21"/>
              </w:rPr>
            </w:pPr>
            <w:r>
              <w:rPr>
                <w:rFonts w:hint="eastAsia"/>
                <w:color w:val="auto"/>
                <w:szCs w:val="21"/>
              </w:rPr>
              <w:t>文件编号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182" w:type="dxa"/>
            <w:vMerge w:val="restart"/>
            <w:shd w:val="clear" w:color="auto" w:fill="auto"/>
            <w:vAlign w:val="center"/>
          </w:tcPr>
          <w:p>
            <w:pPr>
              <w:autoSpaceDE w:val="0"/>
              <w:autoSpaceDN w:val="0"/>
              <w:adjustRightInd w:val="0"/>
              <w:spacing w:line="300" w:lineRule="auto"/>
              <w:jc w:val="center"/>
              <w:rPr>
                <w:color w:val="auto"/>
                <w:szCs w:val="21"/>
              </w:rPr>
            </w:pPr>
            <w:r>
              <w:rPr>
                <w:color w:val="auto"/>
                <w:szCs w:val="21"/>
              </w:rPr>
              <w:t>清远市清城区信兴金属回收加工厂年回收铜粉600吨建设项目</w:t>
            </w:r>
          </w:p>
        </w:tc>
        <w:tc>
          <w:tcPr>
            <w:tcW w:w="1180" w:type="dxa"/>
            <w:shd w:val="clear" w:color="auto" w:fill="auto"/>
            <w:vAlign w:val="center"/>
          </w:tcPr>
          <w:p>
            <w:pPr>
              <w:autoSpaceDE w:val="0"/>
              <w:autoSpaceDN w:val="0"/>
              <w:adjustRightInd w:val="0"/>
              <w:spacing w:line="300" w:lineRule="auto"/>
              <w:jc w:val="center"/>
              <w:rPr>
                <w:color w:val="auto"/>
              </w:rPr>
            </w:pPr>
            <w:r>
              <w:rPr>
                <w:rFonts w:hint="eastAsia"/>
                <w:color w:val="auto"/>
                <w:szCs w:val="21"/>
              </w:rPr>
              <w:t>2008.6</w:t>
            </w:r>
          </w:p>
        </w:tc>
        <w:tc>
          <w:tcPr>
            <w:tcW w:w="2004" w:type="dxa"/>
            <w:shd w:val="clear" w:color="auto" w:fill="auto"/>
            <w:vAlign w:val="center"/>
          </w:tcPr>
          <w:p>
            <w:pPr>
              <w:autoSpaceDE w:val="0"/>
              <w:autoSpaceDN w:val="0"/>
              <w:adjustRightInd w:val="0"/>
              <w:spacing w:line="300" w:lineRule="auto"/>
              <w:jc w:val="center"/>
              <w:rPr>
                <w:color w:val="auto"/>
                <w:szCs w:val="21"/>
              </w:rPr>
            </w:pPr>
            <w:r>
              <w:rPr>
                <w:color w:val="auto"/>
                <w:szCs w:val="21"/>
              </w:rPr>
              <w:t>环评批复</w:t>
            </w:r>
          </w:p>
        </w:tc>
        <w:tc>
          <w:tcPr>
            <w:tcW w:w="3582" w:type="dxa"/>
            <w:shd w:val="clear" w:color="auto" w:fill="auto"/>
            <w:vAlign w:val="center"/>
          </w:tcPr>
          <w:p>
            <w:pPr>
              <w:autoSpaceDE w:val="0"/>
              <w:autoSpaceDN w:val="0"/>
              <w:adjustRightInd w:val="0"/>
              <w:spacing w:line="300" w:lineRule="auto"/>
              <w:jc w:val="center"/>
              <w:rPr>
                <w:color w:val="auto"/>
                <w:szCs w:val="21"/>
              </w:rPr>
            </w:pPr>
            <w:r>
              <w:rPr>
                <w:color w:val="auto"/>
                <w:szCs w:val="21"/>
              </w:rPr>
              <w:t>清环建表[2008]141号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182" w:type="dxa"/>
            <w:vMerge w:val="continue"/>
            <w:shd w:val="clear" w:color="auto" w:fill="auto"/>
            <w:vAlign w:val="center"/>
          </w:tcPr>
          <w:p>
            <w:pPr>
              <w:autoSpaceDE w:val="0"/>
              <w:autoSpaceDN w:val="0"/>
              <w:adjustRightInd w:val="0"/>
              <w:spacing w:line="300" w:lineRule="auto"/>
              <w:jc w:val="center"/>
              <w:rPr>
                <w:color w:val="auto"/>
              </w:rPr>
            </w:pPr>
          </w:p>
        </w:tc>
        <w:tc>
          <w:tcPr>
            <w:tcW w:w="1180" w:type="dxa"/>
            <w:shd w:val="clear" w:color="auto" w:fill="auto"/>
            <w:vAlign w:val="center"/>
          </w:tcPr>
          <w:p>
            <w:pPr>
              <w:autoSpaceDE w:val="0"/>
              <w:autoSpaceDN w:val="0"/>
              <w:adjustRightInd w:val="0"/>
              <w:spacing w:line="300" w:lineRule="auto"/>
              <w:jc w:val="center"/>
              <w:rPr>
                <w:color w:val="auto"/>
              </w:rPr>
            </w:pPr>
            <w:r>
              <w:rPr>
                <w:rFonts w:hint="eastAsia"/>
                <w:color w:val="auto"/>
                <w:szCs w:val="21"/>
              </w:rPr>
              <w:t>2011.1</w:t>
            </w:r>
          </w:p>
        </w:tc>
        <w:tc>
          <w:tcPr>
            <w:tcW w:w="2004" w:type="dxa"/>
            <w:shd w:val="clear" w:color="auto" w:fill="auto"/>
            <w:vAlign w:val="center"/>
          </w:tcPr>
          <w:p>
            <w:pPr>
              <w:autoSpaceDE w:val="0"/>
              <w:autoSpaceDN w:val="0"/>
              <w:adjustRightInd w:val="0"/>
              <w:spacing w:line="300" w:lineRule="auto"/>
              <w:jc w:val="center"/>
              <w:rPr>
                <w:color w:val="auto"/>
              </w:rPr>
            </w:pPr>
            <w:r>
              <w:rPr>
                <w:color w:val="auto"/>
                <w:szCs w:val="21"/>
              </w:rPr>
              <w:t>环保验收</w:t>
            </w:r>
          </w:p>
        </w:tc>
        <w:tc>
          <w:tcPr>
            <w:tcW w:w="3582" w:type="dxa"/>
            <w:shd w:val="clear" w:color="auto" w:fill="auto"/>
            <w:vAlign w:val="center"/>
          </w:tcPr>
          <w:p>
            <w:pPr>
              <w:autoSpaceDE w:val="0"/>
              <w:autoSpaceDN w:val="0"/>
              <w:adjustRightInd w:val="0"/>
              <w:spacing w:line="300" w:lineRule="auto"/>
              <w:jc w:val="center"/>
              <w:rPr>
                <w:color w:val="auto"/>
              </w:rPr>
            </w:pPr>
            <w:r>
              <w:rPr>
                <w:color w:val="auto"/>
                <w:szCs w:val="21"/>
              </w:rPr>
              <w:t>清环验[2011]13号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182" w:type="dxa"/>
            <w:vMerge w:val="continue"/>
            <w:shd w:val="clear" w:color="auto" w:fill="auto"/>
            <w:vAlign w:val="center"/>
          </w:tcPr>
          <w:p>
            <w:pPr>
              <w:autoSpaceDE w:val="0"/>
              <w:autoSpaceDN w:val="0"/>
              <w:adjustRightInd w:val="0"/>
              <w:spacing w:line="300" w:lineRule="auto"/>
              <w:jc w:val="center"/>
              <w:rPr>
                <w:color w:val="auto"/>
              </w:rPr>
            </w:pPr>
          </w:p>
        </w:tc>
        <w:tc>
          <w:tcPr>
            <w:tcW w:w="1180" w:type="dxa"/>
            <w:shd w:val="clear" w:color="auto" w:fill="auto"/>
            <w:vAlign w:val="center"/>
          </w:tcPr>
          <w:p>
            <w:pPr>
              <w:autoSpaceDE w:val="0"/>
              <w:autoSpaceDN w:val="0"/>
              <w:adjustRightInd w:val="0"/>
              <w:spacing w:line="300" w:lineRule="auto"/>
              <w:jc w:val="center"/>
              <w:rPr>
                <w:color w:val="auto"/>
              </w:rPr>
            </w:pPr>
            <w:r>
              <w:rPr>
                <w:rFonts w:hint="eastAsia"/>
                <w:color w:val="auto"/>
                <w:szCs w:val="21"/>
              </w:rPr>
              <w:t>2019.10</w:t>
            </w:r>
          </w:p>
        </w:tc>
        <w:tc>
          <w:tcPr>
            <w:tcW w:w="2004" w:type="dxa"/>
            <w:shd w:val="clear" w:color="auto" w:fill="auto"/>
            <w:vAlign w:val="center"/>
          </w:tcPr>
          <w:p>
            <w:pPr>
              <w:autoSpaceDE w:val="0"/>
              <w:autoSpaceDN w:val="0"/>
              <w:adjustRightInd w:val="0"/>
              <w:spacing w:line="300" w:lineRule="auto"/>
              <w:jc w:val="center"/>
              <w:rPr>
                <w:color w:val="auto"/>
              </w:rPr>
            </w:pPr>
            <w:r>
              <w:rPr>
                <w:color w:val="auto"/>
                <w:szCs w:val="21"/>
              </w:rPr>
              <w:t>排污许可证</w:t>
            </w:r>
          </w:p>
        </w:tc>
        <w:tc>
          <w:tcPr>
            <w:tcW w:w="3582" w:type="dxa"/>
            <w:shd w:val="clear" w:color="auto" w:fill="auto"/>
            <w:vAlign w:val="center"/>
          </w:tcPr>
          <w:p>
            <w:pPr>
              <w:autoSpaceDE w:val="0"/>
              <w:autoSpaceDN w:val="0"/>
              <w:adjustRightInd w:val="0"/>
              <w:spacing w:line="300" w:lineRule="auto"/>
              <w:jc w:val="center"/>
              <w:rPr>
                <w:color w:val="auto"/>
              </w:rPr>
            </w:pPr>
            <w:r>
              <w:rPr>
                <w:color w:val="auto"/>
                <w:szCs w:val="21"/>
              </w:rPr>
              <w:t>91441802MA4WE24HXJ001U</w:t>
            </w:r>
          </w:p>
        </w:tc>
      </w:tr>
    </w:tbl>
    <w:p>
      <w:pPr>
        <w:pStyle w:val="7"/>
        <w:numPr>
          <w:ilvl w:val="2"/>
          <w:numId w:val="0"/>
        </w:numPr>
        <w:tabs>
          <w:tab w:val="clear" w:pos="720"/>
        </w:tabs>
        <w:spacing w:before="159" w:after="159"/>
        <w:rPr>
          <w:color w:val="auto"/>
        </w:rPr>
      </w:pPr>
      <w:bookmarkStart w:id="254" w:name="_Toc17056"/>
      <w:r>
        <w:rPr>
          <w:rFonts w:hint="eastAsia"/>
          <w:color w:val="auto"/>
        </w:rPr>
        <w:t>3.1.2  现有项目</w:t>
      </w:r>
      <w:r>
        <w:rPr>
          <w:color w:val="auto"/>
        </w:rPr>
        <w:t>工程概况</w:t>
      </w:r>
      <w:bookmarkEnd w:id="254"/>
    </w:p>
    <w:p>
      <w:pPr>
        <w:pStyle w:val="8"/>
        <w:numPr>
          <w:ilvl w:val="3"/>
          <w:numId w:val="0"/>
        </w:numPr>
        <w:rPr>
          <w:color w:val="auto"/>
        </w:rPr>
      </w:pPr>
      <w:r>
        <w:rPr>
          <w:color w:val="auto"/>
        </w:rPr>
        <w:t>3.1.2.</w:t>
      </w:r>
      <w:r>
        <w:rPr>
          <w:rFonts w:hint="eastAsia"/>
          <w:color w:val="auto"/>
        </w:rPr>
        <w:t>1  现有项目</w:t>
      </w:r>
      <w:r>
        <w:rPr>
          <w:color w:val="auto"/>
        </w:rPr>
        <w:t>四至及平面布局</w:t>
      </w:r>
    </w:p>
    <w:p>
      <w:pPr>
        <w:spacing w:line="360" w:lineRule="auto"/>
        <w:ind w:firstLine="480" w:firstLineChars="200"/>
        <w:jc w:val="left"/>
        <w:rPr>
          <w:color w:val="auto"/>
          <w:sz w:val="24"/>
        </w:rPr>
      </w:pPr>
      <w:r>
        <w:rPr>
          <w:color w:val="auto"/>
          <w:sz w:val="24"/>
        </w:rPr>
        <w:t>清远市清城区信兴金属回收加工有限公司位于</w:t>
      </w:r>
      <w:r>
        <w:rPr>
          <w:rFonts w:hint="eastAsia"/>
          <w:color w:val="auto"/>
          <w:sz w:val="24"/>
        </w:rPr>
        <w:t>清远市清城区龙塘镇陂坑管理区万水河边。经过多年的发展，项目周边区域与原环评情况发生了部分的变化，目前现有项目</w:t>
      </w:r>
      <w:r>
        <w:rPr>
          <w:color w:val="auto"/>
          <w:sz w:val="24"/>
        </w:rPr>
        <w:t>东面为</w:t>
      </w:r>
      <w:r>
        <w:rPr>
          <w:rFonts w:hint="eastAsia"/>
          <w:color w:val="auto"/>
          <w:sz w:val="24"/>
        </w:rPr>
        <w:t>在建楼盘</w:t>
      </w:r>
      <w:r>
        <w:rPr>
          <w:color w:val="auto"/>
          <w:sz w:val="24"/>
        </w:rPr>
        <w:t>，南面为</w:t>
      </w:r>
      <w:r>
        <w:rPr>
          <w:rFonts w:hint="eastAsia"/>
          <w:color w:val="auto"/>
          <w:sz w:val="24"/>
        </w:rPr>
        <w:t>空置厂房</w:t>
      </w:r>
      <w:r>
        <w:rPr>
          <w:color w:val="auto"/>
          <w:sz w:val="24"/>
        </w:rPr>
        <w:t>，西面为</w:t>
      </w:r>
      <w:r>
        <w:rPr>
          <w:rFonts w:hint="eastAsia"/>
          <w:color w:val="auto"/>
          <w:sz w:val="24"/>
        </w:rPr>
        <w:t>万水河</w:t>
      </w:r>
      <w:r>
        <w:rPr>
          <w:color w:val="auto"/>
          <w:sz w:val="24"/>
        </w:rPr>
        <w:t>，北面为长江涂料厂。</w:t>
      </w:r>
      <w:r>
        <w:rPr>
          <w:rFonts w:hint="eastAsia"/>
          <w:color w:val="auto"/>
          <w:sz w:val="24"/>
        </w:rPr>
        <w:t>现有项目四至照片见下图3.1-1，</w:t>
      </w:r>
      <w:r>
        <w:rPr>
          <w:color w:val="auto"/>
          <w:sz w:val="24"/>
        </w:rPr>
        <w:t>现有项目</w:t>
      </w:r>
      <w:r>
        <w:rPr>
          <w:rFonts w:hint="eastAsia"/>
          <w:color w:val="auto"/>
          <w:sz w:val="24"/>
        </w:rPr>
        <w:t>四至示意图及</w:t>
      </w:r>
      <w:r>
        <w:rPr>
          <w:color w:val="auto"/>
          <w:sz w:val="24"/>
        </w:rPr>
        <w:t>平面布局</w:t>
      </w:r>
      <w:r>
        <w:rPr>
          <w:rFonts w:hint="eastAsia"/>
          <w:color w:val="auto"/>
          <w:sz w:val="24"/>
        </w:rPr>
        <w:t>情况</w:t>
      </w:r>
      <w:r>
        <w:rPr>
          <w:color w:val="auto"/>
          <w:sz w:val="24"/>
        </w:rPr>
        <w:t>见图3.1-</w:t>
      </w:r>
      <w:r>
        <w:rPr>
          <w:rFonts w:hint="eastAsia"/>
          <w:color w:val="auto"/>
          <w:sz w:val="24"/>
        </w:rPr>
        <w:t>2</w:t>
      </w:r>
      <w:r>
        <w:rPr>
          <w:color w:val="auto"/>
          <w:sz w:val="24"/>
        </w:rPr>
        <w:t>。</w:t>
      </w:r>
    </w:p>
    <w:tbl>
      <w:tblPr>
        <w:tblStyle w:val="23"/>
        <w:tblpPr w:leftFromText="180" w:rightFromText="180" w:vertAnchor="text" w:horzAnchor="margin" w:tblpX="-69" w:tblpY="24"/>
        <w:tblW w:w="9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7"/>
        <w:gridCol w:w="4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8" w:hRule="atLeast"/>
        </w:trPr>
        <w:tc>
          <w:tcPr>
            <w:tcW w:w="4667" w:type="dxa"/>
          </w:tcPr>
          <w:p>
            <w:pPr>
              <w:pStyle w:val="21"/>
              <w:spacing w:before="0" w:after="0" w:line="360" w:lineRule="auto"/>
              <w:outlineLvl w:val="1"/>
              <w:rPr>
                <w:rFonts w:ascii="Times New Roman" w:hAnsi="Times New Roman"/>
                <w:b w:val="0"/>
                <w:color w:val="auto"/>
                <w:sz w:val="21"/>
                <w:szCs w:val="21"/>
              </w:rPr>
            </w:pPr>
            <w:bookmarkStart w:id="255" w:name="_Toc17066"/>
            <w:bookmarkStart w:id="256" w:name="_Toc21445"/>
            <w:bookmarkStart w:id="257" w:name="_Toc30023"/>
            <w:bookmarkStart w:id="258" w:name="_Toc20517"/>
            <w:r>
              <w:rPr>
                <w:rFonts w:hint="eastAsia" w:ascii="Times New Roman" w:hAnsi="Times New Roman"/>
                <w:b w:val="0"/>
                <w:color w:val="auto"/>
                <w:sz w:val="21"/>
                <w:szCs w:val="21"/>
              </w:rPr>
              <w:drawing>
                <wp:inline distT="0" distB="0" distL="114300" distR="114300">
                  <wp:extent cx="2918460" cy="2336165"/>
                  <wp:effectExtent l="0" t="0" r="7620" b="10795"/>
                  <wp:docPr id="130" name="图片 130" descr="IMG_20200519_18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20200519_182854"/>
                          <pic:cNvPicPr>
                            <a:picLocks noChangeAspect="1"/>
                          </pic:cNvPicPr>
                        </pic:nvPicPr>
                        <pic:blipFill>
                          <a:blip r:embed="rId36"/>
                          <a:stretch>
                            <a:fillRect/>
                          </a:stretch>
                        </pic:blipFill>
                        <pic:spPr>
                          <a:xfrm>
                            <a:off x="0" y="0"/>
                            <a:ext cx="2918460" cy="2336165"/>
                          </a:xfrm>
                          <a:prstGeom prst="rect">
                            <a:avLst/>
                          </a:prstGeom>
                        </pic:spPr>
                      </pic:pic>
                    </a:graphicData>
                  </a:graphic>
                </wp:inline>
              </w:drawing>
            </w:r>
            <w:bookmarkEnd w:id="255"/>
            <w:bookmarkEnd w:id="256"/>
            <w:bookmarkEnd w:id="257"/>
            <w:bookmarkEnd w:id="258"/>
          </w:p>
        </w:tc>
        <w:tc>
          <w:tcPr>
            <w:tcW w:w="4653" w:type="dxa"/>
          </w:tcPr>
          <w:p>
            <w:pPr>
              <w:pStyle w:val="21"/>
              <w:spacing w:before="0" w:after="0" w:line="360" w:lineRule="auto"/>
              <w:outlineLvl w:val="1"/>
              <w:rPr>
                <w:rFonts w:ascii="Times New Roman" w:hAnsi="Times New Roman"/>
                <w:b w:val="0"/>
                <w:color w:val="auto"/>
                <w:sz w:val="21"/>
                <w:szCs w:val="21"/>
              </w:rPr>
            </w:pPr>
            <w:bookmarkStart w:id="259" w:name="_Toc20397"/>
            <w:bookmarkStart w:id="260" w:name="_Toc18961"/>
            <w:bookmarkStart w:id="261" w:name="_Toc19399"/>
            <w:bookmarkStart w:id="262" w:name="_Toc22108"/>
            <w:r>
              <w:rPr>
                <w:rFonts w:hint="eastAsia" w:ascii="Times New Roman" w:hAnsi="Times New Roman"/>
                <w:b w:val="0"/>
                <w:color w:val="auto"/>
                <w:sz w:val="21"/>
                <w:szCs w:val="21"/>
              </w:rPr>
              <w:drawing>
                <wp:inline distT="0" distB="0" distL="114300" distR="114300">
                  <wp:extent cx="2369820" cy="2764155"/>
                  <wp:effectExtent l="0" t="0" r="9525" b="7620"/>
                  <wp:docPr id="131" name="图片 131" descr="IMG_20200519_18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20200519_182915"/>
                          <pic:cNvPicPr>
                            <a:picLocks noChangeAspect="1"/>
                          </pic:cNvPicPr>
                        </pic:nvPicPr>
                        <pic:blipFill>
                          <a:blip r:embed="rId37"/>
                          <a:stretch>
                            <a:fillRect/>
                          </a:stretch>
                        </pic:blipFill>
                        <pic:spPr>
                          <a:xfrm rot="5400000">
                            <a:off x="0" y="0"/>
                            <a:ext cx="2369820" cy="2764155"/>
                          </a:xfrm>
                          <a:prstGeom prst="rect">
                            <a:avLst/>
                          </a:prstGeom>
                        </pic:spPr>
                      </pic:pic>
                    </a:graphicData>
                  </a:graphic>
                </wp:inline>
              </w:drawing>
            </w:r>
            <w:bookmarkEnd w:id="259"/>
            <w:bookmarkEnd w:id="260"/>
            <w:bookmarkEnd w:id="261"/>
            <w:bookmarkEnd w:id="26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4667" w:type="dxa"/>
          </w:tcPr>
          <w:p>
            <w:pPr>
              <w:pStyle w:val="21"/>
              <w:spacing w:before="0" w:after="0" w:line="360" w:lineRule="auto"/>
              <w:outlineLvl w:val="1"/>
              <w:rPr>
                <w:rFonts w:ascii="Times New Roman" w:hAnsi="Times New Roman"/>
                <w:b w:val="0"/>
                <w:color w:val="auto"/>
                <w:sz w:val="21"/>
                <w:szCs w:val="21"/>
              </w:rPr>
            </w:pPr>
            <w:bookmarkStart w:id="263" w:name="_Toc16305"/>
            <w:bookmarkStart w:id="264" w:name="_Toc3121"/>
            <w:bookmarkStart w:id="265" w:name="_Toc15716"/>
            <w:bookmarkStart w:id="266" w:name="_Toc30644"/>
            <w:r>
              <w:rPr>
                <w:rFonts w:ascii="Times New Roman" w:hAnsi="Times New Roman"/>
                <w:b w:val="0"/>
                <w:color w:val="auto"/>
                <w:sz w:val="21"/>
                <w:szCs w:val="21"/>
              </w:rPr>
              <w:t>项目东面</w:t>
            </w:r>
            <w:r>
              <w:rPr>
                <w:rFonts w:ascii="Times New Roman" w:hAnsi="Times New Roman"/>
                <w:bCs w:val="0"/>
                <w:color w:val="auto"/>
                <w:sz w:val="21"/>
                <w:szCs w:val="21"/>
              </w:rPr>
              <w:t>：</w:t>
            </w:r>
            <w:r>
              <w:rPr>
                <w:rFonts w:hint="eastAsia" w:ascii="Times New Roman" w:hAnsi="Times New Roman"/>
                <w:b w:val="0"/>
                <w:color w:val="auto"/>
                <w:sz w:val="21"/>
                <w:szCs w:val="21"/>
              </w:rPr>
              <w:t>在建楼盘（时代领峰）</w:t>
            </w:r>
            <w:bookmarkEnd w:id="263"/>
            <w:bookmarkEnd w:id="264"/>
            <w:bookmarkEnd w:id="265"/>
            <w:bookmarkEnd w:id="266"/>
          </w:p>
        </w:tc>
        <w:tc>
          <w:tcPr>
            <w:tcW w:w="4653" w:type="dxa"/>
          </w:tcPr>
          <w:p>
            <w:pPr>
              <w:pStyle w:val="21"/>
              <w:spacing w:before="0" w:after="0" w:line="360" w:lineRule="auto"/>
              <w:outlineLvl w:val="1"/>
              <w:rPr>
                <w:rFonts w:ascii="Times New Roman" w:hAnsi="Times New Roman"/>
                <w:b w:val="0"/>
                <w:color w:val="auto"/>
                <w:sz w:val="21"/>
                <w:szCs w:val="21"/>
              </w:rPr>
            </w:pPr>
            <w:bookmarkStart w:id="267" w:name="_Toc31212"/>
            <w:bookmarkStart w:id="268" w:name="_Toc24641"/>
            <w:bookmarkStart w:id="269" w:name="_Toc14873"/>
            <w:bookmarkStart w:id="270" w:name="_Toc30420"/>
            <w:r>
              <w:rPr>
                <w:rFonts w:ascii="Times New Roman" w:hAnsi="Times New Roman"/>
                <w:b w:val="0"/>
                <w:color w:val="auto"/>
                <w:sz w:val="21"/>
                <w:szCs w:val="21"/>
              </w:rPr>
              <w:t>项目</w:t>
            </w:r>
            <w:r>
              <w:rPr>
                <w:rFonts w:hint="eastAsia" w:ascii="Times New Roman" w:hAnsi="Times New Roman"/>
                <w:b w:val="0"/>
                <w:color w:val="auto"/>
                <w:sz w:val="21"/>
                <w:szCs w:val="21"/>
              </w:rPr>
              <w:t>南</w:t>
            </w:r>
            <w:r>
              <w:rPr>
                <w:rFonts w:ascii="Times New Roman" w:hAnsi="Times New Roman"/>
                <w:b w:val="0"/>
                <w:color w:val="auto"/>
                <w:sz w:val="21"/>
                <w:szCs w:val="21"/>
              </w:rPr>
              <w:t>面：</w:t>
            </w:r>
            <w:r>
              <w:rPr>
                <w:rFonts w:hint="eastAsia" w:ascii="Times New Roman" w:hAnsi="Times New Roman"/>
                <w:b w:val="0"/>
                <w:color w:val="auto"/>
                <w:sz w:val="21"/>
                <w:szCs w:val="21"/>
              </w:rPr>
              <w:t>空置厂房</w:t>
            </w:r>
            <w:bookmarkEnd w:id="267"/>
            <w:bookmarkEnd w:id="268"/>
            <w:bookmarkEnd w:id="269"/>
            <w:bookmarkEnd w:id="27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8" w:hRule="atLeast"/>
        </w:trPr>
        <w:tc>
          <w:tcPr>
            <w:tcW w:w="4667" w:type="dxa"/>
          </w:tcPr>
          <w:p>
            <w:pPr>
              <w:pStyle w:val="21"/>
              <w:spacing w:before="0" w:after="0" w:line="360" w:lineRule="auto"/>
              <w:outlineLvl w:val="1"/>
              <w:rPr>
                <w:rFonts w:ascii="Times New Roman" w:hAnsi="Times New Roman"/>
                <w:b w:val="0"/>
                <w:color w:val="auto"/>
                <w:sz w:val="21"/>
                <w:szCs w:val="21"/>
              </w:rPr>
            </w:pPr>
            <w:bookmarkStart w:id="271" w:name="_Toc32041"/>
            <w:bookmarkStart w:id="272" w:name="_Toc32275"/>
            <w:bookmarkStart w:id="273" w:name="_Toc4638"/>
            <w:bookmarkStart w:id="274" w:name="_Toc15575"/>
            <w:r>
              <w:rPr>
                <w:rFonts w:hint="eastAsia" w:ascii="Times New Roman" w:hAnsi="Times New Roman"/>
                <w:b w:val="0"/>
                <w:color w:val="auto"/>
                <w:sz w:val="21"/>
                <w:szCs w:val="21"/>
              </w:rPr>
              <w:drawing>
                <wp:inline distT="0" distB="0" distL="114300" distR="114300">
                  <wp:extent cx="2745740" cy="2183130"/>
                  <wp:effectExtent l="0" t="0" r="12700" b="11430"/>
                  <wp:docPr id="132" name="图片 132" descr="IMG_20200519_18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20200519_183529"/>
                          <pic:cNvPicPr>
                            <a:picLocks noChangeAspect="1"/>
                          </pic:cNvPicPr>
                        </pic:nvPicPr>
                        <pic:blipFill>
                          <a:blip r:embed="rId38"/>
                          <a:stretch>
                            <a:fillRect/>
                          </a:stretch>
                        </pic:blipFill>
                        <pic:spPr>
                          <a:xfrm>
                            <a:off x="0" y="0"/>
                            <a:ext cx="2745740" cy="2183130"/>
                          </a:xfrm>
                          <a:prstGeom prst="rect">
                            <a:avLst/>
                          </a:prstGeom>
                        </pic:spPr>
                      </pic:pic>
                    </a:graphicData>
                  </a:graphic>
                </wp:inline>
              </w:drawing>
            </w:r>
            <w:bookmarkEnd w:id="271"/>
            <w:bookmarkEnd w:id="272"/>
            <w:bookmarkEnd w:id="273"/>
            <w:bookmarkEnd w:id="274"/>
          </w:p>
        </w:tc>
        <w:tc>
          <w:tcPr>
            <w:tcW w:w="4653" w:type="dxa"/>
          </w:tcPr>
          <w:p>
            <w:pPr>
              <w:pStyle w:val="21"/>
              <w:spacing w:before="0" w:after="0" w:line="360" w:lineRule="auto"/>
              <w:outlineLvl w:val="1"/>
              <w:rPr>
                <w:rFonts w:ascii="Times New Roman" w:hAnsi="Times New Roman"/>
                <w:b w:val="0"/>
                <w:color w:val="auto"/>
                <w:sz w:val="21"/>
                <w:szCs w:val="21"/>
              </w:rPr>
            </w:pPr>
            <w:bookmarkStart w:id="275" w:name="_Toc9228"/>
            <w:bookmarkStart w:id="276" w:name="_Toc6014"/>
            <w:bookmarkStart w:id="277" w:name="_Toc4791"/>
            <w:bookmarkStart w:id="278" w:name="_Toc10967"/>
            <w:r>
              <w:rPr>
                <w:rFonts w:hint="eastAsia" w:ascii="Times New Roman" w:hAnsi="Times New Roman"/>
                <w:b w:val="0"/>
                <w:color w:val="auto"/>
                <w:sz w:val="21"/>
                <w:szCs w:val="21"/>
              </w:rPr>
              <w:drawing>
                <wp:inline distT="0" distB="0" distL="114300" distR="114300">
                  <wp:extent cx="2798445" cy="2183130"/>
                  <wp:effectExtent l="0" t="0" r="5715" b="11430"/>
                  <wp:docPr id="133" name="图片 133" descr="IMG_20200519_18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20200519_183707"/>
                          <pic:cNvPicPr>
                            <a:picLocks noChangeAspect="1"/>
                          </pic:cNvPicPr>
                        </pic:nvPicPr>
                        <pic:blipFill>
                          <a:blip r:embed="rId39"/>
                          <a:srcRect/>
                          <a:stretch>
                            <a:fillRect/>
                          </a:stretch>
                        </pic:blipFill>
                        <pic:spPr>
                          <a:xfrm>
                            <a:off x="0" y="0"/>
                            <a:ext cx="2798445" cy="2183130"/>
                          </a:xfrm>
                          <a:prstGeom prst="rect">
                            <a:avLst/>
                          </a:prstGeom>
                        </pic:spPr>
                      </pic:pic>
                    </a:graphicData>
                  </a:graphic>
                </wp:inline>
              </w:drawing>
            </w:r>
            <w:bookmarkEnd w:id="275"/>
            <w:bookmarkEnd w:id="276"/>
            <w:bookmarkEnd w:id="277"/>
            <w:bookmarkEnd w:id="27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4667" w:type="dxa"/>
          </w:tcPr>
          <w:p>
            <w:pPr>
              <w:pStyle w:val="21"/>
              <w:spacing w:before="0" w:after="0" w:line="360" w:lineRule="auto"/>
              <w:outlineLvl w:val="1"/>
              <w:rPr>
                <w:rFonts w:ascii="Times New Roman" w:hAnsi="Times New Roman"/>
                <w:b w:val="0"/>
                <w:color w:val="auto"/>
                <w:sz w:val="21"/>
                <w:szCs w:val="21"/>
              </w:rPr>
            </w:pPr>
            <w:bookmarkStart w:id="279" w:name="_Toc22318"/>
            <w:bookmarkStart w:id="280" w:name="_Toc9879"/>
            <w:bookmarkStart w:id="281" w:name="_Toc31237"/>
            <w:bookmarkStart w:id="282" w:name="_Toc11362"/>
            <w:r>
              <w:rPr>
                <w:rFonts w:ascii="Times New Roman" w:hAnsi="Times New Roman"/>
                <w:b w:val="0"/>
                <w:color w:val="auto"/>
                <w:sz w:val="21"/>
                <w:szCs w:val="21"/>
              </w:rPr>
              <w:t>项目</w:t>
            </w:r>
            <w:r>
              <w:rPr>
                <w:rFonts w:hint="eastAsia" w:ascii="Times New Roman" w:hAnsi="Times New Roman"/>
                <w:b w:val="0"/>
                <w:color w:val="auto"/>
                <w:sz w:val="21"/>
                <w:szCs w:val="21"/>
              </w:rPr>
              <w:t>西面</w:t>
            </w:r>
            <w:r>
              <w:rPr>
                <w:rFonts w:ascii="Times New Roman" w:hAnsi="Times New Roman"/>
                <w:b w:val="0"/>
                <w:color w:val="auto"/>
                <w:sz w:val="21"/>
                <w:szCs w:val="21"/>
              </w:rPr>
              <w:t>：</w:t>
            </w:r>
            <w:r>
              <w:rPr>
                <w:rFonts w:hint="eastAsia" w:ascii="Times New Roman" w:hAnsi="Times New Roman"/>
                <w:b w:val="0"/>
                <w:color w:val="auto"/>
                <w:sz w:val="21"/>
                <w:szCs w:val="21"/>
              </w:rPr>
              <w:t>万水河</w:t>
            </w:r>
            <w:bookmarkEnd w:id="279"/>
            <w:bookmarkEnd w:id="280"/>
            <w:bookmarkEnd w:id="281"/>
            <w:bookmarkEnd w:id="282"/>
          </w:p>
        </w:tc>
        <w:tc>
          <w:tcPr>
            <w:tcW w:w="4653" w:type="dxa"/>
          </w:tcPr>
          <w:p>
            <w:pPr>
              <w:pStyle w:val="21"/>
              <w:spacing w:before="0" w:after="0" w:line="360" w:lineRule="auto"/>
              <w:outlineLvl w:val="1"/>
              <w:rPr>
                <w:rFonts w:ascii="Times New Roman" w:hAnsi="Times New Roman"/>
                <w:b w:val="0"/>
                <w:color w:val="auto"/>
                <w:sz w:val="21"/>
                <w:szCs w:val="21"/>
              </w:rPr>
            </w:pPr>
            <w:bookmarkStart w:id="283" w:name="_Toc17113"/>
            <w:bookmarkStart w:id="284" w:name="_Toc13040"/>
            <w:bookmarkStart w:id="285" w:name="_Toc26629"/>
            <w:bookmarkStart w:id="286" w:name="_Toc29020"/>
            <w:r>
              <w:rPr>
                <w:rFonts w:ascii="Times New Roman" w:hAnsi="Times New Roman"/>
                <w:b w:val="0"/>
                <w:color w:val="auto"/>
                <w:sz w:val="21"/>
                <w:szCs w:val="21"/>
              </w:rPr>
              <w:t>项目</w:t>
            </w:r>
            <w:r>
              <w:rPr>
                <w:rFonts w:hint="eastAsia" w:ascii="Times New Roman" w:hAnsi="Times New Roman"/>
                <w:b w:val="0"/>
                <w:color w:val="auto"/>
                <w:sz w:val="21"/>
                <w:szCs w:val="21"/>
              </w:rPr>
              <w:t>北</w:t>
            </w:r>
            <w:r>
              <w:rPr>
                <w:rFonts w:ascii="Times New Roman" w:hAnsi="Times New Roman"/>
                <w:b w:val="0"/>
                <w:color w:val="auto"/>
                <w:sz w:val="21"/>
                <w:szCs w:val="21"/>
              </w:rPr>
              <w:t>面</w:t>
            </w:r>
            <w:r>
              <w:rPr>
                <w:rFonts w:hint="eastAsia" w:ascii="Times New Roman" w:hAnsi="Times New Roman"/>
                <w:b w:val="0"/>
                <w:color w:val="auto"/>
                <w:sz w:val="21"/>
                <w:szCs w:val="21"/>
              </w:rPr>
              <w:t>：长江涂料厂</w:t>
            </w:r>
            <w:bookmarkEnd w:id="283"/>
            <w:bookmarkEnd w:id="284"/>
            <w:bookmarkEnd w:id="285"/>
            <w:bookmarkEnd w:id="286"/>
          </w:p>
        </w:tc>
      </w:tr>
    </w:tbl>
    <w:p>
      <w:pPr>
        <w:jc w:val="center"/>
        <w:rPr>
          <w:b/>
          <w:bCs/>
          <w:color w:val="auto"/>
          <w:sz w:val="24"/>
        </w:rPr>
      </w:pPr>
      <w:r>
        <w:rPr>
          <w:rFonts w:hint="eastAsia"/>
          <w:b/>
          <w:bCs/>
          <w:color w:val="auto"/>
          <w:sz w:val="24"/>
        </w:rPr>
        <w:t>图3.1-1  现有项目四至情况照片</w:t>
      </w:r>
    </w:p>
    <w:p>
      <w:pPr>
        <w:numPr>
          <w:ilvl w:val="3"/>
          <w:numId w:val="0"/>
        </w:numPr>
        <w:tabs>
          <w:tab w:val="left" w:pos="720"/>
        </w:tabs>
        <w:rPr>
          <w:rFonts w:hint="eastAsia" w:eastAsia="宋体"/>
          <w:color w:val="auto"/>
          <w:lang w:eastAsia="zh-CN"/>
        </w:rPr>
      </w:pPr>
      <w:r>
        <w:rPr>
          <w:rFonts w:hint="eastAsia" w:eastAsia="宋体"/>
          <w:color w:val="auto"/>
          <w:lang w:eastAsia="zh-CN"/>
        </w:rPr>
        <w:drawing>
          <wp:inline distT="0" distB="0" distL="114300" distR="114300">
            <wp:extent cx="5898515" cy="4453255"/>
            <wp:effectExtent l="0" t="0" r="6985" b="4445"/>
            <wp:docPr id="49" name="图片 49" descr="旧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旧厂"/>
                    <pic:cNvPicPr>
                      <a:picLocks noChangeAspect="1"/>
                    </pic:cNvPicPr>
                  </pic:nvPicPr>
                  <pic:blipFill>
                    <a:blip r:embed="rId40"/>
                    <a:stretch>
                      <a:fillRect/>
                    </a:stretch>
                  </pic:blipFill>
                  <pic:spPr>
                    <a:xfrm>
                      <a:off x="0" y="0"/>
                      <a:ext cx="5898515" cy="4453255"/>
                    </a:xfrm>
                    <a:prstGeom prst="rect">
                      <a:avLst/>
                    </a:prstGeom>
                  </pic:spPr>
                </pic:pic>
              </a:graphicData>
            </a:graphic>
          </wp:inline>
        </w:drawing>
      </w:r>
    </w:p>
    <w:p>
      <w:pPr>
        <w:jc w:val="center"/>
        <w:rPr>
          <w:b/>
          <w:bCs/>
          <w:color w:val="auto"/>
          <w:sz w:val="24"/>
        </w:rPr>
      </w:pPr>
      <w:r>
        <w:rPr>
          <w:rFonts w:hint="eastAsia"/>
          <w:b/>
          <w:bCs/>
          <w:color w:val="auto"/>
          <w:sz w:val="24"/>
        </w:rPr>
        <w:t>图3.1-2  现有项目四至情况及车间布局示意图</w:t>
      </w:r>
    </w:p>
    <w:p>
      <w:pPr>
        <w:pStyle w:val="8"/>
        <w:numPr>
          <w:ilvl w:val="3"/>
          <w:numId w:val="0"/>
        </w:numPr>
        <w:rPr>
          <w:color w:val="auto"/>
        </w:rPr>
      </w:pPr>
      <w:r>
        <w:rPr>
          <w:color w:val="auto"/>
        </w:rPr>
        <w:t>3.1.2.3</w:t>
      </w:r>
      <w:r>
        <w:rPr>
          <w:rFonts w:hint="eastAsia"/>
          <w:color w:val="auto"/>
        </w:rPr>
        <w:t xml:space="preserve">  现有项目</w:t>
      </w:r>
      <w:r>
        <w:rPr>
          <w:color w:val="auto"/>
        </w:rPr>
        <w:t>建设内容</w:t>
      </w:r>
    </w:p>
    <w:p>
      <w:pPr>
        <w:pStyle w:val="6"/>
        <w:numPr>
          <w:ilvl w:val="0"/>
          <w:numId w:val="7"/>
        </w:numPr>
        <w:rPr>
          <w:color w:val="auto"/>
          <w:sz w:val="24"/>
          <w:szCs w:val="24"/>
        </w:rPr>
      </w:pPr>
      <w:r>
        <w:rPr>
          <w:rFonts w:hint="eastAsia"/>
          <w:color w:val="auto"/>
          <w:sz w:val="24"/>
          <w:szCs w:val="24"/>
        </w:rPr>
        <w:t>根据现场勘查结果，现有</w:t>
      </w:r>
      <w:r>
        <w:rPr>
          <w:rFonts w:hint="eastAsia"/>
          <w:color w:val="auto"/>
          <w:sz w:val="24"/>
          <w:szCs w:val="24"/>
          <w:lang w:val="en-US" w:eastAsia="zh-CN"/>
        </w:rPr>
        <w:t>项目主要</w:t>
      </w:r>
      <w:r>
        <w:rPr>
          <w:color w:val="auto"/>
          <w:sz w:val="24"/>
          <w:szCs w:val="24"/>
        </w:rPr>
        <w:t>工程组成见下表。</w:t>
      </w:r>
    </w:p>
    <w:p>
      <w:pPr>
        <w:pStyle w:val="9"/>
        <w:rPr>
          <w:rFonts w:ascii="Times New Roman" w:hAnsi="Times New Roman" w:eastAsia="宋体"/>
          <w:color w:val="auto"/>
          <w:sz w:val="21"/>
        </w:rPr>
      </w:pPr>
      <w:r>
        <w:rPr>
          <w:rFonts w:ascii="Times New Roman" w:hAnsi="Times New Roman" w:eastAsia="宋体"/>
          <w:color w:val="auto"/>
          <w:sz w:val="21"/>
        </w:rPr>
        <w:t>表3.1-</w:t>
      </w:r>
      <w:r>
        <w:rPr>
          <w:rFonts w:hint="eastAsia" w:ascii="Times New Roman" w:hAnsi="Times New Roman" w:eastAsia="宋体"/>
          <w:color w:val="auto"/>
          <w:sz w:val="21"/>
        </w:rPr>
        <w:t>2</w:t>
      </w:r>
      <w:r>
        <w:rPr>
          <w:rFonts w:ascii="Times New Roman" w:hAnsi="Times New Roman" w:eastAsia="宋体"/>
          <w:color w:val="auto"/>
          <w:sz w:val="21"/>
        </w:rPr>
        <w:t xml:space="preserve"> </w:t>
      </w:r>
      <w:r>
        <w:rPr>
          <w:rFonts w:hint="eastAsia" w:ascii="Times New Roman" w:hAnsi="Times New Roman" w:eastAsia="宋体"/>
          <w:color w:val="auto"/>
          <w:sz w:val="21"/>
        </w:rPr>
        <w:t xml:space="preserve"> </w:t>
      </w:r>
      <w:r>
        <w:rPr>
          <w:rFonts w:hint="eastAsia" w:ascii="Times New Roman" w:hAnsi="Times New Roman" w:eastAsia="宋体"/>
          <w:color w:val="auto"/>
          <w:sz w:val="21"/>
          <w:lang w:val="en-US" w:eastAsia="zh-CN"/>
        </w:rPr>
        <w:t>现有项目</w:t>
      </w:r>
      <w:r>
        <w:rPr>
          <w:rFonts w:ascii="Times New Roman" w:hAnsi="Times New Roman" w:eastAsia="宋体"/>
          <w:color w:val="auto"/>
          <w:sz w:val="21"/>
        </w:rPr>
        <w:t>主要工程组成内容</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2025"/>
        <w:gridCol w:w="5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Align w:val="center"/>
          </w:tcPr>
          <w:p>
            <w:pPr>
              <w:adjustRightInd w:val="0"/>
              <w:snapToGrid w:val="0"/>
              <w:spacing w:line="300" w:lineRule="auto"/>
              <w:jc w:val="center"/>
              <w:rPr>
                <w:color w:val="auto"/>
                <w:szCs w:val="21"/>
              </w:rPr>
            </w:pPr>
            <w:r>
              <w:rPr>
                <w:color w:val="auto"/>
                <w:szCs w:val="21"/>
              </w:rPr>
              <w:t>类别</w:t>
            </w:r>
          </w:p>
        </w:tc>
        <w:tc>
          <w:tcPr>
            <w:tcW w:w="2025" w:type="dxa"/>
            <w:vAlign w:val="center"/>
          </w:tcPr>
          <w:p>
            <w:pPr>
              <w:adjustRightInd w:val="0"/>
              <w:snapToGrid w:val="0"/>
              <w:spacing w:line="300" w:lineRule="auto"/>
              <w:jc w:val="center"/>
              <w:rPr>
                <w:color w:val="auto"/>
                <w:szCs w:val="21"/>
              </w:rPr>
            </w:pPr>
            <w:r>
              <w:rPr>
                <w:color w:val="auto"/>
                <w:szCs w:val="21"/>
              </w:rPr>
              <w:t>工程名称</w:t>
            </w:r>
          </w:p>
        </w:tc>
        <w:tc>
          <w:tcPr>
            <w:tcW w:w="5793" w:type="dxa"/>
            <w:vAlign w:val="center"/>
          </w:tcPr>
          <w:p>
            <w:pPr>
              <w:adjustRightInd w:val="0"/>
              <w:snapToGrid w:val="0"/>
              <w:spacing w:line="300" w:lineRule="auto"/>
              <w:jc w:val="center"/>
              <w:rPr>
                <w:color w:val="auto"/>
                <w:szCs w:val="21"/>
              </w:rPr>
            </w:pPr>
            <w:r>
              <w:rPr>
                <w:color w:val="auto"/>
                <w:szCs w:val="21"/>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Align w:val="center"/>
          </w:tcPr>
          <w:p>
            <w:pPr>
              <w:adjustRightInd w:val="0"/>
              <w:snapToGrid w:val="0"/>
              <w:spacing w:line="300" w:lineRule="auto"/>
              <w:jc w:val="center"/>
              <w:rPr>
                <w:color w:val="auto"/>
                <w:szCs w:val="21"/>
              </w:rPr>
            </w:pPr>
            <w:r>
              <w:rPr>
                <w:color w:val="auto"/>
                <w:szCs w:val="21"/>
              </w:rPr>
              <w:t>主体工程</w:t>
            </w:r>
          </w:p>
        </w:tc>
        <w:tc>
          <w:tcPr>
            <w:tcW w:w="2025" w:type="dxa"/>
            <w:vAlign w:val="center"/>
          </w:tcPr>
          <w:p>
            <w:pPr>
              <w:adjustRightInd w:val="0"/>
              <w:snapToGrid w:val="0"/>
              <w:spacing w:line="300" w:lineRule="auto"/>
              <w:jc w:val="center"/>
              <w:rPr>
                <w:color w:val="auto"/>
                <w:szCs w:val="21"/>
              </w:rPr>
            </w:pPr>
            <w:r>
              <w:rPr>
                <w:rFonts w:hint="eastAsia"/>
                <w:color w:val="auto"/>
                <w:szCs w:val="21"/>
              </w:rPr>
              <w:t>湿式破碎生产区</w:t>
            </w:r>
          </w:p>
        </w:tc>
        <w:tc>
          <w:tcPr>
            <w:tcW w:w="5793" w:type="dxa"/>
            <w:vAlign w:val="center"/>
          </w:tcPr>
          <w:p>
            <w:pPr>
              <w:adjustRightInd w:val="0"/>
              <w:snapToGrid w:val="0"/>
              <w:spacing w:line="300" w:lineRule="auto"/>
              <w:jc w:val="center"/>
              <w:rPr>
                <w:color w:val="auto"/>
                <w:szCs w:val="21"/>
              </w:rPr>
            </w:pPr>
            <w:r>
              <w:rPr>
                <w:rFonts w:hint="eastAsia"/>
                <w:color w:val="auto"/>
                <w:szCs w:val="21"/>
              </w:rPr>
              <w:t>2400平方米，主要的生产区域。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restart"/>
            <w:vAlign w:val="center"/>
          </w:tcPr>
          <w:p>
            <w:pPr>
              <w:adjustRightInd w:val="0"/>
              <w:snapToGrid w:val="0"/>
              <w:spacing w:line="300" w:lineRule="auto"/>
              <w:jc w:val="center"/>
              <w:rPr>
                <w:color w:val="auto"/>
                <w:szCs w:val="21"/>
              </w:rPr>
            </w:pPr>
            <w:r>
              <w:rPr>
                <w:color w:val="auto"/>
                <w:szCs w:val="21"/>
              </w:rPr>
              <w:t>辅助工程</w:t>
            </w:r>
          </w:p>
        </w:tc>
        <w:tc>
          <w:tcPr>
            <w:tcW w:w="2025" w:type="dxa"/>
            <w:vAlign w:val="center"/>
          </w:tcPr>
          <w:p>
            <w:pPr>
              <w:adjustRightInd w:val="0"/>
              <w:snapToGrid w:val="0"/>
              <w:spacing w:line="300" w:lineRule="auto"/>
              <w:jc w:val="center"/>
              <w:rPr>
                <w:color w:val="auto"/>
                <w:szCs w:val="21"/>
              </w:rPr>
            </w:pPr>
            <w:r>
              <w:rPr>
                <w:rFonts w:hint="eastAsia"/>
                <w:color w:val="auto"/>
                <w:szCs w:val="21"/>
              </w:rPr>
              <w:t>办公室</w:t>
            </w:r>
          </w:p>
        </w:tc>
        <w:tc>
          <w:tcPr>
            <w:tcW w:w="5793" w:type="dxa"/>
            <w:vAlign w:val="center"/>
          </w:tcPr>
          <w:p>
            <w:pPr>
              <w:adjustRightInd w:val="0"/>
              <w:snapToGrid w:val="0"/>
              <w:spacing w:line="300" w:lineRule="auto"/>
              <w:jc w:val="center"/>
              <w:rPr>
                <w:color w:val="auto"/>
                <w:szCs w:val="21"/>
              </w:rPr>
            </w:pPr>
            <w:r>
              <w:rPr>
                <w:rFonts w:hint="eastAsia"/>
                <w:color w:val="auto"/>
                <w:szCs w:val="21"/>
              </w:rPr>
              <w:t>110平方米，人员办公场所。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rFonts w:hint="eastAsia"/>
                <w:color w:val="auto"/>
                <w:szCs w:val="21"/>
              </w:rPr>
              <w:t>原料堆放区</w:t>
            </w:r>
          </w:p>
        </w:tc>
        <w:tc>
          <w:tcPr>
            <w:tcW w:w="5793" w:type="dxa"/>
            <w:vAlign w:val="center"/>
          </w:tcPr>
          <w:p>
            <w:pPr>
              <w:adjustRightInd w:val="0"/>
              <w:snapToGrid w:val="0"/>
              <w:spacing w:line="300" w:lineRule="auto"/>
              <w:jc w:val="center"/>
              <w:rPr>
                <w:color w:val="auto"/>
                <w:szCs w:val="21"/>
              </w:rPr>
            </w:pPr>
            <w:r>
              <w:rPr>
                <w:rFonts w:hint="eastAsia"/>
                <w:color w:val="auto"/>
                <w:szCs w:val="21"/>
              </w:rPr>
              <w:t>2400平方米，主要用于原材料的堆放。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rFonts w:hint="eastAsia"/>
                <w:color w:val="auto"/>
                <w:szCs w:val="21"/>
              </w:rPr>
              <w:t>废树脂粉暂存区</w:t>
            </w:r>
          </w:p>
        </w:tc>
        <w:tc>
          <w:tcPr>
            <w:tcW w:w="5793" w:type="dxa"/>
            <w:vAlign w:val="center"/>
          </w:tcPr>
          <w:p>
            <w:pPr>
              <w:adjustRightInd w:val="0"/>
              <w:snapToGrid w:val="0"/>
              <w:spacing w:line="300" w:lineRule="auto"/>
              <w:jc w:val="center"/>
              <w:rPr>
                <w:color w:val="auto"/>
                <w:szCs w:val="21"/>
              </w:rPr>
            </w:pPr>
            <w:r>
              <w:rPr>
                <w:rFonts w:hint="eastAsia"/>
                <w:color w:val="auto"/>
                <w:szCs w:val="21"/>
              </w:rPr>
              <w:t>665平方米，用于暂时堆放废树脂粉。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rFonts w:hint="eastAsia"/>
                <w:color w:val="auto"/>
                <w:szCs w:val="21"/>
              </w:rPr>
              <w:t>员工宿舍</w:t>
            </w:r>
          </w:p>
        </w:tc>
        <w:tc>
          <w:tcPr>
            <w:tcW w:w="5793" w:type="dxa"/>
            <w:vAlign w:val="center"/>
          </w:tcPr>
          <w:p>
            <w:pPr>
              <w:adjustRightInd w:val="0"/>
              <w:snapToGrid w:val="0"/>
              <w:spacing w:line="300" w:lineRule="auto"/>
              <w:jc w:val="center"/>
              <w:rPr>
                <w:color w:val="auto"/>
                <w:szCs w:val="21"/>
              </w:rPr>
            </w:pPr>
            <w:r>
              <w:rPr>
                <w:rFonts w:hint="eastAsia"/>
                <w:color w:val="auto"/>
                <w:szCs w:val="21"/>
              </w:rPr>
              <w:t>125平方米，员工住宿。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rFonts w:hint="eastAsia"/>
                <w:color w:val="auto"/>
                <w:szCs w:val="21"/>
              </w:rPr>
              <w:t>空地</w:t>
            </w:r>
          </w:p>
        </w:tc>
        <w:tc>
          <w:tcPr>
            <w:tcW w:w="5793" w:type="dxa"/>
            <w:vAlign w:val="center"/>
          </w:tcPr>
          <w:p>
            <w:pPr>
              <w:adjustRightInd w:val="0"/>
              <w:snapToGrid w:val="0"/>
              <w:spacing w:line="300" w:lineRule="auto"/>
              <w:jc w:val="center"/>
              <w:rPr>
                <w:color w:val="auto"/>
                <w:szCs w:val="21"/>
              </w:rPr>
            </w:pPr>
            <w:r>
              <w:rPr>
                <w:rFonts w:hint="eastAsia"/>
                <w:color w:val="auto"/>
                <w:szCs w:val="21"/>
              </w:rPr>
              <w:t>7300平方米。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restart"/>
            <w:vAlign w:val="center"/>
          </w:tcPr>
          <w:p>
            <w:pPr>
              <w:adjustRightInd w:val="0"/>
              <w:snapToGrid w:val="0"/>
              <w:spacing w:line="300" w:lineRule="auto"/>
              <w:jc w:val="center"/>
              <w:rPr>
                <w:color w:val="auto"/>
                <w:szCs w:val="21"/>
              </w:rPr>
            </w:pPr>
            <w:r>
              <w:rPr>
                <w:color w:val="auto"/>
                <w:szCs w:val="21"/>
              </w:rPr>
              <w:t>公用工程</w:t>
            </w:r>
          </w:p>
        </w:tc>
        <w:tc>
          <w:tcPr>
            <w:tcW w:w="2025" w:type="dxa"/>
            <w:vAlign w:val="center"/>
          </w:tcPr>
          <w:p>
            <w:pPr>
              <w:adjustRightInd w:val="0"/>
              <w:snapToGrid w:val="0"/>
              <w:spacing w:line="300" w:lineRule="auto"/>
              <w:jc w:val="center"/>
              <w:rPr>
                <w:color w:val="auto"/>
                <w:szCs w:val="21"/>
              </w:rPr>
            </w:pPr>
            <w:r>
              <w:rPr>
                <w:color w:val="auto"/>
                <w:szCs w:val="21"/>
              </w:rPr>
              <w:t>给水</w:t>
            </w:r>
          </w:p>
        </w:tc>
        <w:tc>
          <w:tcPr>
            <w:tcW w:w="5793" w:type="dxa"/>
            <w:vAlign w:val="center"/>
          </w:tcPr>
          <w:p>
            <w:pPr>
              <w:adjustRightInd w:val="0"/>
              <w:snapToGrid w:val="0"/>
              <w:spacing w:line="300" w:lineRule="auto"/>
              <w:jc w:val="center"/>
              <w:rPr>
                <w:color w:val="auto"/>
                <w:szCs w:val="21"/>
              </w:rPr>
            </w:pPr>
            <w:r>
              <w:rPr>
                <w:color w:val="auto"/>
                <w:szCs w:val="21"/>
              </w:rPr>
              <w:t>由市政管网供给，用水主要是员工的生活用水、</w:t>
            </w:r>
            <w:r>
              <w:rPr>
                <w:rFonts w:hint="eastAsia"/>
                <w:color w:val="auto"/>
                <w:szCs w:val="21"/>
              </w:rPr>
              <w:t>生产</w:t>
            </w:r>
            <w:r>
              <w:rPr>
                <w:color w:val="auto"/>
                <w:szCs w:val="21"/>
              </w:rPr>
              <w:t>补充水</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color w:val="auto"/>
                <w:szCs w:val="21"/>
              </w:rPr>
              <w:t>排水</w:t>
            </w:r>
          </w:p>
        </w:tc>
        <w:tc>
          <w:tcPr>
            <w:tcW w:w="5793" w:type="dxa"/>
            <w:vAlign w:val="center"/>
          </w:tcPr>
          <w:p>
            <w:pPr>
              <w:spacing w:line="300" w:lineRule="auto"/>
              <w:jc w:val="center"/>
              <w:rPr>
                <w:color w:val="auto"/>
                <w:szCs w:val="21"/>
              </w:rPr>
            </w:pPr>
            <w:r>
              <w:rPr>
                <w:color w:val="auto"/>
                <w:szCs w:val="21"/>
              </w:rPr>
              <w:t>采用雨污分流制。项目废水排放主要是生活污水，经</w:t>
            </w:r>
            <w:r>
              <w:rPr>
                <w:rFonts w:hint="eastAsia"/>
                <w:color w:val="auto"/>
                <w:szCs w:val="21"/>
              </w:rPr>
              <w:t>埋地式微动力污水处理装置</w:t>
            </w:r>
            <w:r>
              <w:rPr>
                <w:color w:val="auto"/>
                <w:szCs w:val="21"/>
              </w:rPr>
              <w:t>处理后排放入</w:t>
            </w:r>
            <w:r>
              <w:rPr>
                <w:rFonts w:hint="eastAsia"/>
                <w:color w:val="auto"/>
                <w:szCs w:val="21"/>
              </w:rPr>
              <w:t>万水</w:t>
            </w:r>
            <w:r>
              <w:rPr>
                <w:color w:val="auto"/>
                <w:szCs w:val="21"/>
              </w:rPr>
              <w:t>河</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color w:val="auto"/>
                <w:szCs w:val="21"/>
              </w:rPr>
              <w:t>用电</w:t>
            </w:r>
          </w:p>
        </w:tc>
        <w:tc>
          <w:tcPr>
            <w:tcW w:w="5793" w:type="dxa"/>
            <w:vAlign w:val="center"/>
          </w:tcPr>
          <w:p>
            <w:pPr>
              <w:spacing w:line="300" w:lineRule="auto"/>
              <w:jc w:val="center"/>
              <w:rPr>
                <w:color w:val="auto"/>
                <w:szCs w:val="21"/>
              </w:rPr>
            </w:pPr>
            <w:r>
              <w:rPr>
                <w:color w:val="auto"/>
                <w:szCs w:val="21"/>
              </w:rPr>
              <w:t>由市政电网供应，总用电量约36万千瓦时</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restart"/>
            <w:vAlign w:val="center"/>
          </w:tcPr>
          <w:p>
            <w:pPr>
              <w:adjustRightInd w:val="0"/>
              <w:snapToGrid w:val="0"/>
              <w:spacing w:line="300" w:lineRule="auto"/>
              <w:jc w:val="center"/>
              <w:rPr>
                <w:color w:val="auto"/>
                <w:szCs w:val="21"/>
              </w:rPr>
            </w:pPr>
            <w:r>
              <w:rPr>
                <w:color w:val="auto"/>
                <w:szCs w:val="21"/>
              </w:rPr>
              <w:t>环保工程</w:t>
            </w:r>
          </w:p>
        </w:tc>
        <w:tc>
          <w:tcPr>
            <w:tcW w:w="2025" w:type="dxa"/>
            <w:vAlign w:val="center"/>
          </w:tcPr>
          <w:p>
            <w:pPr>
              <w:adjustRightInd w:val="0"/>
              <w:snapToGrid w:val="0"/>
              <w:spacing w:line="300" w:lineRule="auto"/>
              <w:jc w:val="center"/>
              <w:rPr>
                <w:color w:val="auto"/>
                <w:szCs w:val="21"/>
              </w:rPr>
            </w:pPr>
            <w:r>
              <w:rPr>
                <w:rFonts w:hint="eastAsia"/>
                <w:color w:val="auto"/>
                <w:szCs w:val="21"/>
              </w:rPr>
              <w:t>废气治理</w:t>
            </w:r>
          </w:p>
        </w:tc>
        <w:tc>
          <w:tcPr>
            <w:tcW w:w="5793" w:type="dxa"/>
            <w:vAlign w:val="center"/>
          </w:tcPr>
          <w:p>
            <w:pPr>
              <w:spacing w:line="300" w:lineRule="auto"/>
              <w:jc w:val="center"/>
              <w:rPr>
                <w:rFonts w:hint="eastAsia" w:eastAsia="宋体"/>
                <w:color w:val="auto"/>
                <w:lang w:val="en-US" w:eastAsia="zh-CN"/>
              </w:rPr>
            </w:pPr>
            <w:r>
              <w:rPr>
                <w:rFonts w:hint="eastAsia"/>
                <w:color w:val="auto"/>
              </w:rPr>
              <w:t>粉尘废气使用双桶布袋除尘器处理后以无组织形式排放</w:t>
            </w:r>
            <w:r>
              <w:rPr>
                <w:rFonts w:hint="eastAsia"/>
                <w:color w:val="auto"/>
                <w:lang w:eastAsia="zh-CN"/>
              </w:rPr>
              <w:t>；</w:t>
            </w:r>
            <w:r>
              <w:rPr>
                <w:rFonts w:hint="eastAsia"/>
                <w:color w:val="auto"/>
                <w:szCs w:val="21"/>
                <w:lang w:val="en-US" w:eastAsia="zh-CN"/>
              </w:rPr>
              <w:t>非甲烷总烃废气以无组织形式排放；食堂油烟废气经油烟净化器处理后从1层宿舍天面排放。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color w:val="auto"/>
                <w:szCs w:val="21"/>
              </w:rPr>
              <w:t>废水治理</w:t>
            </w:r>
          </w:p>
        </w:tc>
        <w:tc>
          <w:tcPr>
            <w:tcW w:w="5793" w:type="dxa"/>
            <w:vAlign w:val="center"/>
          </w:tcPr>
          <w:p>
            <w:pPr>
              <w:spacing w:line="300" w:lineRule="auto"/>
              <w:jc w:val="center"/>
              <w:rPr>
                <w:color w:val="auto"/>
                <w:szCs w:val="21"/>
              </w:rPr>
            </w:pPr>
            <w:r>
              <w:rPr>
                <w:color w:val="auto"/>
                <w:szCs w:val="21"/>
              </w:rPr>
              <w:t>生活污水经</w:t>
            </w:r>
            <w:r>
              <w:rPr>
                <w:rFonts w:hint="eastAsia"/>
                <w:color w:val="auto"/>
                <w:szCs w:val="21"/>
              </w:rPr>
              <w:t>埋地式微动力污水处理装置</w:t>
            </w:r>
            <w:r>
              <w:rPr>
                <w:color w:val="auto"/>
                <w:szCs w:val="21"/>
              </w:rPr>
              <w:t>处理后排放入</w:t>
            </w:r>
            <w:r>
              <w:rPr>
                <w:rFonts w:hint="eastAsia"/>
                <w:color w:val="auto"/>
                <w:szCs w:val="21"/>
              </w:rPr>
              <w:t>万水</w:t>
            </w:r>
            <w:r>
              <w:rPr>
                <w:color w:val="auto"/>
                <w:szCs w:val="21"/>
              </w:rPr>
              <w:t>河</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0" w:type="dxa"/>
            <w:vMerge w:val="continue"/>
            <w:vAlign w:val="center"/>
          </w:tcPr>
          <w:p>
            <w:pPr>
              <w:adjustRightInd w:val="0"/>
              <w:snapToGrid w:val="0"/>
              <w:spacing w:line="300" w:lineRule="auto"/>
              <w:jc w:val="center"/>
              <w:rPr>
                <w:color w:val="auto"/>
                <w:szCs w:val="21"/>
              </w:rPr>
            </w:pPr>
          </w:p>
        </w:tc>
        <w:tc>
          <w:tcPr>
            <w:tcW w:w="2025" w:type="dxa"/>
            <w:vAlign w:val="center"/>
          </w:tcPr>
          <w:p>
            <w:pPr>
              <w:adjustRightInd w:val="0"/>
              <w:snapToGrid w:val="0"/>
              <w:spacing w:line="300" w:lineRule="auto"/>
              <w:jc w:val="center"/>
              <w:rPr>
                <w:color w:val="auto"/>
                <w:szCs w:val="21"/>
              </w:rPr>
            </w:pPr>
            <w:r>
              <w:rPr>
                <w:color w:val="auto"/>
                <w:szCs w:val="21"/>
              </w:rPr>
              <w:t>固废治理</w:t>
            </w:r>
          </w:p>
        </w:tc>
        <w:tc>
          <w:tcPr>
            <w:tcW w:w="5793" w:type="dxa"/>
            <w:vAlign w:val="center"/>
          </w:tcPr>
          <w:p>
            <w:pPr>
              <w:adjustRightInd w:val="0"/>
              <w:snapToGrid w:val="0"/>
              <w:spacing w:line="300" w:lineRule="auto"/>
              <w:jc w:val="center"/>
              <w:rPr>
                <w:color w:val="auto"/>
                <w:szCs w:val="21"/>
              </w:rPr>
            </w:pPr>
            <w:r>
              <w:rPr>
                <w:color w:val="auto"/>
                <w:szCs w:val="21"/>
              </w:rPr>
              <w:t>分离出来的</w:t>
            </w:r>
            <w:r>
              <w:rPr>
                <w:rFonts w:hint="eastAsia"/>
                <w:color w:val="auto"/>
                <w:szCs w:val="21"/>
              </w:rPr>
              <w:t>废树脂粉末交青山垃圾填埋场处理；</w:t>
            </w:r>
          </w:p>
          <w:p>
            <w:pPr>
              <w:adjustRightInd w:val="0"/>
              <w:snapToGrid w:val="0"/>
              <w:spacing w:line="300" w:lineRule="auto"/>
              <w:jc w:val="center"/>
              <w:rPr>
                <w:color w:val="auto"/>
                <w:szCs w:val="21"/>
              </w:rPr>
            </w:pPr>
            <w:r>
              <w:rPr>
                <w:color w:val="auto"/>
                <w:szCs w:val="21"/>
              </w:rPr>
              <w:t>生活垃圾由环卫部门定期统一清运</w:t>
            </w:r>
            <w:r>
              <w:rPr>
                <w:rFonts w:hint="eastAsia"/>
                <w:color w:val="auto"/>
                <w:szCs w:val="21"/>
              </w:rPr>
              <w:t>。</w:t>
            </w:r>
          </w:p>
        </w:tc>
      </w:tr>
    </w:tbl>
    <w:p>
      <w:pPr>
        <w:numPr>
          <w:ilvl w:val="0"/>
          <w:numId w:val="7"/>
        </w:numPr>
        <w:spacing w:line="360" w:lineRule="auto"/>
        <w:rPr>
          <w:color w:val="auto"/>
          <w:sz w:val="24"/>
        </w:rPr>
      </w:pPr>
      <w:r>
        <w:rPr>
          <w:rFonts w:hint="eastAsia"/>
          <w:color w:val="auto"/>
          <w:sz w:val="24"/>
        </w:rPr>
        <w:t>根据现场勘查结果，现有</w:t>
      </w:r>
      <w:r>
        <w:rPr>
          <w:rFonts w:hint="eastAsia"/>
          <w:color w:val="auto"/>
          <w:sz w:val="24"/>
          <w:lang w:val="en-US" w:eastAsia="zh-CN"/>
        </w:rPr>
        <w:t>项目</w:t>
      </w:r>
      <w:r>
        <w:rPr>
          <w:color w:val="auto"/>
          <w:sz w:val="24"/>
        </w:rPr>
        <w:t>主要生产设备见下表。</w:t>
      </w:r>
    </w:p>
    <w:p>
      <w:pPr>
        <w:pStyle w:val="9"/>
        <w:rPr>
          <w:rFonts w:ascii="Times New Roman" w:hAnsi="Times New Roman" w:eastAsia="宋体"/>
          <w:color w:val="auto"/>
          <w:sz w:val="21"/>
        </w:rPr>
      </w:pPr>
      <w:r>
        <w:rPr>
          <w:rFonts w:ascii="Times New Roman" w:hAnsi="Times New Roman" w:eastAsia="宋体"/>
          <w:color w:val="auto"/>
          <w:sz w:val="21"/>
        </w:rPr>
        <w:t>表3.1-</w:t>
      </w:r>
      <w:r>
        <w:rPr>
          <w:rFonts w:hint="eastAsia" w:ascii="Times New Roman" w:hAnsi="Times New Roman" w:eastAsia="宋体"/>
          <w:color w:val="auto"/>
          <w:sz w:val="21"/>
        </w:rPr>
        <w:t xml:space="preserve">3 </w:t>
      </w:r>
      <w:r>
        <w:rPr>
          <w:rFonts w:ascii="Times New Roman" w:hAnsi="Times New Roman" w:eastAsia="宋体"/>
          <w:color w:val="auto"/>
          <w:sz w:val="21"/>
        </w:rPr>
        <w:t xml:space="preserve"> </w:t>
      </w:r>
      <w:r>
        <w:rPr>
          <w:rFonts w:hint="eastAsia" w:ascii="Times New Roman" w:hAnsi="Times New Roman" w:eastAsia="宋体"/>
          <w:color w:val="auto"/>
          <w:sz w:val="21"/>
          <w:lang w:val="en-US" w:eastAsia="zh-CN"/>
        </w:rPr>
        <w:t>现有项目</w:t>
      </w:r>
      <w:r>
        <w:rPr>
          <w:rFonts w:ascii="Times New Roman" w:hAnsi="Times New Roman" w:eastAsia="宋体"/>
          <w:color w:val="auto"/>
          <w:sz w:val="21"/>
        </w:rPr>
        <w:t>主要生产设备清单</w:t>
      </w:r>
    </w:p>
    <w:tbl>
      <w:tblPr>
        <w:tblStyle w:val="24"/>
        <w:tblW w:w="89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2702"/>
        <w:gridCol w:w="1789"/>
        <w:gridCol w:w="1790"/>
        <w:gridCol w:w="1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序号</w:t>
            </w:r>
          </w:p>
        </w:tc>
        <w:tc>
          <w:tcPr>
            <w:tcW w:w="2702" w:type="dxa"/>
            <w:vAlign w:val="center"/>
          </w:tcPr>
          <w:p>
            <w:pPr>
              <w:adjustRightInd w:val="0"/>
              <w:snapToGrid w:val="0"/>
              <w:spacing w:line="300" w:lineRule="auto"/>
              <w:jc w:val="center"/>
              <w:rPr>
                <w:color w:val="auto"/>
                <w:szCs w:val="21"/>
              </w:rPr>
            </w:pPr>
            <w:r>
              <w:rPr>
                <w:color w:val="auto"/>
                <w:szCs w:val="21"/>
              </w:rPr>
              <w:t>设备名称</w:t>
            </w:r>
          </w:p>
        </w:tc>
        <w:tc>
          <w:tcPr>
            <w:tcW w:w="1789" w:type="dxa"/>
            <w:vAlign w:val="center"/>
          </w:tcPr>
          <w:p>
            <w:pPr>
              <w:adjustRightInd w:val="0"/>
              <w:snapToGrid w:val="0"/>
              <w:spacing w:line="300" w:lineRule="auto"/>
              <w:jc w:val="center"/>
              <w:rPr>
                <w:color w:val="auto"/>
                <w:szCs w:val="21"/>
              </w:rPr>
            </w:pPr>
            <w:r>
              <w:rPr>
                <w:color w:val="auto"/>
                <w:szCs w:val="21"/>
              </w:rPr>
              <w:t>单位</w:t>
            </w:r>
          </w:p>
        </w:tc>
        <w:tc>
          <w:tcPr>
            <w:tcW w:w="1790" w:type="dxa"/>
            <w:vAlign w:val="center"/>
          </w:tcPr>
          <w:p>
            <w:pPr>
              <w:adjustRightInd w:val="0"/>
              <w:snapToGrid w:val="0"/>
              <w:spacing w:line="300" w:lineRule="auto"/>
              <w:jc w:val="center"/>
              <w:rPr>
                <w:color w:val="auto"/>
                <w:szCs w:val="21"/>
              </w:rPr>
            </w:pPr>
            <w:r>
              <w:rPr>
                <w:color w:val="auto"/>
                <w:szCs w:val="21"/>
              </w:rPr>
              <w:t>数量</w:t>
            </w:r>
          </w:p>
        </w:tc>
        <w:tc>
          <w:tcPr>
            <w:tcW w:w="1776" w:type="dxa"/>
            <w:vAlign w:val="center"/>
          </w:tcPr>
          <w:p>
            <w:pPr>
              <w:adjustRightInd w:val="0"/>
              <w:snapToGrid w:val="0"/>
              <w:spacing w:line="300" w:lineRule="auto"/>
              <w:jc w:val="center"/>
              <w:rPr>
                <w:color w:val="auto"/>
                <w:szCs w:val="21"/>
              </w:rPr>
            </w:pPr>
            <w:r>
              <w:rPr>
                <w:rFonts w:hint="eastAsia"/>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1</w:t>
            </w:r>
          </w:p>
        </w:tc>
        <w:tc>
          <w:tcPr>
            <w:tcW w:w="2702" w:type="dxa"/>
            <w:vAlign w:val="center"/>
          </w:tcPr>
          <w:p>
            <w:pPr>
              <w:adjustRightInd w:val="0"/>
              <w:snapToGrid w:val="0"/>
              <w:spacing w:line="300" w:lineRule="auto"/>
              <w:jc w:val="center"/>
              <w:rPr>
                <w:color w:val="auto"/>
                <w:szCs w:val="21"/>
              </w:rPr>
            </w:pPr>
            <w:r>
              <w:rPr>
                <w:color w:val="auto"/>
                <w:szCs w:val="21"/>
              </w:rPr>
              <w:t>破碎机</w:t>
            </w:r>
          </w:p>
        </w:tc>
        <w:tc>
          <w:tcPr>
            <w:tcW w:w="1789" w:type="dxa"/>
            <w:vAlign w:val="center"/>
          </w:tcPr>
          <w:p>
            <w:pPr>
              <w:adjustRightInd w:val="0"/>
              <w:snapToGrid w:val="0"/>
              <w:spacing w:line="300" w:lineRule="auto"/>
              <w:jc w:val="center"/>
              <w:rPr>
                <w:color w:val="auto"/>
                <w:szCs w:val="21"/>
              </w:rPr>
            </w:pPr>
            <w:r>
              <w:rPr>
                <w:color w:val="auto"/>
                <w:szCs w:val="21"/>
              </w:rPr>
              <w:t>台</w:t>
            </w:r>
          </w:p>
        </w:tc>
        <w:tc>
          <w:tcPr>
            <w:tcW w:w="1790" w:type="dxa"/>
            <w:vAlign w:val="center"/>
          </w:tcPr>
          <w:p>
            <w:pPr>
              <w:adjustRightInd w:val="0"/>
              <w:snapToGrid w:val="0"/>
              <w:spacing w:line="300" w:lineRule="auto"/>
              <w:jc w:val="center"/>
              <w:rPr>
                <w:color w:val="auto"/>
                <w:szCs w:val="21"/>
              </w:rPr>
            </w:pPr>
            <w:r>
              <w:rPr>
                <w:color w:val="auto"/>
                <w:szCs w:val="21"/>
              </w:rPr>
              <w:t>3</w:t>
            </w:r>
          </w:p>
        </w:tc>
        <w:tc>
          <w:tcPr>
            <w:tcW w:w="1776" w:type="dxa"/>
            <w:vAlign w:val="center"/>
          </w:tcPr>
          <w:p>
            <w:pPr>
              <w:adjustRightInd w:val="0"/>
              <w:snapToGrid w:val="0"/>
              <w:spacing w:line="300" w:lineRule="auto"/>
              <w:jc w:val="center"/>
              <w:rPr>
                <w:color w:val="auto"/>
                <w:szCs w:val="21"/>
              </w:rPr>
            </w:pPr>
            <w:r>
              <w:rPr>
                <w:rFonts w:hint="eastAsia"/>
                <w:color w:val="auto"/>
                <w:szCs w:val="21"/>
              </w:rPr>
              <w:t>即一级破碎机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2</w:t>
            </w:r>
          </w:p>
        </w:tc>
        <w:tc>
          <w:tcPr>
            <w:tcW w:w="2702" w:type="dxa"/>
            <w:vAlign w:val="center"/>
          </w:tcPr>
          <w:p>
            <w:pPr>
              <w:adjustRightInd w:val="0"/>
              <w:snapToGrid w:val="0"/>
              <w:spacing w:line="300" w:lineRule="auto"/>
              <w:jc w:val="center"/>
              <w:rPr>
                <w:color w:val="auto"/>
                <w:szCs w:val="21"/>
              </w:rPr>
            </w:pPr>
            <w:r>
              <w:rPr>
                <w:color w:val="auto"/>
                <w:szCs w:val="21"/>
              </w:rPr>
              <w:t>粉碎机</w:t>
            </w:r>
          </w:p>
        </w:tc>
        <w:tc>
          <w:tcPr>
            <w:tcW w:w="1789" w:type="dxa"/>
            <w:vAlign w:val="center"/>
          </w:tcPr>
          <w:p>
            <w:pPr>
              <w:adjustRightInd w:val="0"/>
              <w:snapToGrid w:val="0"/>
              <w:spacing w:line="300" w:lineRule="auto"/>
              <w:jc w:val="center"/>
              <w:rPr>
                <w:color w:val="auto"/>
                <w:szCs w:val="21"/>
              </w:rPr>
            </w:pPr>
            <w:r>
              <w:rPr>
                <w:color w:val="auto"/>
                <w:szCs w:val="21"/>
              </w:rPr>
              <w:t>台</w:t>
            </w:r>
          </w:p>
        </w:tc>
        <w:tc>
          <w:tcPr>
            <w:tcW w:w="1790" w:type="dxa"/>
            <w:vAlign w:val="center"/>
          </w:tcPr>
          <w:p>
            <w:pPr>
              <w:adjustRightInd w:val="0"/>
              <w:snapToGrid w:val="0"/>
              <w:spacing w:line="300" w:lineRule="auto"/>
              <w:jc w:val="center"/>
              <w:rPr>
                <w:color w:val="auto"/>
                <w:szCs w:val="21"/>
              </w:rPr>
            </w:pPr>
            <w:r>
              <w:rPr>
                <w:color w:val="auto"/>
                <w:szCs w:val="21"/>
              </w:rPr>
              <w:t>8</w:t>
            </w:r>
          </w:p>
        </w:tc>
        <w:tc>
          <w:tcPr>
            <w:tcW w:w="1776" w:type="dxa"/>
            <w:vAlign w:val="center"/>
          </w:tcPr>
          <w:p>
            <w:pPr>
              <w:adjustRightInd w:val="0"/>
              <w:snapToGrid w:val="0"/>
              <w:spacing w:line="300" w:lineRule="auto"/>
              <w:jc w:val="center"/>
              <w:rPr>
                <w:color w:val="auto"/>
                <w:szCs w:val="21"/>
              </w:rPr>
            </w:pPr>
            <w:r>
              <w:rPr>
                <w:rFonts w:hint="eastAsia"/>
                <w:color w:val="auto"/>
                <w:szCs w:val="21"/>
              </w:rPr>
              <w:t>即二级破碎机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3</w:t>
            </w:r>
          </w:p>
        </w:tc>
        <w:tc>
          <w:tcPr>
            <w:tcW w:w="2702" w:type="dxa"/>
            <w:vAlign w:val="center"/>
          </w:tcPr>
          <w:p>
            <w:pPr>
              <w:adjustRightInd w:val="0"/>
              <w:snapToGrid w:val="0"/>
              <w:spacing w:line="300" w:lineRule="auto"/>
              <w:jc w:val="center"/>
              <w:rPr>
                <w:color w:val="auto"/>
                <w:szCs w:val="21"/>
              </w:rPr>
            </w:pPr>
            <w:r>
              <w:rPr>
                <w:color w:val="auto"/>
                <w:szCs w:val="21"/>
              </w:rPr>
              <w:t>摇床</w:t>
            </w:r>
          </w:p>
        </w:tc>
        <w:tc>
          <w:tcPr>
            <w:tcW w:w="1789" w:type="dxa"/>
            <w:vAlign w:val="center"/>
          </w:tcPr>
          <w:p>
            <w:pPr>
              <w:adjustRightInd w:val="0"/>
              <w:snapToGrid w:val="0"/>
              <w:spacing w:line="300" w:lineRule="auto"/>
              <w:jc w:val="center"/>
              <w:rPr>
                <w:color w:val="auto"/>
                <w:szCs w:val="21"/>
              </w:rPr>
            </w:pPr>
            <w:r>
              <w:rPr>
                <w:color w:val="auto"/>
                <w:szCs w:val="21"/>
              </w:rPr>
              <w:t>台</w:t>
            </w:r>
          </w:p>
        </w:tc>
        <w:tc>
          <w:tcPr>
            <w:tcW w:w="1790" w:type="dxa"/>
            <w:vAlign w:val="center"/>
          </w:tcPr>
          <w:p>
            <w:pPr>
              <w:adjustRightInd w:val="0"/>
              <w:snapToGrid w:val="0"/>
              <w:spacing w:line="300" w:lineRule="auto"/>
              <w:jc w:val="center"/>
              <w:rPr>
                <w:color w:val="auto"/>
                <w:szCs w:val="21"/>
              </w:rPr>
            </w:pPr>
            <w:r>
              <w:rPr>
                <w:color w:val="auto"/>
                <w:szCs w:val="21"/>
              </w:rPr>
              <w:t>16</w:t>
            </w:r>
          </w:p>
        </w:tc>
        <w:tc>
          <w:tcPr>
            <w:tcW w:w="1776" w:type="dxa"/>
            <w:vAlign w:val="center"/>
          </w:tcPr>
          <w:p>
            <w:pPr>
              <w:adjustRightInd w:val="0"/>
              <w:snapToGrid w:val="0"/>
              <w:spacing w:line="300" w:lineRule="auto"/>
              <w:jc w:val="center"/>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4</w:t>
            </w:r>
          </w:p>
        </w:tc>
        <w:tc>
          <w:tcPr>
            <w:tcW w:w="2702" w:type="dxa"/>
            <w:vAlign w:val="center"/>
          </w:tcPr>
          <w:p>
            <w:pPr>
              <w:adjustRightInd w:val="0"/>
              <w:snapToGrid w:val="0"/>
              <w:spacing w:line="300" w:lineRule="auto"/>
              <w:jc w:val="center"/>
              <w:rPr>
                <w:color w:val="auto"/>
                <w:szCs w:val="21"/>
              </w:rPr>
            </w:pPr>
            <w:r>
              <w:rPr>
                <w:color w:val="auto"/>
                <w:szCs w:val="21"/>
              </w:rPr>
              <w:t>甩干机</w:t>
            </w:r>
          </w:p>
        </w:tc>
        <w:tc>
          <w:tcPr>
            <w:tcW w:w="1789" w:type="dxa"/>
            <w:vAlign w:val="center"/>
          </w:tcPr>
          <w:p>
            <w:pPr>
              <w:adjustRightInd w:val="0"/>
              <w:snapToGrid w:val="0"/>
              <w:spacing w:line="300" w:lineRule="auto"/>
              <w:jc w:val="center"/>
              <w:rPr>
                <w:color w:val="auto"/>
                <w:szCs w:val="21"/>
              </w:rPr>
            </w:pPr>
            <w:r>
              <w:rPr>
                <w:color w:val="auto"/>
                <w:szCs w:val="21"/>
              </w:rPr>
              <w:t>台</w:t>
            </w:r>
          </w:p>
        </w:tc>
        <w:tc>
          <w:tcPr>
            <w:tcW w:w="1790" w:type="dxa"/>
            <w:vAlign w:val="center"/>
          </w:tcPr>
          <w:p>
            <w:pPr>
              <w:adjustRightInd w:val="0"/>
              <w:snapToGrid w:val="0"/>
              <w:spacing w:line="300" w:lineRule="auto"/>
              <w:jc w:val="center"/>
              <w:rPr>
                <w:color w:val="auto"/>
                <w:szCs w:val="21"/>
              </w:rPr>
            </w:pPr>
            <w:r>
              <w:rPr>
                <w:color w:val="auto"/>
                <w:szCs w:val="21"/>
              </w:rPr>
              <w:t>2</w:t>
            </w:r>
          </w:p>
        </w:tc>
        <w:tc>
          <w:tcPr>
            <w:tcW w:w="1776" w:type="dxa"/>
            <w:vAlign w:val="center"/>
          </w:tcPr>
          <w:p>
            <w:pPr>
              <w:adjustRightInd w:val="0"/>
              <w:snapToGrid w:val="0"/>
              <w:spacing w:line="300" w:lineRule="auto"/>
              <w:jc w:val="center"/>
              <w:rPr>
                <w:color w:val="auto"/>
                <w:szCs w:val="21"/>
              </w:rPr>
            </w:pPr>
            <w:r>
              <w:rPr>
                <w:rFonts w:hint="eastAsia"/>
                <w:color w:val="auto"/>
                <w:szCs w:val="21"/>
              </w:rPr>
              <w:t>含烘干功能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5" w:type="dxa"/>
            <w:vAlign w:val="center"/>
          </w:tcPr>
          <w:p>
            <w:pPr>
              <w:adjustRightInd w:val="0"/>
              <w:snapToGrid w:val="0"/>
              <w:spacing w:line="300" w:lineRule="auto"/>
              <w:jc w:val="center"/>
              <w:rPr>
                <w:color w:val="auto"/>
                <w:szCs w:val="21"/>
              </w:rPr>
            </w:pPr>
            <w:r>
              <w:rPr>
                <w:color w:val="auto"/>
                <w:szCs w:val="21"/>
              </w:rPr>
              <w:t>5</w:t>
            </w:r>
          </w:p>
        </w:tc>
        <w:tc>
          <w:tcPr>
            <w:tcW w:w="2702" w:type="dxa"/>
            <w:vAlign w:val="center"/>
          </w:tcPr>
          <w:p>
            <w:pPr>
              <w:adjustRightInd w:val="0"/>
              <w:snapToGrid w:val="0"/>
              <w:spacing w:line="300" w:lineRule="auto"/>
              <w:jc w:val="center"/>
              <w:rPr>
                <w:color w:val="auto"/>
                <w:szCs w:val="21"/>
              </w:rPr>
            </w:pPr>
            <w:r>
              <w:rPr>
                <w:color w:val="auto"/>
                <w:szCs w:val="21"/>
              </w:rPr>
              <w:t>铲车</w:t>
            </w:r>
          </w:p>
        </w:tc>
        <w:tc>
          <w:tcPr>
            <w:tcW w:w="1789" w:type="dxa"/>
            <w:vAlign w:val="center"/>
          </w:tcPr>
          <w:p>
            <w:pPr>
              <w:adjustRightInd w:val="0"/>
              <w:snapToGrid w:val="0"/>
              <w:spacing w:line="300" w:lineRule="auto"/>
              <w:jc w:val="center"/>
              <w:rPr>
                <w:color w:val="auto"/>
                <w:szCs w:val="21"/>
              </w:rPr>
            </w:pPr>
            <w:r>
              <w:rPr>
                <w:color w:val="auto"/>
                <w:szCs w:val="21"/>
              </w:rPr>
              <w:t>辆</w:t>
            </w:r>
          </w:p>
        </w:tc>
        <w:tc>
          <w:tcPr>
            <w:tcW w:w="1790" w:type="dxa"/>
            <w:vAlign w:val="center"/>
          </w:tcPr>
          <w:p>
            <w:pPr>
              <w:adjustRightInd w:val="0"/>
              <w:snapToGrid w:val="0"/>
              <w:spacing w:line="300" w:lineRule="auto"/>
              <w:jc w:val="center"/>
              <w:rPr>
                <w:color w:val="auto"/>
                <w:szCs w:val="21"/>
              </w:rPr>
            </w:pPr>
            <w:r>
              <w:rPr>
                <w:color w:val="auto"/>
                <w:szCs w:val="21"/>
              </w:rPr>
              <w:t>1</w:t>
            </w:r>
          </w:p>
        </w:tc>
        <w:tc>
          <w:tcPr>
            <w:tcW w:w="1776" w:type="dxa"/>
            <w:vAlign w:val="center"/>
          </w:tcPr>
          <w:p>
            <w:pPr>
              <w:adjustRightInd w:val="0"/>
              <w:snapToGrid w:val="0"/>
              <w:spacing w:line="300" w:lineRule="auto"/>
              <w:jc w:val="center"/>
              <w:rPr>
                <w:color w:val="auto"/>
                <w:szCs w:val="21"/>
              </w:rPr>
            </w:pPr>
            <w:r>
              <w:rPr>
                <w:rFonts w:hint="eastAsia"/>
                <w:color w:val="auto"/>
                <w:szCs w:val="21"/>
              </w:rPr>
              <w:t>/</w:t>
            </w:r>
          </w:p>
        </w:tc>
      </w:tr>
    </w:tbl>
    <w:p>
      <w:pPr>
        <w:pStyle w:val="8"/>
        <w:numPr>
          <w:ilvl w:val="3"/>
          <w:numId w:val="0"/>
        </w:numPr>
        <w:rPr>
          <w:color w:val="auto"/>
        </w:rPr>
      </w:pPr>
      <w:bookmarkStart w:id="287" w:name="_Toc4607"/>
      <w:r>
        <w:rPr>
          <w:rFonts w:hint="eastAsia"/>
          <w:color w:val="auto"/>
        </w:rPr>
        <w:t>3.1.2.3  现有项目</w:t>
      </w:r>
      <w:r>
        <w:rPr>
          <w:color w:val="auto"/>
        </w:rPr>
        <w:t>生产规模</w:t>
      </w:r>
    </w:p>
    <w:p>
      <w:pPr>
        <w:spacing w:line="360" w:lineRule="auto"/>
        <w:ind w:firstLine="480" w:firstLineChars="200"/>
        <w:rPr>
          <w:color w:val="auto"/>
          <w:sz w:val="24"/>
        </w:rPr>
      </w:pPr>
      <w:r>
        <w:rPr>
          <w:color w:val="auto"/>
          <w:sz w:val="24"/>
        </w:rPr>
        <w:t>清远市清城区信兴金属回收加工有限公司现有生产能力为</w:t>
      </w:r>
      <w:r>
        <w:rPr>
          <w:rFonts w:hint="eastAsia"/>
          <w:color w:val="auto"/>
          <w:sz w:val="24"/>
        </w:rPr>
        <w:t>处理覆铜板3000t/a。</w:t>
      </w:r>
      <w:r>
        <w:rPr>
          <w:rFonts w:hint="eastAsia"/>
          <w:color w:val="auto"/>
          <w:sz w:val="24"/>
          <w:shd w:val="clear" w:color="auto" w:fill="FFFFFF"/>
        </w:rPr>
        <w:t>现有项目于2020年5月8日对回收的覆铜板进行随机取样，并委托</w:t>
      </w:r>
      <w:r>
        <w:rPr>
          <w:rFonts w:hint="eastAsia" w:ascii="MicrosoftYaHei" w:hAnsi="MicrosoftYaHei" w:eastAsia="MicrosoftYaHei"/>
          <w:color w:val="auto"/>
          <w:sz w:val="24"/>
        </w:rPr>
        <w:t>广州博诺通技术股份有限公司进行成分分</w:t>
      </w:r>
      <w:r>
        <w:rPr>
          <w:rFonts w:hint="eastAsia"/>
          <w:color w:val="auto"/>
          <w:sz w:val="24"/>
          <w:shd w:val="clear" w:color="auto" w:fill="FFFFFF"/>
        </w:rPr>
        <w:t>析，根据《分析报告》（报告编号：BNT20200513001，附件10），</w:t>
      </w:r>
      <w:r>
        <w:rPr>
          <w:rFonts w:hint="eastAsia"/>
          <w:color w:val="auto"/>
          <w:sz w:val="24"/>
        </w:rPr>
        <w:t>覆铜板中含铜量为78.58%，废树脂粉占比为21.42%。发现与原有环评报告表有一定的出入。现就项目现状进行梳理，现有项目目前物料出入情况如下表。</w:t>
      </w:r>
    </w:p>
    <w:p>
      <w:pPr>
        <w:spacing w:line="360" w:lineRule="auto"/>
        <w:ind w:right="103" w:rightChars="49"/>
        <w:jc w:val="center"/>
        <w:rPr>
          <w:b/>
          <w:color w:val="auto"/>
          <w:kern w:val="0"/>
          <w:szCs w:val="21"/>
        </w:rPr>
      </w:pPr>
      <w:r>
        <w:rPr>
          <w:b/>
          <w:color w:val="auto"/>
          <w:kern w:val="0"/>
          <w:szCs w:val="21"/>
        </w:rPr>
        <w:t>表</w:t>
      </w:r>
      <w:r>
        <w:rPr>
          <w:rFonts w:hint="eastAsia"/>
          <w:b/>
          <w:color w:val="auto"/>
          <w:kern w:val="0"/>
          <w:szCs w:val="21"/>
        </w:rPr>
        <w:t xml:space="preserve">3.1-4 </w:t>
      </w:r>
      <w:r>
        <w:rPr>
          <w:b/>
          <w:color w:val="auto"/>
          <w:kern w:val="0"/>
          <w:szCs w:val="21"/>
        </w:rPr>
        <w:t xml:space="preserve"> </w:t>
      </w:r>
      <w:r>
        <w:rPr>
          <w:rFonts w:hint="eastAsia"/>
          <w:b/>
          <w:color w:val="auto"/>
          <w:kern w:val="0"/>
          <w:szCs w:val="21"/>
        </w:rPr>
        <w:t>现有项目物料出入情况</w:t>
      </w:r>
      <w:r>
        <w:rPr>
          <w:b/>
          <w:color w:val="auto"/>
          <w:kern w:val="0"/>
          <w:szCs w:val="21"/>
        </w:rPr>
        <w:t>表</w:t>
      </w:r>
    </w:p>
    <w:tbl>
      <w:tblPr>
        <w:tblStyle w:val="24"/>
        <w:tblW w:w="87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0"/>
        <w:gridCol w:w="1183"/>
        <w:gridCol w:w="1182"/>
        <w:gridCol w:w="2372"/>
        <w:gridCol w:w="1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3"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投入物料</w:t>
            </w:r>
          </w:p>
        </w:tc>
        <w:tc>
          <w:tcPr>
            <w:tcW w:w="4980" w:type="dxa"/>
            <w:gridSpan w:val="3"/>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产出物料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70"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物料名称</w:t>
            </w:r>
          </w:p>
        </w:tc>
        <w:tc>
          <w:tcPr>
            <w:tcW w:w="1183"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数量（t/a）</w:t>
            </w:r>
          </w:p>
        </w:tc>
        <w:tc>
          <w:tcPr>
            <w:tcW w:w="1182"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物料类型</w:t>
            </w:r>
          </w:p>
        </w:tc>
        <w:tc>
          <w:tcPr>
            <w:tcW w:w="2372"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物料名称</w:t>
            </w:r>
          </w:p>
        </w:tc>
        <w:tc>
          <w:tcPr>
            <w:tcW w:w="1426"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70" w:type="dxa"/>
            <w:vMerge w:val="restart"/>
            <w:tcBorders>
              <w:tl2br w:val="nil"/>
              <w:tr2bl w:val="nil"/>
            </w:tcBorders>
            <w:vAlign w:val="center"/>
          </w:tcPr>
          <w:p>
            <w:pPr>
              <w:jc w:val="center"/>
              <w:rPr>
                <w:bCs/>
                <w:color w:val="auto"/>
                <w:szCs w:val="21"/>
              </w:rPr>
            </w:pPr>
            <w:r>
              <w:rPr>
                <w:color w:val="auto"/>
                <w:szCs w:val="21"/>
              </w:rPr>
              <w:t>废覆铜板（不含元器件）</w:t>
            </w:r>
          </w:p>
        </w:tc>
        <w:tc>
          <w:tcPr>
            <w:tcW w:w="1183" w:type="dxa"/>
            <w:vMerge w:val="restart"/>
            <w:tcBorders>
              <w:tl2br w:val="nil"/>
              <w:tr2bl w:val="nil"/>
            </w:tcBorders>
            <w:vAlign w:val="center"/>
          </w:tcPr>
          <w:p>
            <w:pPr>
              <w:widowControl/>
              <w:jc w:val="center"/>
              <w:rPr>
                <w:bCs/>
                <w:color w:val="auto"/>
                <w:szCs w:val="21"/>
              </w:rPr>
            </w:pPr>
            <w:r>
              <w:rPr>
                <w:color w:val="auto"/>
                <w:kern w:val="0"/>
                <w:szCs w:val="21"/>
              </w:rPr>
              <w:t>3000</w:t>
            </w:r>
          </w:p>
        </w:tc>
        <w:tc>
          <w:tcPr>
            <w:tcW w:w="1182"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产品</w:t>
            </w:r>
          </w:p>
        </w:tc>
        <w:tc>
          <w:tcPr>
            <w:tcW w:w="2372"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铜粉</w:t>
            </w:r>
          </w:p>
        </w:tc>
        <w:tc>
          <w:tcPr>
            <w:tcW w:w="1426" w:type="dxa"/>
            <w:tcBorders>
              <w:tl2br w:val="nil"/>
              <w:tr2bl w:val="nil"/>
            </w:tcBorders>
            <w:vAlign w:val="center"/>
          </w:tcPr>
          <w:p>
            <w:pPr>
              <w:widowControl/>
              <w:jc w:val="center"/>
              <w:textAlignment w:val="center"/>
              <w:rPr>
                <w:bCs/>
                <w:color w:val="auto"/>
                <w:szCs w:val="21"/>
              </w:rPr>
            </w:pPr>
            <w:r>
              <w:rPr>
                <w:rFonts w:hint="eastAsia"/>
                <w:color w:val="auto"/>
                <w:kern w:val="0"/>
                <w:szCs w:val="21"/>
                <w:lang w:bidi="ar"/>
              </w:rPr>
              <w:t>2357.4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70" w:type="dxa"/>
            <w:vMerge w:val="continue"/>
            <w:tcBorders>
              <w:tl2br w:val="nil"/>
              <w:tr2bl w:val="nil"/>
            </w:tcBorders>
            <w:vAlign w:val="center"/>
          </w:tcPr>
          <w:p>
            <w:pPr>
              <w:jc w:val="center"/>
              <w:rPr>
                <w:color w:val="auto"/>
                <w:szCs w:val="21"/>
              </w:rPr>
            </w:pPr>
          </w:p>
        </w:tc>
        <w:tc>
          <w:tcPr>
            <w:tcW w:w="1183" w:type="dxa"/>
            <w:vMerge w:val="continue"/>
            <w:tcBorders>
              <w:tl2br w:val="nil"/>
              <w:tr2bl w:val="nil"/>
            </w:tcBorders>
            <w:vAlign w:val="center"/>
          </w:tcPr>
          <w:p>
            <w:pPr>
              <w:widowControl/>
              <w:jc w:val="center"/>
              <w:rPr>
                <w:color w:val="auto"/>
                <w:kern w:val="0"/>
                <w:szCs w:val="21"/>
              </w:rPr>
            </w:pPr>
          </w:p>
        </w:tc>
        <w:tc>
          <w:tcPr>
            <w:tcW w:w="1182" w:type="dxa"/>
            <w:tcBorders>
              <w:tl2br w:val="nil"/>
              <w:tr2bl w:val="nil"/>
            </w:tcBorders>
            <w:vAlign w:val="center"/>
          </w:tcPr>
          <w:p>
            <w:pPr>
              <w:pStyle w:val="52"/>
              <w:spacing w:line="240" w:lineRule="auto"/>
              <w:ind w:firstLine="0"/>
              <w:jc w:val="center"/>
              <w:rPr>
                <w:bCs/>
                <w:color w:val="auto"/>
                <w:sz w:val="21"/>
                <w:szCs w:val="21"/>
              </w:rPr>
            </w:pPr>
            <w:r>
              <w:rPr>
                <w:rFonts w:hint="eastAsia"/>
                <w:bCs/>
                <w:color w:val="auto"/>
                <w:sz w:val="21"/>
                <w:szCs w:val="21"/>
              </w:rPr>
              <w:t>废物</w:t>
            </w:r>
          </w:p>
        </w:tc>
        <w:tc>
          <w:tcPr>
            <w:tcW w:w="2372" w:type="dxa"/>
            <w:tcBorders>
              <w:tl2br w:val="nil"/>
              <w:tr2bl w:val="nil"/>
            </w:tcBorders>
            <w:vAlign w:val="center"/>
          </w:tcPr>
          <w:p>
            <w:pPr>
              <w:pStyle w:val="52"/>
              <w:spacing w:line="240" w:lineRule="auto"/>
              <w:ind w:firstLine="0"/>
              <w:jc w:val="center"/>
              <w:rPr>
                <w:bCs/>
                <w:color w:val="auto"/>
                <w:sz w:val="21"/>
                <w:szCs w:val="21"/>
              </w:rPr>
            </w:pPr>
            <w:r>
              <w:rPr>
                <w:rFonts w:hint="eastAsia"/>
                <w:bCs/>
                <w:color w:val="auto"/>
                <w:sz w:val="21"/>
                <w:szCs w:val="21"/>
              </w:rPr>
              <w:t>废树脂粉</w:t>
            </w:r>
          </w:p>
        </w:tc>
        <w:tc>
          <w:tcPr>
            <w:tcW w:w="1426"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642.6</w:t>
            </w:r>
          </w:p>
        </w:tc>
      </w:tr>
    </w:tbl>
    <w:p>
      <w:pPr>
        <w:pStyle w:val="8"/>
        <w:numPr>
          <w:ilvl w:val="3"/>
          <w:numId w:val="0"/>
        </w:numPr>
        <w:rPr>
          <w:color w:val="auto"/>
        </w:rPr>
      </w:pPr>
      <w:r>
        <w:rPr>
          <w:rFonts w:hint="eastAsia"/>
          <w:color w:val="auto"/>
        </w:rPr>
        <w:t>3.1.2.4  现有项目工程概况小结</w:t>
      </w:r>
    </w:p>
    <w:p>
      <w:pPr>
        <w:pStyle w:val="2"/>
        <w:spacing w:line="360" w:lineRule="auto"/>
        <w:ind w:left="0" w:leftChars="0" w:firstLine="480"/>
        <w:rPr>
          <w:color w:val="auto"/>
        </w:rPr>
      </w:pPr>
      <w:r>
        <w:rPr>
          <w:rFonts w:hint="eastAsia" w:ascii="Times New Roman"/>
          <w:color w:val="auto"/>
          <w:kern w:val="2"/>
          <w:sz w:val="24"/>
          <w:shd w:val="clear" w:color="auto" w:fill="FFFFFF"/>
        </w:rPr>
        <w:t>由于现有项目环境影响报告表的编制时间距离现在时间较久，项目经过多年的生产经营，需根据其实际生产需要作调整，故目前的实际情况难免与之前环评中的内容有差别，现进行小结，具体情况详见下表。</w:t>
      </w:r>
    </w:p>
    <w:p>
      <w:pPr>
        <w:pStyle w:val="9"/>
        <w:rPr>
          <w:rFonts w:ascii="Times New Roman" w:hAnsi="Times New Roman" w:eastAsia="宋体"/>
          <w:color w:val="auto"/>
          <w:sz w:val="21"/>
        </w:rPr>
      </w:pPr>
      <w:r>
        <w:rPr>
          <w:rFonts w:ascii="Times New Roman" w:hAnsi="Times New Roman" w:eastAsia="宋体"/>
          <w:color w:val="auto"/>
          <w:sz w:val="21"/>
        </w:rPr>
        <w:t>表3.1-</w:t>
      </w:r>
      <w:r>
        <w:rPr>
          <w:rFonts w:hint="eastAsia" w:ascii="Times New Roman" w:hAnsi="Times New Roman" w:eastAsia="宋体"/>
          <w:color w:val="auto"/>
          <w:sz w:val="21"/>
        </w:rPr>
        <w:t xml:space="preserve">5 </w:t>
      </w:r>
      <w:r>
        <w:rPr>
          <w:rFonts w:ascii="Times New Roman" w:hAnsi="Times New Roman" w:eastAsia="宋体"/>
          <w:color w:val="auto"/>
          <w:sz w:val="21"/>
        </w:rPr>
        <w:t xml:space="preserve"> 现有项目</w:t>
      </w:r>
      <w:r>
        <w:rPr>
          <w:rFonts w:hint="eastAsia" w:ascii="Times New Roman" w:hAnsi="Times New Roman" w:eastAsia="宋体"/>
          <w:color w:val="auto"/>
          <w:sz w:val="21"/>
        </w:rPr>
        <w:t>实际现状与原环评对照表</w:t>
      </w:r>
    </w:p>
    <w:tbl>
      <w:tblPr>
        <w:tblStyle w:val="23"/>
        <w:tblW w:w="89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2250"/>
        <w:gridCol w:w="1903"/>
        <w:gridCol w:w="1959"/>
        <w:gridCol w:w="1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03" w:type="dxa"/>
            <w:gridSpan w:val="2"/>
            <w:vAlign w:val="center"/>
          </w:tcPr>
          <w:p>
            <w:pPr>
              <w:adjustRightInd w:val="0"/>
              <w:snapToGrid w:val="0"/>
              <w:spacing w:line="300" w:lineRule="auto"/>
              <w:jc w:val="center"/>
              <w:rPr>
                <w:color w:val="auto"/>
                <w:szCs w:val="21"/>
              </w:rPr>
            </w:pPr>
            <w:r>
              <w:rPr>
                <w:rFonts w:hint="eastAsia"/>
                <w:color w:val="auto"/>
                <w:szCs w:val="21"/>
              </w:rPr>
              <w:t>项目</w:t>
            </w:r>
          </w:p>
        </w:tc>
        <w:tc>
          <w:tcPr>
            <w:tcW w:w="1903" w:type="dxa"/>
            <w:vAlign w:val="center"/>
          </w:tcPr>
          <w:p>
            <w:pPr>
              <w:adjustRightInd w:val="0"/>
              <w:snapToGrid w:val="0"/>
              <w:spacing w:line="300" w:lineRule="auto"/>
              <w:jc w:val="center"/>
              <w:rPr>
                <w:color w:val="auto"/>
                <w:szCs w:val="21"/>
              </w:rPr>
            </w:pPr>
            <w:r>
              <w:rPr>
                <w:rFonts w:hint="eastAsia"/>
                <w:color w:val="auto"/>
                <w:szCs w:val="21"/>
              </w:rPr>
              <w:t>原环评内容</w:t>
            </w:r>
          </w:p>
        </w:tc>
        <w:tc>
          <w:tcPr>
            <w:tcW w:w="1959" w:type="dxa"/>
            <w:vAlign w:val="center"/>
          </w:tcPr>
          <w:p>
            <w:pPr>
              <w:adjustRightInd w:val="0"/>
              <w:snapToGrid w:val="0"/>
              <w:spacing w:line="300" w:lineRule="auto"/>
              <w:jc w:val="center"/>
              <w:rPr>
                <w:color w:val="auto"/>
                <w:szCs w:val="21"/>
              </w:rPr>
            </w:pPr>
            <w:r>
              <w:rPr>
                <w:rFonts w:hint="eastAsia"/>
                <w:color w:val="auto"/>
                <w:szCs w:val="21"/>
              </w:rPr>
              <w:t>项目实际现状</w:t>
            </w:r>
          </w:p>
        </w:tc>
        <w:tc>
          <w:tcPr>
            <w:tcW w:w="1952" w:type="dxa"/>
            <w:vAlign w:val="center"/>
          </w:tcPr>
          <w:p>
            <w:pPr>
              <w:adjustRightInd w:val="0"/>
              <w:snapToGrid w:val="0"/>
              <w:spacing w:line="300" w:lineRule="auto"/>
              <w:jc w:val="center"/>
              <w:rPr>
                <w:color w:val="auto"/>
                <w:szCs w:val="21"/>
              </w:rPr>
            </w:pPr>
            <w:r>
              <w:rPr>
                <w:rFonts w:hint="eastAsia"/>
                <w:color w:val="auto"/>
                <w:szCs w:val="21"/>
              </w:rPr>
              <w:t>变化内容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restart"/>
            <w:vAlign w:val="center"/>
          </w:tcPr>
          <w:p>
            <w:pPr>
              <w:adjustRightInd w:val="0"/>
              <w:snapToGrid w:val="0"/>
              <w:spacing w:line="300" w:lineRule="auto"/>
              <w:jc w:val="center"/>
              <w:rPr>
                <w:color w:val="auto"/>
                <w:szCs w:val="21"/>
              </w:rPr>
            </w:pPr>
            <w:r>
              <w:rPr>
                <w:rFonts w:hint="eastAsia"/>
                <w:color w:val="auto"/>
                <w:szCs w:val="21"/>
              </w:rPr>
              <w:t>面积</w:t>
            </w:r>
          </w:p>
          <w:p>
            <w:pPr>
              <w:adjustRightInd w:val="0"/>
              <w:snapToGrid w:val="0"/>
              <w:spacing w:line="300" w:lineRule="auto"/>
              <w:jc w:val="center"/>
              <w:rPr>
                <w:color w:val="auto"/>
                <w:szCs w:val="21"/>
              </w:rPr>
            </w:pPr>
            <w:r>
              <w:rPr>
                <w:rFonts w:hint="eastAsia"/>
                <w:color w:val="auto"/>
                <w:szCs w:val="21"/>
              </w:rPr>
              <w:t>情况</w:t>
            </w:r>
          </w:p>
        </w:tc>
        <w:tc>
          <w:tcPr>
            <w:tcW w:w="2250" w:type="dxa"/>
            <w:vAlign w:val="center"/>
          </w:tcPr>
          <w:p>
            <w:pPr>
              <w:adjustRightInd w:val="0"/>
              <w:snapToGrid w:val="0"/>
              <w:spacing w:line="300" w:lineRule="auto"/>
              <w:jc w:val="center"/>
              <w:rPr>
                <w:color w:val="auto"/>
                <w:szCs w:val="21"/>
              </w:rPr>
            </w:pPr>
            <w:r>
              <w:rPr>
                <w:rFonts w:hint="eastAsia"/>
                <w:color w:val="auto"/>
                <w:szCs w:val="21"/>
              </w:rPr>
              <w:t>占地面积</w:t>
            </w:r>
          </w:p>
        </w:tc>
        <w:tc>
          <w:tcPr>
            <w:tcW w:w="1903" w:type="dxa"/>
            <w:vAlign w:val="center"/>
          </w:tcPr>
          <w:p>
            <w:pPr>
              <w:adjustRightInd w:val="0"/>
              <w:snapToGrid w:val="0"/>
              <w:spacing w:line="300" w:lineRule="auto"/>
              <w:jc w:val="center"/>
              <w:rPr>
                <w:color w:val="auto"/>
                <w:szCs w:val="21"/>
              </w:rPr>
            </w:pPr>
            <w:r>
              <w:rPr>
                <w:color w:val="auto"/>
                <w:szCs w:val="21"/>
              </w:rPr>
              <w:t>13000平方米</w:t>
            </w:r>
          </w:p>
        </w:tc>
        <w:tc>
          <w:tcPr>
            <w:tcW w:w="1959" w:type="dxa"/>
            <w:vAlign w:val="center"/>
          </w:tcPr>
          <w:p>
            <w:pPr>
              <w:adjustRightInd w:val="0"/>
              <w:snapToGrid w:val="0"/>
              <w:spacing w:line="300" w:lineRule="auto"/>
              <w:jc w:val="center"/>
              <w:rPr>
                <w:color w:val="auto"/>
                <w:szCs w:val="21"/>
              </w:rPr>
            </w:pPr>
            <w:r>
              <w:rPr>
                <w:color w:val="auto"/>
                <w:szCs w:val="21"/>
              </w:rPr>
              <w:t>13000平方米</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rFonts w:hint="eastAsia"/>
                <w:color w:val="auto"/>
                <w:szCs w:val="21"/>
              </w:rPr>
              <w:t>建筑面积</w:t>
            </w:r>
          </w:p>
        </w:tc>
        <w:tc>
          <w:tcPr>
            <w:tcW w:w="1903" w:type="dxa"/>
            <w:vAlign w:val="center"/>
          </w:tcPr>
          <w:p>
            <w:pPr>
              <w:adjustRightInd w:val="0"/>
              <w:snapToGrid w:val="0"/>
              <w:spacing w:line="300" w:lineRule="auto"/>
              <w:jc w:val="center"/>
              <w:rPr>
                <w:rFonts w:hint="eastAsia" w:eastAsia="宋体"/>
                <w:color w:val="auto"/>
                <w:szCs w:val="21"/>
                <w:lang w:eastAsia="zh-CN"/>
              </w:rPr>
            </w:pPr>
            <w:r>
              <w:rPr>
                <w:rFonts w:hint="eastAsia"/>
                <w:color w:val="auto"/>
                <w:szCs w:val="21"/>
                <w:lang w:val="en-US" w:eastAsia="zh-CN"/>
              </w:rPr>
              <w:t>50</w:t>
            </w:r>
            <w:r>
              <w:rPr>
                <w:rFonts w:hint="eastAsia"/>
                <w:color w:val="auto"/>
                <w:szCs w:val="21"/>
                <w:lang w:eastAsia="zh-CN"/>
              </w:rPr>
              <w:t>00平方米</w:t>
            </w:r>
          </w:p>
        </w:tc>
        <w:tc>
          <w:tcPr>
            <w:tcW w:w="1959" w:type="dxa"/>
            <w:vAlign w:val="center"/>
          </w:tcPr>
          <w:p>
            <w:pPr>
              <w:adjustRightInd w:val="0"/>
              <w:snapToGrid w:val="0"/>
              <w:spacing w:line="300" w:lineRule="auto"/>
              <w:jc w:val="center"/>
              <w:rPr>
                <w:color w:val="auto"/>
                <w:szCs w:val="21"/>
              </w:rPr>
            </w:pPr>
            <w:r>
              <w:rPr>
                <w:rFonts w:hint="eastAsia"/>
                <w:color w:val="auto"/>
                <w:szCs w:val="21"/>
              </w:rPr>
              <w:t>5700平方米</w:t>
            </w:r>
          </w:p>
        </w:tc>
        <w:tc>
          <w:tcPr>
            <w:tcW w:w="1952" w:type="dxa"/>
            <w:vAlign w:val="center"/>
          </w:tcPr>
          <w:p>
            <w:pPr>
              <w:adjustRightInd w:val="0"/>
              <w:snapToGrid w:val="0"/>
              <w:spacing w:line="300" w:lineRule="auto"/>
              <w:jc w:val="center"/>
              <w:rPr>
                <w:color w:val="auto"/>
                <w:szCs w:val="21"/>
              </w:rPr>
            </w:pPr>
            <w:r>
              <w:rPr>
                <w:rFonts w:hint="eastAsia"/>
                <w:color w:val="auto"/>
                <w:szCs w:val="21"/>
              </w:rPr>
              <w:t>增加</w:t>
            </w:r>
            <w:r>
              <w:rPr>
                <w:rFonts w:hint="eastAsia"/>
                <w:color w:val="auto"/>
                <w:szCs w:val="21"/>
                <w:lang w:val="en-US" w:eastAsia="zh-CN"/>
              </w:rPr>
              <w:t>7</w:t>
            </w:r>
            <w:r>
              <w:rPr>
                <w:rFonts w:hint="eastAsia"/>
                <w:color w:val="auto"/>
                <w:szCs w:val="21"/>
              </w:rPr>
              <w:t>00平方米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rFonts w:hint="eastAsia"/>
                <w:color w:val="auto"/>
                <w:szCs w:val="21"/>
              </w:rPr>
              <w:t>空地面积</w:t>
            </w:r>
          </w:p>
        </w:tc>
        <w:tc>
          <w:tcPr>
            <w:tcW w:w="1903" w:type="dxa"/>
            <w:vAlign w:val="center"/>
          </w:tcPr>
          <w:p>
            <w:pPr>
              <w:adjustRightInd w:val="0"/>
              <w:snapToGrid w:val="0"/>
              <w:spacing w:line="300" w:lineRule="auto"/>
              <w:jc w:val="center"/>
              <w:rPr>
                <w:color w:val="auto"/>
                <w:szCs w:val="21"/>
              </w:rPr>
            </w:pPr>
            <w:r>
              <w:rPr>
                <w:rFonts w:hint="eastAsia"/>
                <w:color w:val="auto"/>
                <w:szCs w:val="21"/>
              </w:rPr>
              <w:t>8000平方米</w:t>
            </w:r>
          </w:p>
        </w:tc>
        <w:tc>
          <w:tcPr>
            <w:tcW w:w="1959" w:type="dxa"/>
            <w:vAlign w:val="center"/>
          </w:tcPr>
          <w:p>
            <w:pPr>
              <w:adjustRightInd w:val="0"/>
              <w:snapToGrid w:val="0"/>
              <w:spacing w:line="300" w:lineRule="auto"/>
              <w:jc w:val="center"/>
              <w:rPr>
                <w:color w:val="auto"/>
                <w:szCs w:val="21"/>
              </w:rPr>
            </w:pPr>
            <w:r>
              <w:rPr>
                <w:rFonts w:hint="eastAsia"/>
                <w:color w:val="auto"/>
                <w:szCs w:val="21"/>
              </w:rPr>
              <w:t>7300平方米</w:t>
            </w:r>
          </w:p>
        </w:tc>
        <w:tc>
          <w:tcPr>
            <w:tcW w:w="1952" w:type="dxa"/>
            <w:vAlign w:val="center"/>
          </w:tcPr>
          <w:p>
            <w:pPr>
              <w:adjustRightInd w:val="0"/>
              <w:snapToGrid w:val="0"/>
              <w:spacing w:line="300" w:lineRule="auto"/>
              <w:jc w:val="center"/>
              <w:rPr>
                <w:color w:val="auto"/>
                <w:szCs w:val="21"/>
              </w:rPr>
            </w:pPr>
            <w:r>
              <w:rPr>
                <w:rFonts w:hint="eastAsia"/>
                <w:color w:val="auto"/>
                <w:szCs w:val="21"/>
              </w:rPr>
              <w:t>减少</w:t>
            </w:r>
            <w:r>
              <w:rPr>
                <w:rFonts w:hint="eastAsia"/>
                <w:color w:val="auto"/>
                <w:szCs w:val="21"/>
                <w:lang w:val="en-US" w:eastAsia="zh-CN"/>
              </w:rPr>
              <w:t>7</w:t>
            </w:r>
            <w:r>
              <w:rPr>
                <w:rFonts w:hint="eastAsia"/>
                <w:color w:val="auto"/>
                <w:szCs w:val="21"/>
              </w:rPr>
              <w:t>00平方米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restart"/>
            <w:vAlign w:val="center"/>
          </w:tcPr>
          <w:p>
            <w:pPr>
              <w:adjustRightInd w:val="0"/>
              <w:snapToGrid w:val="0"/>
              <w:spacing w:line="300" w:lineRule="auto"/>
              <w:jc w:val="center"/>
              <w:rPr>
                <w:color w:val="auto"/>
                <w:szCs w:val="21"/>
              </w:rPr>
            </w:pPr>
            <w:r>
              <w:rPr>
                <w:rFonts w:hint="eastAsia"/>
                <w:color w:val="auto"/>
                <w:szCs w:val="21"/>
              </w:rPr>
              <w:t>设备</w:t>
            </w:r>
          </w:p>
          <w:p>
            <w:pPr>
              <w:adjustRightInd w:val="0"/>
              <w:snapToGrid w:val="0"/>
              <w:spacing w:line="300" w:lineRule="auto"/>
              <w:jc w:val="center"/>
              <w:rPr>
                <w:color w:val="auto"/>
                <w:szCs w:val="21"/>
              </w:rPr>
            </w:pPr>
            <w:r>
              <w:rPr>
                <w:rFonts w:hint="eastAsia"/>
                <w:color w:val="auto"/>
                <w:szCs w:val="21"/>
              </w:rPr>
              <w:t>情况</w:t>
            </w:r>
          </w:p>
        </w:tc>
        <w:tc>
          <w:tcPr>
            <w:tcW w:w="2250" w:type="dxa"/>
            <w:vAlign w:val="center"/>
          </w:tcPr>
          <w:p>
            <w:pPr>
              <w:adjustRightInd w:val="0"/>
              <w:snapToGrid w:val="0"/>
              <w:spacing w:line="300" w:lineRule="auto"/>
              <w:jc w:val="center"/>
              <w:rPr>
                <w:color w:val="auto"/>
                <w:szCs w:val="21"/>
              </w:rPr>
            </w:pPr>
            <w:r>
              <w:rPr>
                <w:color w:val="auto"/>
                <w:szCs w:val="21"/>
              </w:rPr>
              <w:t>破碎机</w:t>
            </w:r>
          </w:p>
        </w:tc>
        <w:tc>
          <w:tcPr>
            <w:tcW w:w="1903" w:type="dxa"/>
            <w:vAlign w:val="center"/>
          </w:tcPr>
          <w:p>
            <w:pPr>
              <w:adjustRightInd w:val="0"/>
              <w:snapToGrid w:val="0"/>
              <w:spacing w:line="300" w:lineRule="auto"/>
              <w:jc w:val="center"/>
              <w:rPr>
                <w:color w:val="auto"/>
                <w:szCs w:val="21"/>
              </w:rPr>
            </w:pPr>
            <w:r>
              <w:rPr>
                <w:color w:val="auto"/>
                <w:szCs w:val="21"/>
              </w:rPr>
              <w:t>3</w:t>
            </w:r>
            <w:r>
              <w:rPr>
                <w:rFonts w:hint="eastAsia"/>
                <w:color w:val="auto"/>
                <w:szCs w:val="21"/>
              </w:rPr>
              <w:t>台</w:t>
            </w:r>
          </w:p>
        </w:tc>
        <w:tc>
          <w:tcPr>
            <w:tcW w:w="1959" w:type="dxa"/>
            <w:vAlign w:val="center"/>
          </w:tcPr>
          <w:p>
            <w:pPr>
              <w:adjustRightInd w:val="0"/>
              <w:snapToGrid w:val="0"/>
              <w:spacing w:line="300" w:lineRule="auto"/>
              <w:jc w:val="center"/>
              <w:rPr>
                <w:color w:val="auto"/>
                <w:szCs w:val="21"/>
              </w:rPr>
            </w:pPr>
            <w:r>
              <w:rPr>
                <w:color w:val="auto"/>
                <w:szCs w:val="21"/>
              </w:rPr>
              <w:t>3</w:t>
            </w:r>
            <w:r>
              <w:rPr>
                <w:rFonts w:hint="eastAsia"/>
                <w:color w:val="auto"/>
                <w:szCs w:val="21"/>
              </w:rPr>
              <w:t>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color w:val="auto"/>
                <w:szCs w:val="21"/>
              </w:rPr>
              <w:t>粉碎机</w:t>
            </w:r>
          </w:p>
        </w:tc>
        <w:tc>
          <w:tcPr>
            <w:tcW w:w="1903" w:type="dxa"/>
            <w:vAlign w:val="center"/>
          </w:tcPr>
          <w:p>
            <w:pPr>
              <w:adjustRightInd w:val="0"/>
              <w:snapToGrid w:val="0"/>
              <w:spacing w:line="300" w:lineRule="auto"/>
              <w:jc w:val="center"/>
              <w:rPr>
                <w:color w:val="auto"/>
                <w:szCs w:val="21"/>
              </w:rPr>
            </w:pPr>
            <w:r>
              <w:rPr>
                <w:color w:val="auto"/>
                <w:szCs w:val="21"/>
              </w:rPr>
              <w:t>8</w:t>
            </w:r>
            <w:r>
              <w:rPr>
                <w:rFonts w:hint="eastAsia"/>
                <w:color w:val="auto"/>
                <w:szCs w:val="21"/>
              </w:rPr>
              <w:t>台</w:t>
            </w:r>
          </w:p>
        </w:tc>
        <w:tc>
          <w:tcPr>
            <w:tcW w:w="1959" w:type="dxa"/>
            <w:vAlign w:val="center"/>
          </w:tcPr>
          <w:p>
            <w:pPr>
              <w:adjustRightInd w:val="0"/>
              <w:snapToGrid w:val="0"/>
              <w:spacing w:line="300" w:lineRule="auto"/>
              <w:jc w:val="center"/>
              <w:rPr>
                <w:color w:val="auto"/>
                <w:szCs w:val="21"/>
              </w:rPr>
            </w:pPr>
            <w:r>
              <w:rPr>
                <w:color w:val="auto"/>
                <w:szCs w:val="21"/>
              </w:rPr>
              <w:t>8</w:t>
            </w:r>
            <w:r>
              <w:rPr>
                <w:rFonts w:hint="eastAsia"/>
                <w:color w:val="auto"/>
                <w:szCs w:val="21"/>
              </w:rPr>
              <w:t>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color w:val="auto"/>
                <w:szCs w:val="21"/>
              </w:rPr>
              <w:t>摇床</w:t>
            </w:r>
          </w:p>
        </w:tc>
        <w:tc>
          <w:tcPr>
            <w:tcW w:w="1903" w:type="dxa"/>
            <w:vAlign w:val="center"/>
          </w:tcPr>
          <w:p>
            <w:pPr>
              <w:adjustRightInd w:val="0"/>
              <w:snapToGrid w:val="0"/>
              <w:spacing w:line="300" w:lineRule="auto"/>
              <w:jc w:val="center"/>
              <w:rPr>
                <w:color w:val="auto"/>
                <w:szCs w:val="21"/>
              </w:rPr>
            </w:pPr>
            <w:r>
              <w:rPr>
                <w:color w:val="auto"/>
                <w:szCs w:val="21"/>
              </w:rPr>
              <w:t>16</w:t>
            </w:r>
            <w:r>
              <w:rPr>
                <w:rFonts w:hint="eastAsia"/>
                <w:color w:val="auto"/>
                <w:szCs w:val="21"/>
              </w:rPr>
              <w:t>台</w:t>
            </w:r>
          </w:p>
        </w:tc>
        <w:tc>
          <w:tcPr>
            <w:tcW w:w="1959" w:type="dxa"/>
            <w:vAlign w:val="center"/>
          </w:tcPr>
          <w:p>
            <w:pPr>
              <w:adjustRightInd w:val="0"/>
              <w:snapToGrid w:val="0"/>
              <w:spacing w:line="300" w:lineRule="auto"/>
              <w:jc w:val="center"/>
              <w:rPr>
                <w:color w:val="auto"/>
                <w:szCs w:val="21"/>
              </w:rPr>
            </w:pPr>
            <w:r>
              <w:rPr>
                <w:color w:val="auto"/>
                <w:szCs w:val="21"/>
              </w:rPr>
              <w:t>16</w:t>
            </w:r>
            <w:r>
              <w:rPr>
                <w:rFonts w:hint="eastAsia"/>
                <w:color w:val="auto"/>
                <w:szCs w:val="21"/>
              </w:rPr>
              <w:t>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color w:val="auto"/>
                <w:szCs w:val="21"/>
              </w:rPr>
              <w:t>甩干机</w:t>
            </w:r>
            <w:r>
              <w:rPr>
                <w:rFonts w:hint="eastAsia"/>
                <w:color w:val="auto"/>
                <w:szCs w:val="21"/>
              </w:rPr>
              <w:t>（含烘干功能）</w:t>
            </w:r>
          </w:p>
        </w:tc>
        <w:tc>
          <w:tcPr>
            <w:tcW w:w="1903" w:type="dxa"/>
            <w:vAlign w:val="center"/>
          </w:tcPr>
          <w:p>
            <w:pPr>
              <w:adjustRightInd w:val="0"/>
              <w:snapToGrid w:val="0"/>
              <w:spacing w:line="300" w:lineRule="auto"/>
              <w:jc w:val="center"/>
              <w:rPr>
                <w:color w:val="auto"/>
                <w:szCs w:val="21"/>
              </w:rPr>
            </w:pPr>
            <w:r>
              <w:rPr>
                <w:color w:val="auto"/>
                <w:szCs w:val="21"/>
              </w:rPr>
              <w:t>2</w:t>
            </w:r>
            <w:r>
              <w:rPr>
                <w:rFonts w:hint="eastAsia"/>
                <w:color w:val="auto"/>
                <w:szCs w:val="21"/>
              </w:rPr>
              <w:t>台</w:t>
            </w:r>
          </w:p>
        </w:tc>
        <w:tc>
          <w:tcPr>
            <w:tcW w:w="1959" w:type="dxa"/>
            <w:vAlign w:val="center"/>
          </w:tcPr>
          <w:p>
            <w:pPr>
              <w:adjustRightInd w:val="0"/>
              <w:snapToGrid w:val="0"/>
              <w:spacing w:line="300" w:lineRule="auto"/>
              <w:jc w:val="center"/>
              <w:rPr>
                <w:color w:val="auto"/>
                <w:szCs w:val="21"/>
              </w:rPr>
            </w:pPr>
            <w:r>
              <w:rPr>
                <w:color w:val="auto"/>
                <w:szCs w:val="21"/>
              </w:rPr>
              <w:t>2</w:t>
            </w:r>
            <w:r>
              <w:rPr>
                <w:rFonts w:hint="eastAsia"/>
                <w:color w:val="auto"/>
                <w:szCs w:val="21"/>
              </w:rPr>
              <w:t>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color w:val="auto"/>
                <w:szCs w:val="21"/>
              </w:rPr>
              <w:t>铲车</w:t>
            </w:r>
          </w:p>
        </w:tc>
        <w:tc>
          <w:tcPr>
            <w:tcW w:w="1903" w:type="dxa"/>
            <w:vAlign w:val="center"/>
          </w:tcPr>
          <w:p>
            <w:pPr>
              <w:adjustRightInd w:val="0"/>
              <w:snapToGrid w:val="0"/>
              <w:spacing w:line="300" w:lineRule="auto"/>
              <w:jc w:val="center"/>
              <w:rPr>
                <w:color w:val="auto"/>
                <w:szCs w:val="21"/>
              </w:rPr>
            </w:pPr>
            <w:r>
              <w:rPr>
                <w:color w:val="auto"/>
                <w:szCs w:val="21"/>
              </w:rPr>
              <w:t>1</w:t>
            </w:r>
            <w:r>
              <w:rPr>
                <w:rFonts w:hint="eastAsia"/>
                <w:color w:val="auto"/>
                <w:szCs w:val="21"/>
              </w:rPr>
              <w:t>台</w:t>
            </w:r>
          </w:p>
        </w:tc>
        <w:tc>
          <w:tcPr>
            <w:tcW w:w="1959" w:type="dxa"/>
            <w:vAlign w:val="center"/>
          </w:tcPr>
          <w:p>
            <w:pPr>
              <w:adjustRightInd w:val="0"/>
              <w:snapToGrid w:val="0"/>
              <w:spacing w:line="300" w:lineRule="auto"/>
              <w:jc w:val="center"/>
              <w:rPr>
                <w:color w:val="auto"/>
                <w:szCs w:val="21"/>
              </w:rPr>
            </w:pPr>
            <w:r>
              <w:rPr>
                <w:color w:val="auto"/>
                <w:szCs w:val="21"/>
              </w:rPr>
              <w:t>1</w:t>
            </w:r>
            <w:r>
              <w:rPr>
                <w:rFonts w:hint="eastAsia"/>
                <w:color w:val="auto"/>
                <w:szCs w:val="21"/>
              </w:rPr>
              <w:t>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Align w:val="center"/>
          </w:tcPr>
          <w:p>
            <w:pPr>
              <w:adjustRightInd w:val="0"/>
              <w:snapToGrid w:val="0"/>
              <w:spacing w:line="300" w:lineRule="auto"/>
              <w:jc w:val="center"/>
              <w:rPr>
                <w:color w:val="auto"/>
                <w:szCs w:val="21"/>
              </w:rPr>
            </w:pPr>
            <w:r>
              <w:rPr>
                <w:rFonts w:hint="eastAsia"/>
                <w:color w:val="auto"/>
                <w:szCs w:val="21"/>
              </w:rPr>
              <w:t>废水处理设备</w:t>
            </w:r>
          </w:p>
        </w:tc>
        <w:tc>
          <w:tcPr>
            <w:tcW w:w="2250" w:type="dxa"/>
            <w:vAlign w:val="center"/>
          </w:tcPr>
          <w:p>
            <w:pPr>
              <w:adjustRightInd w:val="0"/>
              <w:snapToGrid w:val="0"/>
              <w:spacing w:line="300" w:lineRule="auto"/>
              <w:jc w:val="center"/>
              <w:rPr>
                <w:color w:val="auto"/>
                <w:szCs w:val="21"/>
              </w:rPr>
            </w:pPr>
            <w:r>
              <w:rPr>
                <w:rFonts w:hint="eastAsia"/>
                <w:color w:val="auto"/>
                <w:szCs w:val="21"/>
              </w:rPr>
              <w:t>埋地式微动力污水处理装置</w:t>
            </w:r>
          </w:p>
        </w:tc>
        <w:tc>
          <w:tcPr>
            <w:tcW w:w="1903" w:type="dxa"/>
            <w:vAlign w:val="center"/>
          </w:tcPr>
          <w:p>
            <w:pPr>
              <w:adjustRightInd w:val="0"/>
              <w:snapToGrid w:val="0"/>
              <w:spacing w:line="300" w:lineRule="auto"/>
              <w:jc w:val="center"/>
              <w:rPr>
                <w:color w:val="auto"/>
                <w:szCs w:val="21"/>
              </w:rPr>
            </w:pPr>
            <w:r>
              <w:rPr>
                <w:rFonts w:hint="eastAsia"/>
                <w:color w:val="auto"/>
                <w:szCs w:val="21"/>
              </w:rPr>
              <w:t>1台</w:t>
            </w:r>
          </w:p>
        </w:tc>
        <w:tc>
          <w:tcPr>
            <w:tcW w:w="1959" w:type="dxa"/>
            <w:vAlign w:val="center"/>
          </w:tcPr>
          <w:p>
            <w:pPr>
              <w:adjustRightInd w:val="0"/>
              <w:snapToGrid w:val="0"/>
              <w:spacing w:line="300" w:lineRule="auto"/>
              <w:jc w:val="center"/>
              <w:rPr>
                <w:color w:val="auto"/>
                <w:szCs w:val="21"/>
              </w:rPr>
            </w:pPr>
            <w:r>
              <w:rPr>
                <w:rFonts w:hint="eastAsia"/>
                <w:color w:val="auto"/>
                <w:szCs w:val="21"/>
              </w:rPr>
              <w:t>1台</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restart"/>
            <w:vAlign w:val="center"/>
          </w:tcPr>
          <w:p>
            <w:pPr>
              <w:adjustRightInd w:val="0"/>
              <w:snapToGrid w:val="0"/>
              <w:spacing w:line="300" w:lineRule="auto"/>
              <w:jc w:val="center"/>
              <w:rPr>
                <w:color w:val="auto"/>
                <w:szCs w:val="21"/>
              </w:rPr>
            </w:pPr>
            <w:r>
              <w:rPr>
                <w:color w:val="auto"/>
                <w:szCs w:val="21"/>
              </w:rPr>
              <w:t>固废治理</w:t>
            </w:r>
            <w:r>
              <w:rPr>
                <w:rFonts w:hint="eastAsia"/>
                <w:color w:val="auto"/>
                <w:szCs w:val="21"/>
              </w:rPr>
              <w:t>方式</w:t>
            </w:r>
          </w:p>
        </w:tc>
        <w:tc>
          <w:tcPr>
            <w:tcW w:w="2250" w:type="dxa"/>
            <w:vAlign w:val="center"/>
          </w:tcPr>
          <w:p>
            <w:pPr>
              <w:adjustRightInd w:val="0"/>
              <w:snapToGrid w:val="0"/>
              <w:spacing w:line="300" w:lineRule="auto"/>
              <w:jc w:val="center"/>
              <w:rPr>
                <w:color w:val="auto"/>
                <w:szCs w:val="21"/>
              </w:rPr>
            </w:pPr>
            <w:r>
              <w:rPr>
                <w:rFonts w:hint="eastAsia"/>
                <w:color w:val="auto"/>
                <w:szCs w:val="21"/>
              </w:rPr>
              <w:t>生活垃圾</w:t>
            </w:r>
          </w:p>
        </w:tc>
        <w:tc>
          <w:tcPr>
            <w:tcW w:w="1903" w:type="dxa"/>
            <w:vAlign w:val="center"/>
          </w:tcPr>
          <w:p>
            <w:pPr>
              <w:adjustRightInd w:val="0"/>
              <w:snapToGrid w:val="0"/>
              <w:spacing w:line="300" w:lineRule="auto"/>
              <w:jc w:val="center"/>
              <w:rPr>
                <w:color w:val="auto"/>
                <w:szCs w:val="21"/>
              </w:rPr>
            </w:pPr>
            <w:r>
              <w:rPr>
                <w:rFonts w:hint="eastAsia"/>
                <w:color w:val="auto"/>
                <w:szCs w:val="21"/>
              </w:rPr>
              <w:t>环卫部门清运</w:t>
            </w:r>
          </w:p>
        </w:tc>
        <w:tc>
          <w:tcPr>
            <w:tcW w:w="1959" w:type="dxa"/>
            <w:vAlign w:val="center"/>
          </w:tcPr>
          <w:p>
            <w:pPr>
              <w:adjustRightInd w:val="0"/>
              <w:snapToGrid w:val="0"/>
              <w:spacing w:line="300" w:lineRule="auto"/>
              <w:jc w:val="center"/>
              <w:rPr>
                <w:color w:val="auto"/>
                <w:szCs w:val="21"/>
              </w:rPr>
            </w:pPr>
            <w:r>
              <w:rPr>
                <w:rFonts w:hint="eastAsia"/>
                <w:color w:val="auto"/>
                <w:szCs w:val="21"/>
              </w:rPr>
              <w:t>环卫部门清运</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rFonts w:hint="eastAsia"/>
                <w:color w:val="auto"/>
                <w:szCs w:val="21"/>
              </w:rPr>
              <w:t>废树脂粉</w:t>
            </w:r>
          </w:p>
        </w:tc>
        <w:tc>
          <w:tcPr>
            <w:tcW w:w="1903" w:type="dxa"/>
            <w:vAlign w:val="center"/>
          </w:tcPr>
          <w:p>
            <w:pPr>
              <w:adjustRightInd w:val="0"/>
              <w:snapToGrid w:val="0"/>
              <w:spacing w:line="300" w:lineRule="auto"/>
              <w:jc w:val="center"/>
              <w:rPr>
                <w:color w:val="auto"/>
                <w:szCs w:val="21"/>
              </w:rPr>
            </w:pPr>
            <w:r>
              <w:rPr>
                <w:rFonts w:hint="eastAsia"/>
                <w:color w:val="auto"/>
                <w:szCs w:val="21"/>
              </w:rPr>
              <w:t>给专业厂家回收再利用</w:t>
            </w:r>
          </w:p>
        </w:tc>
        <w:tc>
          <w:tcPr>
            <w:tcW w:w="1959" w:type="dxa"/>
            <w:vAlign w:val="center"/>
          </w:tcPr>
          <w:p>
            <w:pPr>
              <w:adjustRightInd w:val="0"/>
              <w:snapToGrid w:val="0"/>
              <w:spacing w:line="300" w:lineRule="auto"/>
              <w:jc w:val="center"/>
              <w:rPr>
                <w:color w:val="auto"/>
                <w:szCs w:val="21"/>
              </w:rPr>
            </w:pPr>
            <w:r>
              <w:rPr>
                <w:rFonts w:hint="eastAsia"/>
                <w:color w:val="auto"/>
                <w:szCs w:val="21"/>
              </w:rPr>
              <w:t>交青山垃圾填埋场处理</w:t>
            </w:r>
          </w:p>
        </w:tc>
        <w:tc>
          <w:tcPr>
            <w:tcW w:w="1952" w:type="dxa"/>
            <w:vAlign w:val="center"/>
          </w:tcPr>
          <w:p>
            <w:pPr>
              <w:adjustRightInd w:val="0"/>
              <w:snapToGrid w:val="0"/>
              <w:spacing w:line="300" w:lineRule="auto"/>
              <w:jc w:val="center"/>
              <w:rPr>
                <w:color w:val="auto"/>
                <w:szCs w:val="21"/>
              </w:rPr>
            </w:pPr>
            <w:r>
              <w:rPr>
                <w:rFonts w:hint="eastAsia"/>
                <w:color w:val="auto"/>
                <w:szCs w:val="21"/>
              </w:rPr>
              <w:t>均属于委托有资质的回收单位处理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Align w:val="center"/>
          </w:tcPr>
          <w:p>
            <w:pPr>
              <w:adjustRightInd w:val="0"/>
              <w:snapToGrid w:val="0"/>
              <w:spacing w:line="300" w:lineRule="auto"/>
              <w:jc w:val="center"/>
              <w:rPr>
                <w:color w:val="auto"/>
                <w:szCs w:val="21"/>
              </w:rPr>
            </w:pPr>
            <w:r>
              <w:rPr>
                <w:rFonts w:hint="eastAsia"/>
                <w:color w:val="auto"/>
                <w:szCs w:val="21"/>
              </w:rPr>
              <w:t>原料</w:t>
            </w:r>
          </w:p>
        </w:tc>
        <w:tc>
          <w:tcPr>
            <w:tcW w:w="2250" w:type="dxa"/>
            <w:vAlign w:val="center"/>
          </w:tcPr>
          <w:p>
            <w:pPr>
              <w:adjustRightInd w:val="0"/>
              <w:snapToGrid w:val="0"/>
              <w:spacing w:line="300" w:lineRule="auto"/>
              <w:jc w:val="center"/>
              <w:rPr>
                <w:color w:val="auto"/>
                <w:szCs w:val="21"/>
              </w:rPr>
            </w:pPr>
            <w:r>
              <w:rPr>
                <w:rFonts w:hint="eastAsia"/>
                <w:color w:val="auto"/>
                <w:szCs w:val="21"/>
              </w:rPr>
              <w:t>废覆铜板</w:t>
            </w:r>
          </w:p>
        </w:tc>
        <w:tc>
          <w:tcPr>
            <w:tcW w:w="1903" w:type="dxa"/>
            <w:vAlign w:val="center"/>
          </w:tcPr>
          <w:p>
            <w:pPr>
              <w:adjustRightInd w:val="0"/>
              <w:snapToGrid w:val="0"/>
              <w:spacing w:line="300" w:lineRule="auto"/>
              <w:jc w:val="center"/>
              <w:rPr>
                <w:color w:val="auto"/>
                <w:szCs w:val="21"/>
              </w:rPr>
            </w:pPr>
            <w:r>
              <w:rPr>
                <w:rFonts w:hint="eastAsia"/>
                <w:color w:val="auto"/>
                <w:szCs w:val="21"/>
              </w:rPr>
              <w:t>3000t/a</w:t>
            </w:r>
          </w:p>
        </w:tc>
        <w:tc>
          <w:tcPr>
            <w:tcW w:w="1959" w:type="dxa"/>
            <w:vAlign w:val="center"/>
          </w:tcPr>
          <w:p>
            <w:pPr>
              <w:adjustRightInd w:val="0"/>
              <w:snapToGrid w:val="0"/>
              <w:spacing w:line="300" w:lineRule="auto"/>
              <w:jc w:val="center"/>
              <w:rPr>
                <w:color w:val="auto"/>
                <w:szCs w:val="21"/>
              </w:rPr>
            </w:pPr>
            <w:r>
              <w:rPr>
                <w:rFonts w:hint="eastAsia"/>
                <w:color w:val="auto"/>
                <w:szCs w:val="21"/>
              </w:rPr>
              <w:t>3000t/a</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Align w:val="center"/>
          </w:tcPr>
          <w:p>
            <w:pPr>
              <w:adjustRightInd w:val="0"/>
              <w:snapToGrid w:val="0"/>
              <w:spacing w:line="300" w:lineRule="auto"/>
              <w:jc w:val="center"/>
              <w:rPr>
                <w:color w:val="auto"/>
                <w:szCs w:val="21"/>
              </w:rPr>
            </w:pPr>
            <w:r>
              <w:rPr>
                <w:rFonts w:hint="eastAsia"/>
                <w:color w:val="auto"/>
                <w:szCs w:val="21"/>
              </w:rPr>
              <w:t>产品</w:t>
            </w:r>
          </w:p>
        </w:tc>
        <w:tc>
          <w:tcPr>
            <w:tcW w:w="2250" w:type="dxa"/>
            <w:vAlign w:val="center"/>
          </w:tcPr>
          <w:p>
            <w:pPr>
              <w:adjustRightInd w:val="0"/>
              <w:snapToGrid w:val="0"/>
              <w:spacing w:line="300" w:lineRule="auto"/>
              <w:jc w:val="center"/>
              <w:rPr>
                <w:color w:val="auto"/>
                <w:szCs w:val="21"/>
              </w:rPr>
            </w:pPr>
            <w:r>
              <w:rPr>
                <w:rFonts w:hint="eastAsia"/>
                <w:color w:val="auto"/>
                <w:szCs w:val="21"/>
              </w:rPr>
              <w:t>铜粉</w:t>
            </w:r>
          </w:p>
        </w:tc>
        <w:tc>
          <w:tcPr>
            <w:tcW w:w="1903" w:type="dxa"/>
            <w:vAlign w:val="center"/>
          </w:tcPr>
          <w:p>
            <w:pPr>
              <w:adjustRightInd w:val="0"/>
              <w:snapToGrid w:val="0"/>
              <w:spacing w:line="300" w:lineRule="auto"/>
              <w:jc w:val="center"/>
              <w:rPr>
                <w:color w:val="auto"/>
                <w:szCs w:val="21"/>
              </w:rPr>
            </w:pPr>
            <w:r>
              <w:rPr>
                <w:rFonts w:hint="eastAsia"/>
                <w:color w:val="auto"/>
                <w:szCs w:val="21"/>
              </w:rPr>
              <w:t>600t/a</w:t>
            </w:r>
          </w:p>
        </w:tc>
        <w:tc>
          <w:tcPr>
            <w:tcW w:w="1959" w:type="dxa"/>
            <w:vAlign w:val="center"/>
          </w:tcPr>
          <w:p>
            <w:pPr>
              <w:adjustRightInd w:val="0"/>
              <w:snapToGrid w:val="0"/>
              <w:spacing w:line="300" w:lineRule="auto"/>
              <w:jc w:val="center"/>
              <w:rPr>
                <w:color w:val="auto"/>
                <w:szCs w:val="21"/>
              </w:rPr>
            </w:pPr>
            <w:r>
              <w:rPr>
                <w:rFonts w:hint="eastAsia"/>
                <w:color w:val="auto"/>
                <w:szCs w:val="21"/>
              </w:rPr>
              <w:t>2357.4t/a</w:t>
            </w:r>
          </w:p>
        </w:tc>
        <w:tc>
          <w:tcPr>
            <w:tcW w:w="1952" w:type="dxa"/>
            <w:vAlign w:val="center"/>
          </w:tcPr>
          <w:p>
            <w:pPr>
              <w:adjustRightInd w:val="0"/>
              <w:snapToGrid w:val="0"/>
              <w:spacing w:line="300" w:lineRule="auto"/>
              <w:jc w:val="center"/>
              <w:rPr>
                <w:color w:val="auto"/>
                <w:szCs w:val="21"/>
              </w:rPr>
            </w:pPr>
            <w:r>
              <w:rPr>
                <w:rFonts w:hint="eastAsia"/>
                <w:color w:val="auto"/>
                <w:szCs w:val="21"/>
              </w:rPr>
              <w:t>增加1757.4t/a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restart"/>
            <w:vAlign w:val="center"/>
          </w:tcPr>
          <w:p>
            <w:pPr>
              <w:adjustRightInd w:val="0"/>
              <w:snapToGrid w:val="0"/>
              <w:spacing w:line="300" w:lineRule="auto"/>
              <w:jc w:val="center"/>
              <w:rPr>
                <w:color w:val="auto"/>
                <w:szCs w:val="21"/>
              </w:rPr>
            </w:pPr>
            <w:r>
              <w:rPr>
                <w:rFonts w:hint="eastAsia"/>
                <w:color w:val="auto"/>
                <w:szCs w:val="21"/>
              </w:rPr>
              <w:t>固废</w:t>
            </w:r>
          </w:p>
        </w:tc>
        <w:tc>
          <w:tcPr>
            <w:tcW w:w="2250" w:type="dxa"/>
            <w:vAlign w:val="center"/>
          </w:tcPr>
          <w:p>
            <w:pPr>
              <w:adjustRightInd w:val="0"/>
              <w:snapToGrid w:val="0"/>
              <w:spacing w:line="300" w:lineRule="auto"/>
              <w:jc w:val="center"/>
              <w:rPr>
                <w:color w:val="auto"/>
                <w:szCs w:val="21"/>
              </w:rPr>
            </w:pPr>
            <w:r>
              <w:rPr>
                <w:rFonts w:hint="eastAsia"/>
                <w:color w:val="auto"/>
                <w:szCs w:val="21"/>
              </w:rPr>
              <w:t>废树脂粉</w:t>
            </w:r>
          </w:p>
        </w:tc>
        <w:tc>
          <w:tcPr>
            <w:tcW w:w="1903" w:type="dxa"/>
            <w:vAlign w:val="center"/>
          </w:tcPr>
          <w:p>
            <w:pPr>
              <w:adjustRightInd w:val="0"/>
              <w:snapToGrid w:val="0"/>
              <w:spacing w:line="300" w:lineRule="auto"/>
              <w:jc w:val="center"/>
              <w:rPr>
                <w:color w:val="auto"/>
                <w:szCs w:val="21"/>
              </w:rPr>
            </w:pPr>
            <w:r>
              <w:rPr>
                <w:rFonts w:hint="eastAsia"/>
                <w:color w:val="auto"/>
                <w:szCs w:val="21"/>
              </w:rPr>
              <w:t>2400t/a</w:t>
            </w:r>
          </w:p>
        </w:tc>
        <w:tc>
          <w:tcPr>
            <w:tcW w:w="1959" w:type="dxa"/>
            <w:vAlign w:val="center"/>
          </w:tcPr>
          <w:p>
            <w:pPr>
              <w:adjustRightInd w:val="0"/>
              <w:snapToGrid w:val="0"/>
              <w:spacing w:line="300" w:lineRule="auto"/>
              <w:jc w:val="center"/>
              <w:rPr>
                <w:color w:val="auto"/>
                <w:szCs w:val="21"/>
              </w:rPr>
            </w:pPr>
            <w:r>
              <w:rPr>
                <w:rFonts w:hint="eastAsia"/>
                <w:color w:val="auto"/>
                <w:szCs w:val="21"/>
              </w:rPr>
              <w:t>642.6t/a</w:t>
            </w:r>
          </w:p>
        </w:tc>
        <w:tc>
          <w:tcPr>
            <w:tcW w:w="1952" w:type="dxa"/>
            <w:vAlign w:val="center"/>
          </w:tcPr>
          <w:p>
            <w:pPr>
              <w:adjustRightInd w:val="0"/>
              <w:snapToGrid w:val="0"/>
              <w:spacing w:line="300" w:lineRule="auto"/>
              <w:jc w:val="center"/>
              <w:rPr>
                <w:color w:val="auto"/>
                <w:szCs w:val="21"/>
              </w:rPr>
            </w:pPr>
            <w:r>
              <w:rPr>
                <w:rFonts w:hint="eastAsia"/>
                <w:color w:val="auto"/>
                <w:szCs w:val="21"/>
              </w:rPr>
              <w:t>减少1757.4t/a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53" w:type="dxa"/>
            <w:vMerge w:val="continue"/>
            <w:vAlign w:val="center"/>
          </w:tcPr>
          <w:p>
            <w:pPr>
              <w:adjustRightInd w:val="0"/>
              <w:snapToGrid w:val="0"/>
              <w:spacing w:line="300" w:lineRule="auto"/>
              <w:jc w:val="center"/>
              <w:rPr>
                <w:color w:val="auto"/>
                <w:szCs w:val="21"/>
              </w:rPr>
            </w:pPr>
          </w:p>
        </w:tc>
        <w:tc>
          <w:tcPr>
            <w:tcW w:w="2250" w:type="dxa"/>
            <w:vAlign w:val="center"/>
          </w:tcPr>
          <w:p>
            <w:pPr>
              <w:adjustRightInd w:val="0"/>
              <w:snapToGrid w:val="0"/>
              <w:spacing w:line="300" w:lineRule="auto"/>
              <w:jc w:val="center"/>
              <w:rPr>
                <w:color w:val="auto"/>
                <w:szCs w:val="21"/>
              </w:rPr>
            </w:pPr>
            <w:r>
              <w:rPr>
                <w:rFonts w:hint="eastAsia"/>
                <w:color w:val="auto"/>
                <w:szCs w:val="21"/>
              </w:rPr>
              <w:t>生活垃圾</w:t>
            </w:r>
          </w:p>
        </w:tc>
        <w:tc>
          <w:tcPr>
            <w:tcW w:w="1903" w:type="dxa"/>
            <w:vAlign w:val="center"/>
          </w:tcPr>
          <w:p>
            <w:pPr>
              <w:adjustRightInd w:val="0"/>
              <w:snapToGrid w:val="0"/>
              <w:spacing w:line="300" w:lineRule="auto"/>
              <w:jc w:val="center"/>
              <w:rPr>
                <w:color w:val="auto"/>
                <w:szCs w:val="21"/>
              </w:rPr>
            </w:pPr>
            <w:r>
              <w:rPr>
                <w:rFonts w:hint="eastAsia"/>
                <w:color w:val="auto"/>
                <w:szCs w:val="21"/>
              </w:rPr>
              <w:t>11.25t/a</w:t>
            </w:r>
          </w:p>
        </w:tc>
        <w:tc>
          <w:tcPr>
            <w:tcW w:w="1959" w:type="dxa"/>
            <w:vAlign w:val="center"/>
          </w:tcPr>
          <w:p>
            <w:pPr>
              <w:adjustRightInd w:val="0"/>
              <w:snapToGrid w:val="0"/>
              <w:spacing w:line="300" w:lineRule="auto"/>
              <w:jc w:val="center"/>
              <w:rPr>
                <w:color w:val="auto"/>
                <w:szCs w:val="21"/>
              </w:rPr>
            </w:pPr>
            <w:r>
              <w:rPr>
                <w:rFonts w:hint="eastAsia"/>
                <w:color w:val="auto"/>
                <w:szCs w:val="21"/>
              </w:rPr>
              <w:t>11.25t/a</w:t>
            </w:r>
          </w:p>
        </w:tc>
        <w:tc>
          <w:tcPr>
            <w:tcW w:w="1952" w:type="dxa"/>
            <w:vAlign w:val="center"/>
          </w:tcPr>
          <w:p>
            <w:pPr>
              <w:adjustRightInd w:val="0"/>
              <w:snapToGrid w:val="0"/>
              <w:spacing w:line="300" w:lineRule="auto"/>
              <w:jc w:val="center"/>
              <w:rPr>
                <w:color w:val="auto"/>
                <w:szCs w:val="21"/>
              </w:rPr>
            </w:pPr>
            <w:r>
              <w:rPr>
                <w:rFonts w:hint="eastAsia"/>
                <w:color w:val="auto"/>
                <w:szCs w:val="21"/>
              </w:rPr>
              <w:t>不变</w:t>
            </w:r>
          </w:p>
        </w:tc>
      </w:tr>
    </w:tbl>
    <w:p>
      <w:pPr>
        <w:numPr>
          <w:ilvl w:val="2"/>
          <w:numId w:val="0"/>
        </w:numPr>
        <w:spacing w:before="159" w:after="159" w:line="360" w:lineRule="auto"/>
        <w:ind w:firstLine="480" w:firstLineChars="200"/>
        <w:outlineLvl w:val="9"/>
        <w:rPr>
          <w:b w:val="0"/>
          <w:color w:val="auto"/>
          <w:sz w:val="24"/>
        </w:rPr>
      </w:pPr>
      <w:r>
        <w:rPr>
          <w:rFonts w:hint="eastAsia"/>
          <w:b w:val="0"/>
          <w:color w:val="auto"/>
          <w:sz w:val="24"/>
        </w:rPr>
        <w:t>由上表可知，现有项目实际现状与原环评的变化主要有两方面：</w:t>
      </w:r>
    </w:p>
    <w:p>
      <w:pPr>
        <w:numPr>
          <w:ilvl w:val="2"/>
          <w:numId w:val="0"/>
        </w:numPr>
        <w:spacing w:before="159" w:after="159" w:line="360" w:lineRule="auto"/>
        <w:ind w:firstLine="480" w:firstLineChars="200"/>
        <w:outlineLvl w:val="9"/>
        <w:rPr>
          <w:b w:val="0"/>
          <w:color w:val="auto"/>
          <w:sz w:val="24"/>
        </w:rPr>
      </w:pPr>
      <w:r>
        <w:rPr>
          <w:rFonts w:hint="eastAsia"/>
          <w:b w:val="0"/>
          <w:color w:val="auto"/>
          <w:sz w:val="24"/>
        </w:rPr>
        <w:t>（1）建筑面积合计增加</w:t>
      </w:r>
      <w:r>
        <w:rPr>
          <w:rFonts w:hint="eastAsia"/>
          <w:b w:val="0"/>
          <w:color w:val="auto"/>
          <w:sz w:val="24"/>
          <w:lang w:val="en-US" w:eastAsia="zh-CN"/>
        </w:rPr>
        <w:t>700</w:t>
      </w:r>
      <w:r>
        <w:rPr>
          <w:rFonts w:hint="eastAsia"/>
          <w:b w:val="0"/>
          <w:color w:val="auto"/>
          <w:sz w:val="24"/>
        </w:rPr>
        <w:t>平方米，空地面积减少</w:t>
      </w:r>
      <w:r>
        <w:rPr>
          <w:rFonts w:hint="eastAsia"/>
          <w:b w:val="0"/>
          <w:color w:val="auto"/>
          <w:sz w:val="24"/>
          <w:lang w:val="en-US" w:eastAsia="zh-CN"/>
        </w:rPr>
        <w:t>7</w:t>
      </w:r>
      <w:r>
        <w:rPr>
          <w:rFonts w:hint="eastAsia"/>
          <w:b w:val="0"/>
          <w:color w:val="auto"/>
          <w:sz w:val="24"/>
        </w:rPr>
        <w:t>00平方米。据建设单位介绍，项目为了避免废覆铜板和废树脂粉露天堆放，故对废树脂粉暂存区和原料堆放区加盖了雨棚。除建筑面积变化外不作其它变动。</w:t>
      </w:r>
    </w:p>
    <w:p>
      <w:pPr>
        <w:numPr>
          <w:ilvl w:val="2"/>
          <w:numId w:val="0"/>
        </w:numPr>
        <w:spacing w:before="159" w:after="159" w:line="360" w:lineRule="auto"/>
        <w:ind w:firstLine="480" w:firstLineChars="200"/>
        <w:outlineLvl w:val="9"/>
        <w:rPr>
          <w:b w:val="0"/>
          <w:color w:val="auto"/>
          <w:sz w:val="24"/>
        </w:rPr>
      </w:pPr>
      <w:r>
        <w:rPr>
          <w:rFonts w:hint="eastAsia"/>
          <w:b w:val="0"/>
          <w:color w:val="auto"/>
          <w:sz w:val="24"/>
        </w:rPr>
        <w:t>（2）产品——铜粉增加1757.4t/a；固废——废树脂粉减少1757.4t/a。这是由于回收的覆铜板的含铜量提高所致，但对外回收的覆铜板总量不变。这既有利于企业经营获利，又有利于减少废树脂粉的产生，对环境和经济友好。</w:t>
      </w:r>
    </w:p>
    <w:p>
      <w:pPr>
        <w:numPr>
          <w:ilvl w:val="2"/>
          <w:numId w:val="0"/>
        </w:numPr>
        <w:spacing w:before="159" w:after="159" w:line="360" w:lineRule="auto"/>
        <w:outlineLvl w:val="9"/>
        <w:rPr>
          <w:b w:val="0"/>
          <w:color w:val="auto"/>
          <w:sz w:val="24"/>
        </w:rPr>
      </w:pPr>
      <w:r>
        <w:rPr>
          <w:rFonts w:hint="eastAsia"/>
          <w:b w:val="0"/>
          <w:color w:val="auto"/>
          <w:sz w:val="24"/>
        </w:rPr>
        <w:t xml:space="preserve">    现有项目的设备种类和数量、产能（覆铜板回收量）均没有发生变化，产生废树脂粉的量比环评预估值小，故现有项目目前的情况不属于重大变动。</w:t>
      </w:r>
    </w:p>
    <w:p>
      <w:pPr>
        <w:pStyle w:val="7"/>
        <w:numPr>
          <w:ilvl w:val="2"/>
          <w:numId w:val="0"/>
        </w:numPr>
        <w:tabs>
          <w:tab w:val="clear" w:pos="720"/>
        </w:tabs>
        <w:spacing w:before="159" w:after="159"/>
        <w:rPr>
          <w:color w:val="auto"/>
        </w:rPr>
      </w:pPr>
      <w:r>
        <w:rPr>
          <w:rFonts w:hint="eastAsia"/>
          <w:color w:val="auto"/>
        </w:rPr>
        <w:t>3.1.3  现有项目</w:t>
      </w:r>
      <w:r>
        <w:rPr>
          <w:color w:val="auto"/>
        </w:rPr>
        <w:t>工程概况</w:t>
      </w:r>
      <w:bookmarkEnd w:id="287"/>
    </w:p>
    <w:p>
      <w:pPr>
        <w:pStyle w:val="6"/>
        <w:rPr>
          <w:color w:val="auto"/>
          <w:sz w:val="24"/>
          <w:szCs w:val="24"/>
        </w:rPr>
      </w:pPr>
      <w:r>
        <w:rPr>
          <w:color w:val="auto"/>
          <w:sz w:val="24"/>
          <w:szCs w:val="24"/>
        </w:rPr>
        <w:t>（1）</w:t>
      </w:r>
      <w:r>
        <w:rPr>
          <w:rFonts w:hint="eastAsia"/>
          <w:color w:val="auto"/>
          <w:sz w:val="24"/>
          <w:szCs w:val="24"/>
        </w:rPr>
        <w:t>现有项目</w:t>
      </w:r>
      <w:r>
        <w:rPr>
          <w:color w:val="auto"/>
          <w:sz w:val="24"/>
          <w:szCs w:val="24"/>
        </w:rPr>
        <w:t>生产工艺</w:t>
      </w:r>
    </w:p>
    <w:p>
      <w:pPr>
        <w:spacing w:line="360" w:lineRule="auto"/>
        <w:ind w:leftChars="-295" w:hanging="619" w:hangingChars="258"/>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5544820" cy="1866265"/>
            <wp:effectExtent l="0" t="0" r="2540" b="8255"/>
            <wp:docPr id="19" name="图片 1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2"/>
                    <pic:cNvPicPr>
                      <a:picLocks noChangeAspect="1"/>
                    </pic:cNvPicPr>
                  </pic:nvPicPr>
                  <pic:blipFill>
                    <a:blip r:embed="rId41"/>
                    <a:stretch>
                      <a:fillRect/>
                    </a:stretch>
                  </pic:blipFill>
                  <pic:spPr>
                    <a:xfrm>
                      <a:off x="0" y="0"/>
                      <a:ext cx="5544820" cy="1866265"/>
                    </a:xfrm>
                    <a:prstGeom prst="rect">
                      <a:avLst/>
                    </a:prstGeom>
                  </pic:spPr>
                </pic:pic>
              </a:graphicData>
            </a:graphic>
          </wp:inline>
        </w:drawing>
      </w:r>
    </w:p>
    <w:p>
      <w:pPr>
        <w:spacing w:line="360" w:lineRule="auto"/>
        <w:ind w:firstLine="482" w:firstLineChars="200"/>
        <w:jc w:val="center"/>
        <w:rPr>
          <w:b/>
          <w:bCs/>
          <w:color w:val="auto"/>
          <w:sz w:val="24"/>
        </w:rPr>
      </w:pPr>
      <w:r>
        <w:rPr>
          <w:b/>
          <w:bCs/>
          <w:color w:val="auto"/>
          <w:sz w:val="24"/>
        </w:rPr>
        <w:t>图3.1-</w:t>
      </w:r>
      <w:r>
        <w:rPr>
          <w:rFonts w:hint="eastAsia"/>
          <w:b/>
          <w:bCs/>
          <w:color w:val="auto"/>
          <w:sz w:val="24"/>
        </w:rPr>
        <w:t>3</w:t>
      </w:r>
      <w:r>
        <w:rPr>
          <w:b/>
          <w:bCs/>
          <w:color w:val="auto"/>
          <w:sz w:val="24"/>
        </w:rPr>
        <w:t xml:space="preserve"> </w:t>
      </w:r>
      <w:r>
        <w:rPr>
          <w:rFonts w:hint="eastAsia"/>
          <w:b/>
          <w:bCs/>
          <w:color w:val="auto"/>
          <w:sz w:val="24"/>
        </w:rPr>
        <w:t xml:space="preserve"> 现有项目</w:t>
      </w:r>
      <w:r>
        <w:rPr>
          <w:b/>
          <w:bCs/>
          <w:color w:val="auto"/>
          <w:sz w:val="24"/>
        </w:rPr>
        <w:t>生产流程</w:t>
      </w:r>
      <w:r>
        <w:rPr>
          <w:rFonts w:hint="eastAsia"/>
          <w:b/>
          <w:bCs/>
          <w:color w:val="auto"/>
          <w:sz w:val="24"/>
        </w:rPr>
        <w:t>图</w:t>
      </w:r>
    </w:p>
    <w:p>
      <w:pPr>
        <w:spacing w:line="360" w:lineRule="auto"/>
        <w:ind w:firstLine="480" w:firstLineChars="200"/>
        <w:rPr>
          <w:color w:val="auto"/>
          <w:sz w:val="24"/>
        </w:rPr>
      </w:pPr>
      <w:r>
        <w:rPr>
          <w:rFonts w:hint="eastAsia"/>
          <w:color w:val="auto"/>
          <w:sz w:val="24"/>
        </w:rPr>
        <w:t>现有项目</w:t>
      </w:r>
      <w:r>
        <w:rPr>
          <w:color w:val="auto"/>
          <w:sz w:val="24"/>
        </w:rPr>
        <w:t>设置一条废覆铜板边角料加工生产线，项目使用废覆铜板边角料均为外购，全厂废覆铜板边角料使用量3000吨。</w:t>
      </w:r>
    </w:p>
    <w:p>
      <w:pPr>
        <w:pStyle w:val="30"/>
        <w:ind w:firstLine="480"/>
        <w:rPr>
          <w:color w:val="auto"/>
          <w:sz w:val="24"/>
        </w:rPr>
      </w:pPr>
      <w:r>
        <w:rPr>
          <w:color w:val="auto"/>
          <w:sz w:val="24"/>
        </w:rPr>
        <w:t>①</w:t>
      </w:r>
      <w:r>
        <w:rPr>
          <w:rFonts w:hint="eastAsia"/>
          <w:color w:val="auto"/>
          <w:sz w:val="24"/>
        </w:rPr>
        <w:t>破碎、粉碎：使用破碎机和粉碎机对覆铜板先后进行粉碎处理。粉碎后形成直径约0.8mm的碎末，其中主要含铜粉和废树脂粉。</w:t>
      </w:r>
    </w:p>
    <w:p>
      <w:pPr>
        <w:pStyle w:val="30"/>
        <w:ind w:firstLine="480"/>
        <w:rPr>
          <w:color w:val="auto"/>
          <w:sz w:val="24"/>
        </w:rPr>
      </w:pPr>
      <w:r>
        <w:rPr>
          <w:color w:val="auto"/>
          <w:sz w:val="24"/>
        </w:rPr>
        <w:t>②摇床分选：主要利用铜与</w:t>
      </w:r>
      <w:r>
        <w:rPr>
          <w:rFonts w:hint="eastAsia"/>
          <w:color w:val="auto"/>
          <w:sz w:val="24"/>
        </w:rPr>
        <w:t>废树脂粉</w:t>
      </w:r>
      <w:r>
        <w:rPr>
          <w:color w:val="auto"/>
          <w:sz w:val="24"/>
        </w:rPr>
        <w:t>的比重不同，以水为介质，通过摇床</w:t>
      </w:r>
      <w:r>
        <w:rPr>
          <w:rFonts w:hint="eastAsia"/>
          <w:color w:val="auto"/>
          <w:sz w:val="24"/>
        </w:rPr>
        <w:t>震荡</w:t>
      </w:r>
      <w:r>
        <w:rPr>
          <w:color w:val="auto"/>
          <w:sz w:val="24"/>
        </w:rPr>
        <w:t>其分离</w:t>
      </w:r>
      <w:r>
        <w:rPr>
          <w:rFonts w:hint="eastAsia"/>
          <w:color w:val="auto"/>
          <w:sz w:val="24"/>
        </w:rPr>
        <w:t>。</w:t>
      </w:r>
    </w:p>
    <w:p>
      <w:pPr>
        <w:pStyle w:val="30"/>
        <w:ind w:firstLine="480"/>
        <w:rPr>
          <w:color w:val="auto"/>
          <w:sz w:val="24"/>
        </w:rPr>
      </w:pPr>
      <w:r>
        <w:rPr>
          <w:rFonts w:hint="eastAsia"/>
          <w:color w:val="auto"/>
          <w:sz w:val="24"/>
        </w:rPr>
        <w:t>③甩干：将废树脂粉放入</w:t>
      </w:r>
      <w:r>
        <w:rPr>
          <w:color w:val="auto"/>
          <w:sz w:val="24"/>
        </w:rPr>
        <w:t>甩干机</w:t>
      </w:r>
      <w:r>
        <w:rPr>
          <w:rFonts w:hint="eastAsia"/>
          <w:color w:val="auto"/>
          <w:sz w:val="24"/>
        </w:rPr>
        <w:t>中。先利用离心力</w:t>
      </w:r>
      <w:r>
        <w:rPr>
          <w:color w:val="auto"/>
          <w:sz w:val="24"/>
        </w:rPr>
        <w:t>脱水</w:t>
      </w:r>
      <w:r>
        <w:rPr>
          <w:rFonts w:hint="eastAsia"/>
          <w:color w:val="auto"/>
          <w:sz w:val="24"/>
        </w:rPr>
        <w:t>，随后加热烘干。</w:t>
      </w:r>
      <w:r>
        <w:rPr>
          <w:color w:val="auto"/>
          <w:sz w:val="24"/>
        </w:rPr>
        <w:t>废水进入循环水</w:t>
      </w:r>
      <w:r>
        <w:rPr>
          <w:rFonts w:hint="eastAsia"/>
          <w:color w:val="auto"/>
          <w:sz w:val="24"/>
        </w:rPr>
        <w:t>池</w:t>
      </w:r>
      <w:r>
        <w:rPr>
          <w:color w:val="auto"/>
          <w:sz w:val="24"/>
        </w:rPr>
        <w:t>，</w:t>
      </w:r>
      <w:r>
        <w:rPr>
          <w:rFonts w:hint="eastAsia"/>
          <w:color w:val="auto"/>
          <w:sz w:val="24"/>
        </w:rPr>
        <w:t>经</w:t>
      </w:r>
      <w:r>
        <w:rPr>
          <w:color w:val="auto"/>
          <w:sz w:val="24"/>
        </w:rPr>
        <w:t>沉淀</w:t>
      </w:r>
      <w:r>
        <w:rPr>
          <w:rFonts w:hint="eastAsia"/>
          <w:color w:val="auto"/>
          <w:sz w:val="24"/>
        </w:rPr>
        <w:t>后回用于生产</w:t>
      </w:r>
      <w:r>
        <w:rPr>
          <w:color w:val="auto"/>
          <w:sz w:val="24"/>
        </w:rPr>
        <w:t>。</w:t>
      </w:r>
    </w:p>
    <w:p>
      <w:pPr>
        <w:pStyle w:val="6"/>
        <w:spacing w:line="360" w:lineRule="auto"/>
        <w:rPr>
          <w:color w:val="auto"/>
          <w:kern w:val="2"/>
          <w:sz w:val="24"/>
          <w:szCs w:val="24"/>
        </w:rPr>
      </w:pPr>
      <w:r>
        <w:rPr>
          <w:rFonts w:hint="eastAsia"/>
          <w:color w:val="auto"/>
          <w:kern w:val="2"/>
          <w:sz w:val="24"/>
          <w:szCs w:val="24"/>
        </w:rPr>
        <w:t>（2）产污环节</w:t>
      </w:r>
      <w:r>
        <w:rPr>
          <w:color w:val="auto"/>
          <w:kern w:val="2"/>
          <w:sz w:val="24"/>
          <w:szCs w:val="24"/>
        </w:rPr>
        <w:t>及环保措施分析</w:t>
      </w:r>
    </w:p>
    <w:p>
      <w:pPr>
        <w:spacing w:line="360" w:lineRule="auto"/>
        <w:ind w:firstLine="480" w:firstLineChars="200"/>
        <w:jc w:val="left"/>
        <w:rPr>
          <w:color w:val="auto"/>
          <w:sz w:val="24"/>
        </w:rPr>
      </w:pPr>
      <w:r>
        <w:rPr>
          <w:rFonts w:hint="eastAsia"/>
          <w:color w:val="auto"/>
          <w:sz w:val="24"/>
        </w:rPr>
        <w:t>由现有项目的生产工艺流程图可知，现有项目产生的污染因素主要有废水、废气、固体废物，以及生产过程产生的噪声等，详见下表。</w:t>
      </w:r>
    </w:p>
    <w:p>
      <w:pPr>
        <w:spacing w:line="360" w:lineRule="auto"/>
        <w:ind w:firstLine="422" w:firstLineChars="200"/>
        <w:jc w:val="center"/>
        <w:rPr>
          <w:b/>
          <w:bCs/>
          <w:color w:val="auto"/>
          <w:szCs w:val="21"/>
        </w:rPr>
      </w:pPr>
      <w:r>
        <w:rPr>
          <w:rFonts w:hint="eastAsia"/>
          <w:b/>
          <w:bCs/>
          <w:color w:val="auto"/>
          <w:szCs w:val="21"/>
        </w:rPr>
        <w:t>表3.1-6  现有项目产污环节</w:t>
      </w:r>
    </w:p>
    <w:tbl>
      <w:tblPr>
        <w:tblStyle w:val="24"/>
        <w:tblW w:w="89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470"/>
        <w:gridCol w:w="2000"/>
        <w:gridCol w:w="4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Align w:val="center"/>
          </w:tcPr>
          <w:p>
            <w:pPr>
              <w:spacing w:line="25" w:lineRule="atLeast"/>
              <w:jc w:val="center"/>
              <w:rPr>
                <w:color w:val="auto"/>
                <w:szCs w:val="21"/>
              </w:rPr>
            </w:pPr>
            <w:r>
              <w:rPr>
                <w:rFonts w:hint="eastAsia"/>
                <w:color w:val="auto"/>
                <w:szCs w:val="21"/>
              </w:rPr>
              <w:t>类别</w:t>
            </w:r>
          </w:p>
        </w:tc>
        <w:tc>
          <w:tcPr>
            <w:tcW w:w="1470" w:type="dxa"/>
            <w:vAlign w:val="center"/>
          </w:tcPr>
          <w:p>
            <w:pPr>
              <w:spacing w:line="25" w:lineRule="atLeast"/>
              <w:jc w:val="center"/>
              <w:rPr>
                <w:color w:val="auto"/>
                <w:szCs w:val="21"/>
              </w:rPr>
            </w:pPr>
            <w:r>
              <w:rPr>
                <w:rFonts w:hint="eastAsia"/>
                <w:color w:val="auto"/>
                <w:szCs w:val="21"/>
              </w:rPr>
              <w:t>产污环节</w:t>
            </w:r>
          </w:p>
        </w:tc>
        <w:tc>
          <w:tcPr>
            <w:tcW w:w="2000" w:type="dxa"/>
            <w:vAlign w:val="center"/>
          </w:tcPr>
          <w:p>
            <w:pPr>
              <w:spacing w:line="25" w:lineRule="atLeast"/>
              <w:jc w:val="center"/>
              <w:rPr>
                <w:color w:val="auto"/>
                <w:szCs w:val="21"/>
              </w:rPr>
            </w:pPr>
            <w:r>
              <w:rPr>
                <w:rFonts w:hint="eastAsia"/>
                <w:color w:val="auto"/>
                <w:szCs w:val="21"/>
              </w:rPr>
              <w:t>主要污染物</w:t>
            </w:r>
          </w:p>
        </w:tc>
        <w:tc>
          <w:tcPr>
            <w:tcW w:w="4427" w:type="dxa"/>
            <w:vAlign w:val="center"/>
          </w:tcPr>
          <w:p>
            <w:pPr>
              <w:spacing w:line="25" w:lineRule="atLeast"/>
              <w:jc w:val="center"/>
              <w:rPr>
                <w:color w:val="auto"/>
                <w:szCs w:val="21"/>
              </w:rPr>
            </w:pPr>
            <w:r>
              <w:rPr>
                <w:rFonts w:hint="eastAsia" w:ascii="宋体" w:hAnsi="宋体"/>
                <w:color w:val="auto"/>
                <w:szCs w:val="21"/>
              </w:rPr>
              <w:t>治理措施及去向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restart"/>
            <w:vAlign w:val="center"/>
          </w:tcPr>
          <w:p>
            <w:pPr>
              <w:spacing w:line="25" w:lineRule="atLeast"/>
              <w:jc w:val="center"/>
              <w:rPr>
                <w:color w:val="auto"/>
                <w:szCs w:val="21"/>
              </w:rPr>
            </w:pPr>
            <w:r>
              <w:rPr>
                <w:rFonts w:hint="eastAsia"/>
                <w:color w:val="auto"/>
                <w:szCs w:val="21"/>
              </w:rPr>
              <w:t>废水</w:t>
            </w:r>
          </w:p>
        </w:tc>
        <w:tc>
          <w:tcPr>
            <w:tcW w:w="1470" w:type="dxa"/>
            <w:vAlign w:val="center"/>
          </w:tcPr>
          <w:p>
            <w:pPr>
              <w:spacing w:line="25" w:lineRule="atLeast"/>
              <w:jc w:val="center"/>
              <w:rPr>
                <w:color w:val="auto"/>
                <w:szCs w:val="21"/>
              </w:rPr>
            </w:pPr>
            <w:r>
              <w:rPr>
                <w:rFonts w:hint="eastAsia"/>
                <w:color w:val="auto"/>
                <w:szCs w:val="21"/>
              </w:rPr>
              <w:t>生活污水</w:t>
            </w:r>
          </w:p>
        </w:tc>
        <w:tc>
          <w:tcPr>
            <w:tcW w:w="2000" w:type="dxa"/>
            <w:vAlign w:val="center"/>
          </w:tcPr>
          <w:p>
            <w:pPr>
              <w:spacing w:line="25" w:lineRule="atLeast"/>
              <w:jc w:val="center"/>
              <w:rPr>
                <w:color w:val="auto"/>
                <w:szCs w:val="21"/>
              </w:rPr>
            </w:pPr>
            <w:r>
              <w:rPr>
                <w:color w:val="auto"/>
                <w:szCs w:val="21"/>
              </w:rPr>
              <w:t>COD</w:t>
            </w:r>
            <w:r>
              <w:rPr>
                <w:color w:val="auto"/>
                <w:szCs w:val="21"/>
                <w:vertAlign w:val="subscript"/>
              </w:rPr>
              <w:t>Cr</w:t>
            </w:r>
            <w:r>
              <w:rPr>
                <w:rFonts w:hint="eastAsia"/>
                <w:color w:val="auto"/>
                <w:szCs w:val="21"/>
              </w:rPr>
              <w:t>、</w:t>
            </w:r>
            <w:r>
              <w:rPr>
                <w:color w:val="auto"/>
                <w:szCs w:val="21"/>
              </w:rPr>
              <w:t>BOD</w:t>
            </w:r>
            <w:r>
              <w:rPr>
                <w:color w:val="auto"/>
                <w:szCs w:val="21"/>
                <w:vertAlign w:val="subscript"/>
              </w:rPr>
              <w:t>5</w:t>
            </w:r>
            <w:r>
              <w:rPr>
                <w:rFonts w:hint="eastAsia"/>
                <w:color w:val="auto"/>
                <w:szCs w:val="21"/>
              </w:rPr>
              <w:t>、</w:t>
            </w:r>
            <w:r>
              <w:rPr>
                <w:color w:val="auto"/>
                <w:szCs w:val="21"/>
              </w:rPr>
              <w:t>SS</w:t>
            </w:r>
            <w:r>
              <w:rPr>
                <w:rFonts w:hint="eastAsia"/>
                <w:color w:val="auto"/>
                <w:szCs w:val="21"/>
              </w:rPr>
              <w:t>、</w:t>
            </w:r>
            <w:r>
              <w:rPr>
                <w:color w:val="auto"/>
                <w:szCs w:val="21"/>
              </w:rPr>
              <w:t>氨氮</w:t>
            </w:r>
            <w:r>
              <w:rPr>
                <w:rFonts w:hint="eastAsia"/>
                <w:color w:val="auto"/>
                <w:szCs w:val="21"/>
              </w:rPr>
              <w:t>、</w:t>
            </w:r>
            <w:r>
              <w:rPr>
                <w:color w:val="auto"/>
                <w:szCs w:val="21"/>
              </w:rPr>
              <w:t>动植物油</w:t>
            </w:r>
          </w:p>
        </w:tc>
        <w:tc>
          <w:tcPr>
            <w:tcW w:w="4427" w:type="dxa"/>
            <w:vAlign w:val="center"/>
          </w:tcPr>
          <w:p>
            <w:pPr>
              <w:spacing w:line="25" w:lineRule="atLeast"/>
              <w:jc w:val="center"/>
              <w:rPr>
                <w:color w:val="auto"/>
                <w:szCs w:val="21"/>
              </w:rPr>
            </w:pPr>
            <w:r>
              <w:rPr>
                <w:color w:val="auto"/>
                <w:szCs w:val="21"/>
              </w:rPr>
              <w:t>经场内地埋式微动力处理装置处理后排入附近的万水河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continue"/>
            <w:vAlign w:val="center"/>
          </w:tcPr>
          <w:p>
            <w:pPr>
              <w:spacing w:line="25" w:lineRule="atLeast"/>
              <w:jc w:val="center"/>
              <w:rPr>
                <w:color w:val="auto"/>
                <w:szCs w:val="21"/>
              </w:rPr>
            </w:pPr>
          </w:p>
        </w:tc>
        <w:tc>
          <w:tcPr>
            <w:tcW w:w="1470" w:type="dxa"/>
            <w:vAlign w:val="center"/>
          </w:tcPr>
          <w:p>
            <w:pPr>
              <w:spacing w:line="25" w:lineRule="atLeast"/>
              <w:jc w:val="center"/>
              <w:rPr>
                <w:color w:val="auto"/>
                <w:szCs w:val="21"/>
              </w:rPr>
            </w:pPr>
            <w:r>
              <w:rPr>
                <w:rFonts w:hint="eastAsia"/>
                <w:color w:val="auto"/>
                <w:szCs w:val="21"/>
              </w:rPr>
              <w:t>生产废水</w:t>
            </w:r>
          </w:p>
        </w:tc>
        <w:tc>
          <w:tcPr>
            <w:tcW w:w="2000" w:type="dxa"/>
            <w:vAlign w:val="center"/>
          </w:tcPr>
          <w:p>
            <w:pPr>
              <w:spacing w:line="25" w:lineRule="atLeast"/>
              <w:jc w:val="center"/>
              <w:rPr>
                <w:color w:val="auto"/>
                <w:szCs w:val="21"/>
              </w:rPr>
            </w:pPr>
            <w:r>
              <w:rPr>
                <w:rFonts w:hint="eastAsia"/>
                <w:color w:val="auto"/>
                <w:szCs w:val="21"/>
              </w:rPr>
              <w:t>SS</w:t>
            </w:r>
          </w:p>
        </w:tc>
        <w:tc>
          <w:tcPr>
            <w:tcW w:w="4427" w:type="dxa"/>
            <w:vAlign w:val="center"/>
          </w:tcPr>
          <w:p>
            <w:pPr>
              <w:spacing w:line="25" w:lineRule="atLeast"/>
              <w:jc w:val="center"/>
              <w:rPr>
                <w:color w:val="auto"/>
                <w:szCs w:val="21"/>
              </w:rPr>
            </w:pPr>
            <w:r>
              <w:rPr>
                <w:rFonts w:hint="eastAsia"/>
                <w:color w:val="auto"/>
                <w:szCs w:val="21"/>
              </w:rPr>
              <w:t>沉淀后回用</w:t>
            </w:r>
            <w:r>
              <w:rPr>
                <w:rFonts w:hint="eastAsia"/>
                <w:color w:val="auto"/>
                <w:szCs w:val="21"/>
                <w:lang w:eastAsia="zh-CN"/>
              </w:rPr>
              <w:t>，</w:t>
            </w:r>
            <w:r>
              <w:rPr>
                <w:rFonts w:hint="eastAsia"/>
                <w:color w:val="auto"/>
                <w:szCs w:val="21"/>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restart"/>
            <w:vAlign w:val="center"/>
          </w:tcPr>
          <w:p>
            <w:pPr>
              <w:spacing w:line="25" w:lineRule="atLeast"/>
              <w:jc w:val="center"/>
              <w:rPr>
                <w:color w:val="auto"/>
                <w:szCs w:val="21"/>
              </w:rPr>
            </w:pPr>
            <w:r>
              <w:rPr>
                <w:rFonts w:hint="eastAsia"/>
                <w:color w:val="auto"/>
                <w:szCs w:val="21"/>
              </w:rPr>
              <w:t>废气</w:t>
            </w:r>
          </w:p>
        </w:tc>
        <w:tc>
          <w:tcPr>
            <w:tcW w:w="1470" w:type="dxa"/>
            <w:vAlign w:val="center"/>
          </w:tcPr>
          <w:p>
            <w:pPr>
              <w:spacing w:line="25" w:lineRule="atLeast"/>
              <w:jc w:val="center"/>
              <w:rPr>
                <w:color w:val="auto"/>
                <w:szCs w:val="21"/>
              </w:rPr>
            </w:pPr>
            <w:r>
              <w:rPr>
                <w:rFonts w:hint="eastAsia"/>
                <w:color w:val="auto"/>
                <w:szCs w:val="21"/>
              </w:rPr>
              <w:t>破碎</w:t>
            </w:r>
          </w:p>
        </w:tc>
        <w:tc>
          <w:tcPr>
            <w:tcW w:w="2000" w:type="dxa"/>
            <w:vAlign w:val="center"/>
          </w:tcPr>
          <w:p>
            <w:pPr>
              <w:spacing w:line="25" w:lineRule="atLeast"/>
              <w:jc w:val="center"/>
              <w:rPr>
                <w:color w:val="auto"/>
                <w:szCs w:val="21"/>
              </w:rPr>
            </w:pPr>
            <w:r>
              <w:rPr>
                <w:rFonts w:hint="eastAsia"/>
                <w:color w:val="auto"/>
                <w:szCs w:val="21"/>
              </w:rPr>
              <w:t>颗粒物</w:t>
            </w:r>
          </w:p>
        </w:tc>
        <w:tc>
          <w:tcPr>
            <w:tcW w:w="4427" w:type="dxa"/>
            <w:vAlign w:val="center"/>
          </w:tcPr>
          <w:p>
            <w:pPr>
              <w:spacing w:line="25" w:lineRule="atLeast"/>
              <w:jc w:val="center"/>
              <w:rPr>
                <w:color w:val="auto"/>
                <w:szCs w:val="21"/>
              </w:rPr>
            </w:pPr>
            <w:r>
              <w:rPr>
                <w:rFonts w:hint="eastAsia"/>
                <w:color w:val="auto"/>
                <w:szCs w:val="21"/>
              </w:rPr>
              <w:t>双桶</w:t>
            </w:r>
            <w:r>
              <w:rPr>
                <w:color w:val="auto"/>
                <w:szCs w:val="21"/>
              </w:rPr>
              <w:t>布袋除尘器处理</w:t>
            </w:r>
            <w:r>
              <w:rPr>
                <w:rFonts w:hint="eastAsia"/>
                <w:color w:val="auto"/>
                <w:szCs w:val="21"/>
              </w:rPr>
              <w:t>后以无组织形式排放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continue"/>
            <w:vAlign w:val="center"/>
          </w:tcPr>
          <w:p>
            <w:pPr>
              <w:spacing w:line="25" w:lineRule="atLeast"/>
              <w:jc w:val="center"/>
              <w:rPr>
                <w:color w:val="auto"/>
                <w:szCs w:val="21"/>
              </w:rPr>
            </w:pPr>
          </w:p>
        </w:tc>
        <w:tc>
          <w:tcPr>
            <w:tcW w:w="1470" w:type="dxa"/>
            <w:vAlign w:val="center"/>
          </w:tcPr>
          <w:p>
            <w:pPr>
              <w:spacing w:line="25" w:lineRule="atLeast"/>
              <w:jc w:val="center"/>
              <w:rPr>
                <w:color w:val="auto"/>
                <w:szCs w:val="21"/>
              </w:rPr>
            </w:pPr>
            <w:r>
              <w:rPr>
                <w:rFonts w:hint="eastAsia"/>
                <w:color w:val="auto"/>
                <w:szCs w:val="21"/>
              </w:rPr>
              <w:t>食堂</w:t>
            </w:r>
          </w:p>
        </w:tc>
        <w:tc>
          <w:tcPr>
            <w:tcW w:w="2000" w:type="dxa"/>
            <w:vAlign w:val="center"/>
          </w:tcPr>
          <w:p>
            <w:pPr>
              <w:spacing w:line="25" w:lineRule="atLeast"/>
              <w:jc w:val="center"/>
              <w:rPr>
                <w:color w:val="auto"/>
                <w:szCs w:val="21"/>
              </w:rPr>
            </w:pPr>
            <w:r>
              <w:rPr>
                <w:rFonts w:hint="eastAsia"/>
                <w:color w:val="auto"/>
                <w:szCs w:val="21"/>
              </w:rPr>
              <w:t>油烟</w:t>
            </w:r>
          </w:p>
        </w:tc>
        <w:tc>
          <w:tcPr>
            <w:tcW w:w="4427" w:type="dxa"/>
            <w:vAlign w:val="center"/>
          </w:tcPr>
          <w:p>
            <w:pPr>
              <w:spacing w:line="25" w:lineRule="atLeast"/>
              <w:jc w:val="center"/>
              <w:rPr>
                <w:color w:val="auto"/>
                <w:szCs w:val="21"/>
              </w:rPr>
            </w:pPr>
            <w:r>
              <w:rPr>
                <w:rFonts w:hint="eastAsia"/>
                <w:color w:val="auto"/>
                <w:szCs w:val="21"/>
              </w:rPr>
              <w:t>经油烟净化器处理后从</w:t>
            </w:r>
            <w:r>
              <w:rPr>
                <w:rFonts w:hint="eastAsia"/>
                <w:color w:val="auto"/>
                <w:szCs w:val="21"/>
                <w:lang w:val="en-US" w:eastAsia="zh-CN"/>
              </w:rPr>
              <w:t>1层的</w:t>
            </w:r>
            <w:r>
              <w:rPr>
                <w:rFonts w:hint="eastAsia"/>
                <w:color w:val="auto"/>
                <w:szCs w:val="21"/>
              </w:rPr>
              <w:t>宿舍天面排放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continue"/>
            <w:vAlign w:val="center"/>
          </w:tcPr>
          <w:p>
            <w:pPr>
              <w:spacing w:line="25" w:lineRule="atLeast"/>
              <w:jc w:val="center"/>
              <w:rPr>
                <w:color w:val="auto"/>
                <w:szCs w:val="21"/>
              </w:rPr>
            </w:pPr>
          </w:p>
        </w:tc>
        <w:tc>
          <w:tcPr>
            <w:tcW w:w="1470" w:type="dxa"/>
            <w:vAlign w:val="center"/>
          </w:tcPr>
          <w:p>
            <w:pPr>
              <w:spacing w:line="25" w:lineRule="atLeast"/>
              <w:jc w:val="center"/>
              <w:rPr>
                <w:color w:val="auto"/>
                <w:szCs w:val="21"/>
              </w:rPr>
            </w:pPr>
            <w:r>
              <w:rPr>
                <w:rFonts w:hint="eastAsia"/>
                <w:color w:val="auto"/>
                <w:szCs w:val="21"/>
              </w:rPr>
              <w:t>甩干（烘干）</w:t>
            </w:r>
          </w:p>
        </w:tc>
        <w:tc>
          <w:tcPr>
            <w:tcW w:w="2000" w:type="dxa"/>
            <w:vAlign w:val="center"/>
          </w:tcPr>
          <w:p>
            <w:pPr>
              <w:spacing w:line="25" w:lineRule="atLeast"/>
              <w:jc w:val="center"/>
              <w:rPr>
                <w:color w:val="auto"/>
                <w:szCs w:val="21"/>
              </w:rPr>
            </w:pPr>
            <w:r>
              <w:rPr>
                <w:rFonts w:hint="eastAsia"/>
                <w:color w:val="auto"/>
                <w:szCs w:val="21"/>
              </w:rPr>
              <w:t>非甲烷总烃</w:t>
            </w:r>
          </w:p>
        </w:tc>
        <w:tc>
          <w:tcPr>
            <w:tcW w:w="4427" w:type="dxa"/>
            <w:vMerge w:val="restart"/>
            <w:vAlign w:val="center"/>
          </w:tcPr>
          <w:p>
            <w:pPr>
              <w:spacing w:line="25" w:lineRule="atLeast"/>
              <w:jc w:val="center"/>
              <w:rPr>
                <w:color w:val="auto"/>
                <w:szCs w:val="21"/>
              </w:rPr>
            </w:pPr>
            <w:r>
              <w:rPr>
                <w:rFonts w:hint="eastAsia"/>
                <w:color w:val="auto"/>
                <w:szCs w:val="21"/>
              </w:rPr>
              <w:t>以无组织形式排放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continue"/>
            <w:vAlign w:val="center"/>
          </w:tcPr>
          <w:p>
            <w:pPr>
              <w:spacing w:line="25" w:lineRule="atLeast"/>
              <w:jc w:val="center"/>
              <w:rPr>
                <w:color w:val="auto"/>
                <w:szCs w:val="21"/>
              </w:rPr>
            </w:pPr>
          </w:p>
        </w:tc>
        <w:tc>
          <w:tcPr>
            <w:tcW w:w="1470" w:type="dxa"/>
            <w:vAlign w:val="center"/>
          </w:tcPr>
          <w:p>
            <w:pPr>
              <w:spacing w:line="25" w:lineRule="atLeast"/>
              <w:jc w:val="center"/>
              <w:rPr>
                <w:rFonts w:hint="eastAsia" w:eastAsia="宋体"/>
                <w:color w:val="auto"/>
                <w:szCs w:val="21"/>
                <w:lang w:val="en-US" w:eastAsia="zh-CN"/>
              </w:rPr>
            </w:pPr>
            <w:r>
              <w:rPr>
                <w:rFonts w:hint="eastAsia"/>
                <w:color w:val="auto"/>
                <w:szCs w:val="21"/>
                <w:lang w:val="en-US" w:eastAsia="zh-CN"/>
              </w:rPr>
              <w:t>铲车尾气</w:t>
            </w:r>
          </w:p>
        </w:tc>
        <w:tc>
          <w:tcPr>
            <w:tcW w:w="2000" w:type="dxa"/>
            <w:vAlign w:val="center"/>
          </w:tcPr>
          <w:p>
            <w:pPr>
              <w:spacing w:line="25" w:lineRule="atLeast"/>
              <w:jc w:val="center"/>
              <w:rPr>
                <w:rFonts w:hint="eastAsia"/>
                <w:color w:val="auto"/>
                <w:szCs w:val="21"/>
              </w:rPr>
            </w:pPr>
            <w:r>
              <w:rPr>
                <w:rFonts w:ascii="Times New Roman" w:hAnsi="Times New Roman"/>
                <w:bCs/>
                <w:color w:val="auto"/>
                <w:szCs w:val="21"/>
              </w:rPr>
              <w:t>NO</w:t>
            </w:r>
            <w:r>
              <w:rPr>
                <w:rFonts w:ascii="Times New Roman" w:hAnsi="Times New Roman"/>
                <w:bCs/>
                <w:color w:val="auto"/>
                <w:szCs w:val="21"/>
                <w:vertAlign w:val="subscript"/>
              </w:rPr>
              <w:t>x</w:t>
            </w:r>
            <w:r>
              <w:rPr>
                <w:rFonts w:hint="eastAsia"/>
                <w:bCs/>
                <w:color w:val="auto"/>
                <w:szCs w:val="21"/>
                <w:vertAlign w:val="baseline"/>
                <w:lang w:eastAsia="zh-CN"/>
              </w:rPr>
              <w:t>、</w:t>
            </w:r>
            <w:r>
              <w:rPr>
                <w:rFonts w:hint="eastAsia"/>
                <w:bCs/>
                <w:color w:val="auto"/>
                <w:szCs w:val="21"/>
                <w:vertAlign w:val="baseline"/>
                <w:lang w:val="en-US" w:eastAsia="zh-CN"/>
              </w:rPr>
              <w:t>CO、HC</w:t>
            </w:r>
          </w:p>
        </w:tc>
        <w:tc>
          <w:tcPr>
            <w:tcW w:w="4427" w:type="dxa"/>
            <w:vMerge w:val="continue"/>
            <w:vAlign w:val="center"/>
          </w:tcPr>
          <w:p>
            <w:pPr>
              <w:spacing w:line="25" w:lineRule="atLeast"/>
              <w:jc w:val="center"/>
              <w:rPr>
                <w:rFonts w:hint="eastAsia"/>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Align w:val="center"/>
          </w:tcPr>
          <w:p>
            <w:pPr>
              <w:spacing w:line="25" w:lineRule="atLeast"/>
              <w:jc w:val="center"/>
              <w:rPr>
                <w:color w:val="auto"/>
                <w:szCs w:val="21"/>
              </w:rPr>
            </w:pPr>
            <w:r>
              <w:rPr>
                <w:rFonts w:hint="eastAsia"/>
                <w:color w:val="auto"/>
                <w:szCs w:val="21"/>
              </w:rPr>
              <w:t>噪声</w:t>
            </w:r>
          </w:p>
        </w:tc>
        <w:tc>
          <w:tcPr>
            <w:tcW w:w="1470" w:type="dxa"/>
            <w:vAlign w:val="center"/>
          </w:tcPr>
          <w:p>
            <w:pPr>
              <w:spacing w:line="25" w:lineRule="atLeast"/>
              <w:jc w:val="center"/>
              <w:rPr>
                <w:rFonts w:hint="eastAsia" w:eastAsia="宋体"/>
                <w:color w:val="auto"/>
                <w:szCs w:val="21"/>
                <w:lang w:eastAsia="zh-CN"/>
              </w:rPr>
            </w:pPr>
            <w:r>
              <w:rPr>
                <w:rFonts w:hint="eastAsia"/>
                <w:color w:val="auto"/>
                <w:szCs w:val="21"/>
                <w:lang w:val="en-US" w:eastAsia="zh-CN"/>
              </w:rPr>
              <w:t>各生产设备</w:t>
            </w:r>
          </w:p>
        </w:tc>
        <w:tc>
          <w:tcPr>
            <w:tcW w:w="2000" w:type="dxa"/>
            <w:vAlign w:val="center"/>
          </w:tcPr>
          <w:p>
            <w:pPr>
              <w:spacing w:line="25" w:lineRule="atLeast"/>
              <w:jc w:val="center"/>
              <w:rPr>
                <w:color w:val="auto"/>
                <w:szCs w:val="21"/>
              </w:rPr>
            </w:pPr>
            <w:r>
              <w:rPr>
                <w:rFonts w:hint="eastAsia"/>
                <w:color w:val="auto"/>
                <w:szCs w:val="21"/>
              </w:rPr>
              <w:t>噪声</w:t>
            </w:r>
          </w:p>
        </w:tc>
        <w:tc>
          <w:tcPr>
            <w:tcW w:w="4427" w:type="dxa"/>
            <w:vAlign w:val="center"/>
          </w:tcPr>
          <w:p>
            <w:pPr>
              <w:spacing w:line="25" w:lineRule="atLeast"/>
              <w:jc w:val="center"/>
              <w:rPr>
                <w:color w:val="auto"/>
                <w:szCs w:val="21"/>
              </w:rPr>
            </w:pPr>
            <w:r>
              <w:rPr>
                <w:rFonts w:hint="eastAsia" w:ascii="宋体" w:hAnsi="宋体"/>
                <w:color w:val="auto"/>
                <w:szCs w:val="21"/>
              </w:rPr>
              <w:t>隔声、减振处理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restart"/>
            <w:vAlign w:val="center"/>
          </w:tcPr>
          <w:p>
            <w:pPr>
              <w:spacing w:line="25" w:lineRule="atLeast"/>
              <w:jc w:val="center"/>
              <w:rPr>
                <w:color w:val="auto"/>
                <w:szCs w:val="21"/>
              </w:rPr>
            </w:pPr>
            <w:r>
              <w:rPr>
                <w:rFonts w:hint="eastAsia"/>
                <w:color w:val="auto"/>
                <w:szCs w:val="21"/>
              </w:rPr>
              <w:t>固废</w:t>
            </w:r>
          </w:p>
        </w:tc>
        <w:tc>
          <w:tcPr>
            <w:tcW w:w="1470" w:type="dxa"/>
            <w:vAlign w:val="center"/>
          </w:tcPr>
          <w:p>
            <w:pPr>
              <w:spacing w:line="25" w:lineRule="atLeast"/>
              <w:jc w:val="center"/>
              <w:rPr>
                <w:color w:val="auto"/>
                <w:szCs w:val="21"/>
              </w:rPr>
            </w:pPr>
            <w:r>
              <w:rPr>
                <w:rFonts w:hint="eastAsia"/>
                <w:color w:val="auto"/>
                <w:szCs w:val="21"/>
              </w:rPr>
              <w:t>破碎</w:t>
            </w:r>
          </w:p>
        </w:tc>
        <w:tc>
          <w:tcPr>
            <w:tcW w:w="2000" w:type="dxa"/>
            <w:vAlign w:val="center"/>
          </w:tcPr>
          <w:p>
            <w:pPr>
              <w:spacing w:line="25" w:lineRule="atLeast"/>
              <w:jc w:val="center"/>
              <w:rPr>
                <w:color w:val="auto"/>
                <w:szCs w:val="21"/>
              </w:rPr>
            </w:pPr>
            <w:r>
              <w:rPr>
                <w:rFonts w:hint="eastAsia"/>
                <w:color w:val="auto"/>
                <w:szCs w:val="21"/>
              </w:rPr>
              <w:t>废树脂粉</w:t>
            </w:r>
          </w:p>
        </w:tc>
        <w:tc>
          <w:tcPr>
            <w:tcW w:w="4427" w:type="dxa"/>
            <w:vAlign w:val="center"/>
          </w:tcPr>
          <w:p>
            <w:pPr>
              <w:spacing w:line="25" w:lineRule="atLeast"/>
              <w:jc w:val="center"/>
              <w:rPr>
                <w:color w:val="auto"/>
                <w:szCs w:val="21"/>
              </w:rPr>
            </w:pPr>
            <w:r>
              <w:rPr>
                <w:rFonts w:hint="eastAsia"/>
                <w:color w:val="auto"/>
                <w:szCs w:val="21"/>
              </w:rPr>
              <w:t>交由青山垃圾填埋场处理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46" w:type="dxa"/>
            <w:vMerge w:val="continue"/>
            <w:vAlign w:val="center"/>
          </w:tcPr>
          <w:p>
            <w:pPr>
              <w:spacing w:line="25" w:lineRule="atLeast"/>
              <w:jc w:val="center"/>
              <w:rPr>
                <w:color w:val="auto"/>
                <w:szCs w:val="21"/>
              </w:rPr>
            </w:pPr>
          </w:p>
        </w:tc>
        <w:tc>
          <w:tcPr>
            <w:tcW w:w="1470" w:type="dxa"/>
            <w:vAlign w:val="center"/>
          </w:tcPr>
          <w:p>
            <w:pPr>
              <w:spacing w:line="25" w:lineRule="atLeast"/>
              <w:jc w:val="center"/>
              <w:rPr>
                <w:color w:val="auto"/>
                <w:szCs w:val="21"/>
              </w:rPr>
            </w:pPr>
            <w:r>
              <w:rPr>
                <w:rFonts w:hint="eastAsia"/>
                <w:color w:val="auto"/>
                <w:szCs w:val="21"/>
              </w:rPr>
              <w:t>员工生活</w:t>
            </w:r>
          </w:p>
        </w:tc>
        <w:tc>
          <w:tcPr>
            <w:tcW w:w="2000" w:type="dxa"/>
            <w:vAlign w:val="center"/>
          </w:tcPr>
          <w:p>
            <w:pPr>
              <w:spacing w:line="25" w:lineRule="atLeast"/>
              <w:jc w:val="center"/>
              <w:rPr>
                <w:color w:val="auto"/>
                <w:szCs w:val="21"/>
              </w:rPr>
            </w:pPr>
            <w:r>
              <w:rPr>
                <w:rFonts w:hint="eastAsia"/>
                <w:color w:val="auto"/>
                <w:szCs w:val="21"/>
              </w:rPr>
              <w:t>生活垃圾</w:t>
            </w:r>
          </w:p>
        </w:tc>
        <w:tc>
          <w:tcPr>
            <w:tcW w:w="4427" w:type="dxa"/>
            <w:vAlign w:val="center"/>
          </w:tcPr>
          <w:p>
            <w:pPr>
              <w:spacing w:line="25" w:lineRule="atLeast"/>
              <w:jc w:val="center"/>
              <w:rPr>
                <w:color w:val="auto"/>
                <w:szCs w:val="21"/>
              </w:rPr>
            </w:pPr>
            <w:r>
              <w:rPr>
                <w:rFonts w:hint="eastAsia"/>
                <w:color w:val="auto"/>
                <w:szCs w:val="21"/>
              </w:rPr>
              <w:t>交由环卫部门处理</w:t>
            </w:r>
          </w:p>
        </w:tc>
      </w:tr>
    </w:tbl>
    <w:p>
      <w:pPr>
        <w:pStyle w:val="7"/>
        <w:numPr>
          <w:ilvl w:val="2"/>
          <w:numId w:val="0"/>
        </w:numPr>
        <w:tabs>
          <w:tab w:val="clear" w:pos="720"/>
        </w:tabs>
        <w:spacing w:before="159" w:after="159"/>
        <w:rPr>
          <w:color w:val="auto"/>
        </w:rPr>
      </w:pPr>
      <w:bookmarkStart w:id="288" w:name="_Toc23042"/>
      <w:r>
        <w:rPr>
          <w:rFonts w:hint="eastAsia"/>
          <w:color w:val="auto"/>
        </w:rPr>
        <w:t>3.1.4  现有项目</w:t>
      </w:r>
      <w:r>
        <w:rPr>
          <w:color w:val="auto"/>
        </w:rPr>
        <w:t>污染源及环保措施分析</w:t>
      </w:r>
      <w:bookmarkEnd w:id="288"/>
    </w:p>
    <w:p>
      <w:pPr>
        <w:spacing w:line="360" w:lineRule="auto"/>
        <w:ind w:firstLine="480" w:firstLineChars="200"/>
        <w:rPr>
          <w:color w:val="auto"/>
          <w:sz w:val="24"/>
        </w:rPr>
      </w:pPr>
      <w:r>
        <w:rPr>
          <w:color w:val="auto"/>
          <w:sz w:val="24"/>
        </w:rPr>
        <w:t>1、废水达标性分析</w:t>
      </w:r>
    </w:p>
    <w:p>
      <w:pPr>
        <w:spacing w:line="360" w:lineRule="auto"/>
        <w:ind w:firstLine="480" w:firstLineChars="200"/>
        <w:rPr>
          <w:color w:val="auto"/>
          <w:sz w:val="24"/>
        </w:rPr>
      </w:pPr>
      <w:r>
        <w:rPr>
          <w:color w:val="auto"/>
          <w:sz w:val="24"/>
        </w:rPr>
        <w:t>生产废水：原工程生产期间循环水池补充水主要以蒸发方式损耗，故生产废水不外排，对环境无明显不利影响；</w:t>
      </w:r>
    </w:p>
    <w:p>
      <w:pPr>
        <w:spacing w:line="360" w:lineRule="auto"/>
        <w:ind w:firstLine="480" w:firstLineChars="200"/>
        <w:rPr>
          <w:color w:val="auto"/>
          <w:sz w:val="24"/>
        </w:rPr>
      </w:pPr>
      <w:r>
        <w:rPr>
          <w:color w:val="auto"/>
          <w:sz w:val="24"/>
        </w:rPr>
        <w:t>生活废水：原工程生产劳动定员为45人，年工作250天，年用水量为2050m</w:t>
      </w:r>
      <w:r>
        <w:rPr>
          <w:color w:val="auto"/>
          <w:sz w:val="24"/>
          <w:vertAlign w:val="superscript"/>
        </w:rPr>
        <w:t>3</w:t>
      </w:r>
      <w:r>
        <w:rPr>
          <w:color w:val="auto"/>
          <w:sz w:val="24"/>
        </w:rPr>
        <w:t>/a，生活污水的主要污染物为COD、BOD</w:t>
      </w:r>
      <w:r>
        <w:rPr>
          <w:color w:val="auto"/>
          <w:sz w:val="24"/>
          <w:vertAlign w:val="subscript"/>
        </w:rPr>
        <w:t>5</w:t>
      </w:r>
      <w:r>
        <w:rPr>
          <w:color w:val="auto"/>
          <w:sz w:val="24"/>
        </w:rPr>
        <w:t>、SS、NH</w:t>
      </w:r>
      <w:r>
        <w:rPr>
          <w:color w:val="auto"/>
          <w:sz w:val="24"/>
          <w:vertAlign w:val="subscript"/>
        </w:rPr>
        <w:t>3</w:t>
      </w:r>
      <w:r>
        <w:rPr>
          <w:color w:val="auto"/>
          <w:sz w:val="24"/>
        </w:rPr>
        <w:t>-N等，生活污水经场内地埋式微动力处理装置处理后排入附近的</w:t>
      </w:r>
      <w:r>
        <w:rPr>
          <w:rFonts w:hint="eastAsia"/>
          <w:color w:val="auto"/>
          <w:sz w:val="24"/>
        </w:rPr>
        <w:t>万水</w:t>
      </w:r>
      <w:r>
        <w:rPr>
          <w:color w:val="auto"/>
          <w:sz w:val="24"/>
        </w:rPr>
        <w:t>河。根据原环评资料，各种污染物产生及排放情况，见</w:t>
      </w:r>
      <w:r>
        <w:rPr>
          <w:rFonts w:hint="eastAsia"/>
          <w:color w:val="auto"/>
          <w:sz w:val="24"/>
        </w:rPr>
        <w:t>下表</w:t>
      </w:r>
      <w:r>
        <w:rPr>
          <w:color w:val="auto"/>
          <w:sz w:val="24"/>
        </w:rPr>
        <w:t>。</w:t>
      </w:r>
    </w:p>
    <w:p>
      <w:pPr>
        <w:pStyle w:val="9"/>
        <w:rPr>
          <w:rFonts w:ascii="Times New Roman" w:hAnsi="Times New Roman" w:eastAsia="宋体"/>
          <w:color w:val="auto"/>
          <w:sz w:val="21"/>
        </w:rPr>
      </w:pPr>
      <w:r>
        <w:rPr>
          <w:rFonts w:ascii="Times New Roman" w:hAnsi="Times New Roman" w:eastAsia="宋体"/>
          <w:color w:val="auto"/>
          <w:sz w:val="21"/>
        </w:rPr>
        <w:t>表3.1-</w:t>
      </w:r>
      <w:r>
        <w:rPr>
          <w:rFonts w:hint="eastAsia" w:ascii="Times New Roman" w:hAnsi="Times New Roman" w:eastAsia="宋体"/>
          <w:color w:val="auto"/>
          <w:sz w:val="21"/>
        </w:rPr>
        <w:t>7  现有项目</w:t>
      </w:r>
      <w:r>
        <w:rPr>
          <w:rFonts w:ascii="Times New Roman" w:hAnsi="Times New Roman" w:eastAsia="宋体"/>
          <w:color w:val="auto"/>
          <w:sz w:val="21"/>
        </w:rPr>
        <w:t>生活污水产生及排放情况</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420" w:type="dxa"/>
            <w:vMerge w:val="restart"/>
            <w:vAlign w:val="center"/>
          </w:tcPr>
          <w:p>
            <w:pPr>
              <w:jc w:val="center"/>
              <w:rPr>
                <w:color w:val="auto"/>
                <w:szCs w:val="21"/>
              </w:rPr>
            </w:pPr>
            <w:r>
              <w:rPr>
                <w:color w:val="auto"/>
                <w:szCs w:val="21"/>
              </w:rPr>
              <w:t>废水总量</w:t>
            </w:r>
          </w:p>
          <w:p>
            <w:pPr>
              <w:jc w:val="center"/>
              <w:rPr>
                <w:color w:val="auto"/>
                <w:szCs w:val="21"/>
              </w:rPr>
            </w:pPr>
            <w:r>
              <w:rPr>
                <w:color w:val="auto"/>
                <w:szCs w:val="21"/>
              </w:rPr>
              <w:t>（m</w:t>
            </w:r>
            <w:r>
              <w:rPr>
                <w:color w:val="auto"/>
                <w:szCs w:val="21"/>
                <w:vertAlign w:val="superscript"/>
              </w:rPr>
              <w:t>3</w:t>
            </w:r>
            <w:r>
              <w:rPr>
                <w:color w:val="auto"/>
                <w:szCs w:val="21"/>
              </w:rPr>
              <w:t>/a）</w:t>
            </w:r>
          </w:p>
        </w:tc>
        <w:tc>
          <w:tcPr>
            <w:tcW w:w="1420" w:type="dxa"/>
            <w:vMerge w:val="restart"/>
            <w:vAlign w:val="center"/>
          </w:tcPr>
          <w:p>
            <w:pPr>
              <w:jc w:val="center"/>
              <w:rPr>
                <w:color w:val="auto"/>
                <w:szCs w:val="21"/>
              </w:rPr>
            </w:pPr>
            <w:r>
              <w:rPr>
                <w:color w:val="auto"/>
                <w:szCs w:val="21"/>
              </w:rPr>
              <w:t>污染物</w:t>
            </w:r>
          </w:p>
        </w:tc>
        <w:tc>
          <w:tcPr>
            <w:tcW w:w="2840" w:type="dxa"/>
            <w:gridSpan w:val="2"/>
            <w:vAlign w:val="center"/>
          </w:tcPr>
          <w:p>
            <w:pPr>
              <w:jc w:val="center"/>
              <w:rPr>
                <w:color w:val="auto"/>
                <w:szCs w:val="21"/>
              </w:rPr>
            </w:pPr>
            <w:r>
              <w:rPr>
                <w:color w:val="auto"/>
                <w:szCs w:val="21"/>
              </w:rPr>
              <w:t>产生情况</w:t>
            </w:r>
          </w:p>
        </w:tc>
        <w:tc>
          <w:tcPr>
            <w:tcW w:w="2842" w:type="dxa"/>
            <w:gridSpan w:val="2"/>
            <w:vAlign w:val="center"/>
          </w:tcPr>
          <w:p>
            <w:pPr>
              <w:jc w:val="center"/>
              <w:rPr>
                <w:color w:val="auto"/>
                <w:szCs w:val="21"/>
              </w:rPr>
            </w:pPr>
            <w:r>
              <w:rPr>
                <w:color w:val="auto"/>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420" w:type="dxa"/>
            <w:vMerge w:val="continue"/>
            <w:vAlign w:val="center"/>
          </w:tcPr>
          <w:p>
            <w:pPr>
              <w:jc w:val="center"/>
              <w:rPr>
                <w:color w:val="auto"/>
                <w:szCs w:val="21"/>
              </w:rPr>
            </w:pPr>
          </w:p>
        </w:tc>
        <w:tc>
          <w:tcPr>
            <w:tcW w:w="1420" w:type="dxa"/>
            <w:vMerge w:val="continue"/>
            <w:vAlign w:val="center"/>
          </w:tcPr>
          <w:p>
            <w:pPr>
              <w:jc w:val="center"/>
              <w:rPr>
                <w:color w:val="auto"/>
                <w:szCs w:val="21"/>
              </w:rPr>
            </w:pPr>
          </w:p>
        </w:tc>
        <w:tc>
          <w:tcPr>
            <w:tcW w:w="1420" w:type="dxa"/>
            <w:vAlign w:val="center"/>
          </w:tcPr>
          <w:p>
            <w:pPr>
              <w:jc w:val="center"/>
              <w:rPr>
                <w:color w:val="auto"/>
                <w:szCs w:val="21"/>
              </w:rPr>
            </w:pPr>
            <w:r>
              <w:rPr>
                <w:color w:val="auto"/>
                <w:szCs w:val="21"/>
              </w:rPr>
              <w:t>产生浓度(mg/L)</w:t>
            </w:r>
          </w:p>
        </w:tc>
        <w:tc>
          <w:tcPr>
            <w:tcW w:w="1420" w:type="dxa"/>
            <w:vAlign w:val="center"/>
          </w:tcPr>
          <w:p>
            <w:pPr>
              <w:jc w:val="center"/>
              <w:rPr>
                <w:color w:val="auto"/>
                <w:szCs w:val="21"/>
              </w:rPr>
            </w:pPr>
            <w:r>
              <w:rPr>
                <w:color w:val="auto"/>
                <w:szCs w:val="21"/>
              </w:rPr>
              <w:t>产生量（t/a）</w:t>
            </w:r>
          </w:p>
        </w:tc>
        <w:tc>
          <w:tcPr>
            <w:tcW w:w="1421" w:type="dxa"/>
            <w:vAlign w:val="center"/>
          </w:tcPr>
          <w:p>
            <w:pPr>
              <w:jc w:val="center"/>
              <w:rPr>
                <w:color w:val="auto"/>
                <w:szCs w:val="21"/>
              </w:rPr>
            </w:pPr>
            <w:r>
              <w:rPr>
                <w:color w:val="auto"/>
                <w:szCs w:val="21"/>
              </w:rPr>
              <w:t>排放浓度(mg/L)</w:t>
            </w:r>
          </w:p>
        </w:tc>
        <w:tc>
          <w:tcPr>
            <w:tcW w:w="1421" w:type="dxa"/>
            <w:vAlign w:val="center"/>
          </w:tcPr>
          <w:p>
            <w:pPr>
              <w:jc w:val="center"/>
              <w:rPr>
                <w:color w:val="auto"/>
                <w:szCs w:val="21"/>
              </w:rPr>
            </w:pPr>
            <w:r>
              <w:rPr>
                <w:color w:val="auto"/>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jc w:val="center"/>
              <w:rPr>
                <w:color w:val="auto"/>
                <w:szCs w:val="21"/>
              </w:rPr>
            </w:pPr>
            <w:r>
              <w:rPr>
                <w:color w:val="auto"/>
                <w:szCs w:val="21"/>
              </w:rPr>
              <w:t>2050</w:t>
            </w:r>
          </w:p>
        </w:tc>
        <w:tc>
          <w:tcPr>
            <w:tcW w:w="1420" w:type="dxa"/>
            <w:vAlign w:val="center"/>
          </w:tcPr>
          <w:p>
            <w:pPr>
              <w:jc w:val="center"/>
              <w:rPr>
                <w:color w:val="auto"/>
                <w:szCs w:val="21"/>
              </w:rPr>
            </w:pPr>
            <w:r>
              <w:rPr>
                <w:color w:val="auto"/>
                <w:szCs w:val="21"/>
              </w:rPr>
              <w:t>COD</w:t>
            </w:r>
            <w:r>
              <w:rPr>
                <w:color w:val="auto"/>
                <w:szCs w:val="21"/>
                <w:vertAlign w:val="subscript"/>
              </w:rPr>
              <w:t>Cr</w:t>
            </w:r>
          </w:p>
        </w:tc>
        <w:tc>
          <w:tcPr>
            <w:tcW w:w="1420" w:type="dxa"/>
            <w:vAlign w:val="center"/>
          </w:tcPr>
          <w:p>
            <w:pPr>
              <w:jc w:val="center"/>
              <w:rPr>
                <w:color w:val="auto"/>
                <w:szCs w:val="21"/>
              </w:rPr>
            </w:pPr>
            <w:r>
              <w:rPr>
                <w:color w:val="auto"/>
                <w:szCs w:val="21"/>
              </w:rPr>
              <w:t>250</w:t>
            </w:r>
          </w:p>
        </w:tc>
        <w:tc>
          <w:tcPr>
            <w:tcW w:w="1420" w:type="dxa"/>
            <w:vAlign w:val="center"/>
          </w:tcPr>
          <w:p>
            <w:pPr>
              <w:jc w:val="center"/>
              <w:rPr>
                <w:color w:val="auto"/>
                <w:szCs w:val="21"/>
              </w:rPr>
            </w:pPr>
            <w:r>
              <w:rPr>
                <w:color w:val="auto"/>
                <w:szCs w:val="21"/>
              </w:rPr>
              <w:t>0.506</w:t>
            </w:r>
          </w:p>
        </w:tc>
        <w:tc>
          <w:tcPr>
            <w:tcW w:w="1421" w:type="dxa"/>
            <w:vAlign w:val="center"/>
          </w:tcPr>
          <w:p>
            <w:pPr>
              <w:jc w:val="center"/>
              <w:rPr>
                <w:color w:val="auto"/>
                <w:szCs w:val="21"/>
              </w:rPr>
            </w:pPr>
            <w:r>
              <w:rPr>
                <w:color w:val="auto"/>
                <w:szCs w:val="21"/>
              </w:rPr>
              <w:t>90</w:t>
            </w:r>
          </w:p>
        </w:tc>
        <w:tc>
          <w:tcPr>
            <w:tcW w:w="1421" w:type="dxa"/>
            <w:vAlign w:val="center"/>
          </w:tcPr>
          <w:p>
            <w:pPr>
              <w:jc w:val="center"/>
              <w:rPr>
                <w:color w:val="auto"/>
                <w:szCs w:val="21"/>
              </w:rPr>
            </w:pPr>
            <w:r>
              <w:rPr>
                <w:color w:val="auto"/>
                <w:szCs w:val="21"/>
              </w:rPr>
              <w:t>0.182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jc w:val="center"/>
              <w:rPr>
                <w:color w:val="auto"/>
                <w:szCs w:val="21"/>
              </w:rPr>
            </w:pPr>
          </w:p>
        </w:tc>
        <w:tc>
          <w:tcPr>
            <w:tcW w:w="1420" w:type="dxa"/>
            <w:vAlign w:val="center"/>
          </w:tcPr>
          <w:p>
            <w:pPr>
              <w:jc w:val="center"/>
              <w:rPr>
                <w:color w:val="auto"/>
                <w:szCs w:val="21"/>
              </w:rPr>
            </w:pPr>
            <w:r>
              <w:rPr>
                <w:color w:val="auto"/>
                <w:szCs w:val="21"/>
              </w:rPr>
              <w:t>BOD</w:t>
            </w:r>
            <w:r>
              <w:rPr>
                <w:color w:val="auto"/>
                <w:szCs w:val="21"/>
                <w:vertAlign w:val="subscript"/>
              </w:rPr>
              <w:t>5</w:t>
            </w:r>
          </w:p>
        </w:tc>
        <w:tc>
          <w:tcPr>
            <w:tcW w:w="1420" w:type="dxa"/>
            <w:vAlign w:val="center"/>
          </w:tcPr>
          <w:p>
            <w:pPr>
              <w:jc w:val="center"/>
              <w:rPr>
                <w:color w:val="auto"/>
                <w:szCs w:val="21"/>
              </w:rPr>
            </w:pPr>
            <w:r>
              <w:rPr>
                <w:color w:val="auto"/>
                <w:szCs w:val="21"/>
              </w:rPr>
              <w:t>180</w:t>
            </w:r>
          </w:p>
        </w:tc>
        <w:tc>
          <w:tcPr>
            <w:tcW w:w="1420" w:type="dxa"/>
            <w:vAlign w:val="center"/>
          </w:tcPr>
          <w:p>
            <w:pPr>
              <w:jc w:val="center"/>
              <w:rPr>
                <w:color w:val="auto"/>
                <w:szCs w:val="21"/>
              </w:rPr>
            </w:pPr>
            <w:r>
              <w:rPr>
                <w:color w:val="auto"/>
                <w:szCs w:val="21"/>
              </w:rPr>
              <w:t>0.365</w:t>
            </w:r>
          </w:p>
        </w:tc>
        <w:tc>
          <w:tcPr>
            <w:tcW w:w="1421" w:type="dxa"/>
            <w:vAlign w:val="center"/>
          </w:tcPr>
          <w:p>
            <w:pPr>
              <w:jc w:val="center"/>
              <w:rPr>
                <w:color w:val="auto"/>
                <w:szCs w:val="21"/>
              </w:rPr>
            </w:pPr>
            <w:r>
              <w:rPr>
                <w:color w:val="auto"/>
                <w:szCs w:val="21"/>
              </w:rPr>
              <w:t>20</w:t>
            </w:r>
          </w:p>
        </w:tc>
        <w:tc>
          <w:tcPr>
            <w:tcW w:w="1421" w:type="dxa"/>
            <w:vAlign w:val="center"/>
          </w:tcPr>
          <w:p>
            <w:pPr>
              <w:jc w:val="center"/>
              <w:rPr>
                <w:color w:val="auto"/>
                <w:szCs w:val="21"/>
              </w:rPr>
            </w:pPr>
            <w:r>
              <w:rPr>
                <w:color w:val="auto"/>
                <w:szCs w:val="21"/>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jc w:val="center"/>
              <w:rPr>
                <w:color w:val="auto"/>
                <w:szCs w:val="21"/>
              </w:rPr>
            </w:pPr>
          </w:p>
        </w:tc>
        <w:tc>
          <w:tcPr>
            <w:tcW w:w="1420" w:type="dxa"/>
            <w:vAlign w:val="center"/>
          </w:tcPr>
          <w:p>
            <w:pPr>
              <w:jc w:val="center"/>
              <w:rPr>
                <w:color w:val="auto"/>
                <w:szCs w:val="21"/>
              </w:rPr>
            </w:pPr>
            <w:r>
              <w:rPr>
                <w:color w:val="auto"/>
                <w:szCs w:val="21"/>
              </w:rPr>
              <w:t>SS</w:t>
            </w:r>
          </w:p>
        </w:tc>
        <w:tc>
          <w:tcPr>
            <w:tcW w:w="1420" w:type="dxa"/>
            <w:vAlign w:val="center"/>
          </w:tcPr>
          <w:p>
            <w:pPr>
              <w:jc w:val="center"/>
              <w:rPr>
                <w:color w:val="auto"/>
                <w:szCs w:val="21"/>
              </w:rPr>
            </w:pPr>
            <w:r>
              <w:rPr>
                <w:color w:val="auto"/>
                <w:szCs w:val="21"/>
              </w:rPr>
              <w:t>200</w:t>
            </w:r>
          </w:p>
        </w:tc>
        <w:tc>
          <w:tcPr>
            <w:tcW w:w="1420" w:type="dxa"/>
            <w:vAlign w:val="center"/>
          </w:tcPr>
          <w:p>
            <w:pPr>
              <w:jc w:val="center"/>
              <w:rPr>
                <w:color w:val="auto"/>
                <w:szCs w:val="21"/>
              </w:rPr>
            </w:pPr>
            <w:r>
              <w:rPr>
                <w:color w:val="auto"/>
                <w:szCs w:val="21"/>
              </w:rPr>
              <w:t>0.405</w:t>
            </w:r>
          </w:p>
        </w:tc>
        <w:tc>
          <w:tcPr>
            <w:tcW w:w="1421" w:type="dxa"/>
            <w:vAlign w:val="center"/>
          </w:tcPr>
          <w:p>
            <w:pPr>
              <w:jc w:val="center"/>
              <w:rPr>
                <w:color w:val="auto"/>
                <w:szCs w:val="21"/>
              </w:rPr>
            </w:pPr>
            <w:r>
              <w:rPr>
                <w:color w:val="auto"/>
                <w:szCs w:val="21"/>
              </w:rPr>
              <w:t>60</w:t>
            </w:r>
          </w:p>
        </w:tc>
        <w:tc>
          <w:tcPr>
            <w:tcW w:w="1421" w:type="dxa"/>
            <w:vAlign w:val="center"/>
          </w:tcPr>
          <w:p>
            <w:pPr>
              <w:jc w:val="center"/>
              <w:rPr>
                <w:color w:val="auto"/>
                <w:szCs w:val="21"/>
              </w:rPr>
            </w:pPr>
            <w:r>
              <w:rPr>
                <w:color w:val="auto"/>
                <w:szCs w:val="21"/>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jc w:val="center"/>
              <w:rPr>
                <w:color w:val="auto"/>
                <w:szCs w:val="21"/>
              </w:rPr>
            </w:pPr>
          </w:p>
        </w:tc>
        <w:tc>
          <w:tcPr>
            <w:tcW w:w="1420" w:type="dxa"/>
            <w:vAlign w:val="center"/>
          </w:tcPr>
          <w:p>
            <w:pPr>
              <w:jc w:val="center"/>
              <w:rPr>
                <w:color w:val="auto"/>
                <w:szCs w:val="21"/>
              </w:rPr>
            </w:pPr>
            <w:r>
              <w:rPr>
                <w:color w:val="auto"/>
                <w:szCs w:val="21"/>
              </w:rPr>
              <w:t>氨氮</w:t>
            </w:r>
          </w:p>
        </w:tc>
        <w:tc>
          <w:tcPr>
            <w:tcW w:w="1420" w:type="dxa"/>
            <w:vAlign w:val="center"/>
          </w:tcPr>
          <w:p>
            <w:pPr>
              <w:jc w:val="center"/>
              <w:rPr>
                <w:color w:val="auto"/>
                <w:szCs w:val="21"/>
              </w:rPr>
            </w:pPr>
            <w:r>
              <w:rPr>
                <w:color w:val="auto"/>
                <w:szCs w:val="21"/>
              </w:rPr>
              <w:t>40</w:t>
            </w:r>
          </w:p>
        </w:tc>
        <w:tc>
          <w:tcPr>
            <w:tcW w:w="1420" w:type="dxa"/>
            <w:vAlign w:val="center"/>
          </w:tcPr>
          <w:p>
            <w:pPr>
              <w:jc w:val="center"/>
              <w:rPr>
                <w:color w:val="auto"/>
                <w:szCs w:val="21"/>
              </w:rPr>
            </w:pPr>
            <w:r>
              <w:rPr>
                <w:color w:val="auto"/>
                <w:szCs w:val="21"/>
              </w:rPr>
              <w:t>0.081</w:t>
            </w:r>
          </w:p>
        </w:tc>
        <w:tc>
          <w:tcPr>
            <w:tcW w:w="1421" w:type="dxa"/>
            <w:vAlign w:val="center"/>
          </w:tcPr>
          <w:p>
            <w:pPr>
              <w:jc w:val="center"/>
              <w:rPr>
                <w:color w:val="auto"/>
                <w:szCs w:val="21"/>
              </w:rPr>
            </w:pPr>
            <w:r>
              <w:rPr>
                <w:color w:val="auto"/>
                <w:szCs w:val="21"/>
              </w:rPr>
              <w:t>10</w:t>
            </w:r>
          </w:p>
        </w:tc>
        <w:tc>
          <w:tcPr>
            <w:tcW w:w="1421" w:type="dxa"/>
            <w:vAlign w:val="center"/>
          </w:tcPr>
          <w:p>
            <w:pPr>
              <w:jc w:val="center"/>
              <w:rPr>
                <w:color w:val="auto"/>
                <w:szCs w:val="21"/>
              </w:rPr>
            </w:pPr>
            <w:r>
              <w:rPr>
                <w:color w:val="auto"/>
                <w:szCs w:val="21"/>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jc w:val="center"/>
              <w:rPr>
                <w:color w:val="auto"/>
                <w:szCs w:val="21"/>
              </w:rPr>
            </w:pPr>
          </w:p>
        </w:tc>
        <w:tc>
          <w:tcPr>
            <w:tcW w:w="1420" w:type="dxa"/>
            <w:vAlign w:val="center"/>
          </w:tcPr>
          <w:p>
            <w:pPr>
              <w:jc w:val="center"/>
              <w:rPr>
                <w:color w:val="auto"/>
                <w:szCs w:val="21"/>
              </w:rPr>
            </w:pPr>
            <w:r>
              <w:rPr>
                <w:color w:val="auto"/>
                <w:szCs w:val="21"/>
              </w:rPr>
              <w:t>动植物油</w:t>
            </w:r>
          </w:p>
        </w:tc>
        <w:tc>
          <w:tcPr>
            <w:tcW w:w="1420" w:type="dxa"/>
            <w:vAlign w:val="center"/>
          </w:tcPr>
          <w:p>
            <w:pPr>
              <w:jc w:val="center"/>
              <w:rPr>
                <w:color w:val="auto"/>
                <w:szCs w:val="21"/>
              </w:rPr>
            </w:pPr>
            <w:r>
              <w:rPr>
                <w:color w:val="auto"/>
                <w:szCs w:val="21"/>
              </w:rPr>
              <w:t>80</w:t>
            </w:r>
          </w:p>
        </w:tc>
        <w:tc>
          <w:tcPr>
            <w:tcW w:w="1420" w:type="dxa"/>
            <w:vAlign w:val="center"/>
          </w:tcPr>
          <w:p>
            <w:pPr>
              <w:jc w:val="center"/>
              <w:rPr>
                <w:color w:val="auto"/>
                <w:szCs w:val="21"/>
              </w:rPr>
            </w:pPr>
            <w:r>
              <w:rPr>
                <w:color w:val="auto"/>
                <w:szCs w:val="21"/>
              </w:rPr>
              <w:t>0.162</w:t>
            </w:r>
          </w:p>
        </w:tc>
        <w:tc>
          <w:tcPr>
            <w:tcW w:w="1421" w:type="dxa"/>
            <w:vAlign w:val="center"/>
          </w:tcPr>
          <w:p>
            <w:pPr>
              <w:jc w:val="center"/>
              <w:rPr>
                <w:color w:val="auto"/>
                <w:szCs w:val="21"/>
              </w:rPr>
            </w:pPr>
            <w:r>
              <w:rPr>
                <w:color w:val="auto"/>
                <w:szCs w:val="21"/>
              </w:rPr>
              <w:t>10</w:t>
            </w:r>
          </w:p>
        </w:tc>
        <w:tc>
          <w:tcPr>
            <w:tcW w:w="1421" w:type="dxa"/>
            <w:vAlign w:val="center"/>
          </w:tcPr>
          <w:p>
            <w:pPr>
              <w:jc w:val="center"/>
              <w:rPr>
                <w:color w:val="auto"/>
                <w:szCs w:val="21"/>
              </w:rPr>
            </w:pPr>
            <w:r>
              <w:rPr>
                <w:color w:val="auto"/>
                <w:szCs w:val="21"/>
              </w:rPr>
              <w:t>0.020</w:t>
            </w:r>
          </w:p>
        </w:tc>
      </w:tr>
    </w:tbl>
    <w:p>
      <w:pPr>
        <w:pStyle w:val="32"/>
        <w:spacing w:line="360" w:lineRule="auto"/>
        <w:ind w:firstLine="480" w:firstLineChars="200"/>
        <w:rPr>
          <w:color w:val="auto"/>
          <w:kern w:val="2"/>
        </w:rPr>
      </w:pPr>
      <w:r>
        <w:rPr>
          <w:rFonts w:hint="eastAsia"/>
          <w:color w:val="auto"/>
          <w:kern w:val="2"/>
        </w:rPr>
        <w:t>为判断现有项目污水口排放达标情况，信兴公司委托深圳市高迪科技有限公司于2020年6月3日到厂内污水排放口进行取样检测（报告编号：SN006L0022，见附件14），检测结果如下表。</w:t>
      </w:r>
    </w:p>
    <w:p>
      <w:pPr>
        <w:pStyle w:val="32"/>
        <w:jc w:val="center"/>
        <w:rPr>
          <w:b/>
          <w:bCs/>
          <w:color w:val="auto"/>
          <w:sz w:val="21"/>
          <w:szCs w:val="21"/>
        </w:rPr>
      </w:pPr>
      <w:r>
        <w:rPr>
          <w:rFonts w:hint="eastAsia"/>
          <w:b/>
          <w:bCs/>
          <w:color w:val="auto"/>
          <w:sz w:val="21"/>
          <w:szCs w:val="21"/>
        </w:rPr>
        <w:t>表3.1-8  现有项目生活污水排放检测结果</w:t>
      </w:r>
    </w:p>
    <w:tbl>
      <w:tblPr>
        <w:tblStyle w:val="24"/>
        <w:tblW w:w="89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1789"/>
        <w:gridCol w:w="2210"/>
        <w:gridCol w:w="1368"/>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Align w:val="center"/>
          </w:tcPr>
          <w:p>
            <w:pPr>
              <w:spacing w:line="300" w:lineRule="auto"/>
              <w:jc w:val="center"/>
              <w:rPr>
                <w:color w:val="auto"/>
                <w:sz w:val="24"/>
              </w:rPr>
            </w:pPr>
            <w:r>
              <w:rPr>
                <w:color w:val="auto"/>
                <w:szCs w:val="21"/>
              </w:rPr>
              <w:t>检测点位</w:t>
            </w:r>
          </w:p>
        </w:tc>
        <w:tc>
          <w:tcPr>
            <w:tcW w:w="1789" w:type="dxa"/>
            <w:vAlign w:val="center"/>
          </w:tcPr>
          <w:p>
            <w:pPr>
              <w:spacing w:line="300" w:lineRule="auto"/>
              <w:jc w:val="center"/>
              <w:rPr>
                <w:color w:val="auto"/>
                <w:sz w:val="24"/>
              </w:rPr>
            </w:pPr>
            <w:r>
              <w:rPr>
                <w:color w:val="auto"/>
                <w:szCs w:val="21"/>
              </w:rPr>
              <w:t>检测项目</w:t>
            </w:r>
          </w:p>
        </w:tc>
        <w:tc>
          <w:tcPr>
            <w:tcW w:w="2210" w:type="dxa"/>
            <w:vAlign w:val="center"/>
          </w:tcPr>
          <w:p>
            <w:pPr>
              <w:spacing w:line="300" w:lineRule="auto"/>
              <w:jc w:val="center"/>
              <w:rPr>
                <w:color w:val="auto"/>
                <w:sz w:val="24"/>
              </w:rPr>
            </w:pPr>
            <w:r>
              <w:rPr>
                <w:color w:val="auto"/>
                <w:szCs w:val="21"/>
              </w:rPr>
              <w:t>检测结果</w:t>
            </w:r>
          </w:p>
        </w:tc>
        <w:tc>
          <w:tcPr>
            <w:tcW w:w="1368" w:type="dxa"/>
            <w:vMerge w:val="restart"/>
            <w:vAlign w:val="center"/>
          </w:tcPr>
          <w:p>
            <w:pPr>
              <w:spacing w:line="300" w:lineRule="auto"/>
              <w:jc w:val="center"/>
              <w:rPr>
                <w:color w:val="auto"/>
                <w:sz w:val="24"/>
              </w:rPr>
            </w:pPr>
            <w:r>
              <w:rPr>
                <w:color w:val="auto"/>
                <w:szCs w:val="21"/>
              </w:rPr>
              <w:t>评价标准</w:t>
            </w:r>
          </w:p>
        </w:tc>
        <w:tc>
          <w:tcPr>
            <w:tcW w:w="1789" w:type="dxa"/>
            <w:vMerge w:val="restart"/>
            <w:vAlign w:val="center"/>
          </w:tcPr>
          <w:p>
            <w:pPr>
              <w:spacing w:line="300" w:lineRule="auto"/>
              <w:jc w:val="center"/>
              <w:rPr>
                <w:color w:val="auto"/>
                <w:sz w:val="24"/>
              </w:rPr>
            </w:pPr>
            <w:r>
              <w:rPr>
                <w:color w:val="auto"/>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restart"/>
            <w:vAlign w:val="center"/>
          </w:tcPr>
          <w:p>
            <w:pPr>
              <w:spacing w:line="300" w:lineRule="auto"/>
              <w:jc w:val="center"/>
              <w:rPr>
                <w:color w:val="auto"/>
                <w:szCs w:val="21"/>
              </w:rPr>
            </w:pPr>
            <w:r>
              <w:rPr>
                <w:color w:val="auto"/>
                <w:szCs w:val="21"/>
              </w:rPr>
              <w:t>生活污水</w:t>
            </w:r>
          </w:p>
          <w:p>
            <w:pPr>
              <w:spacing w:line="300" w:lineRule="auto"/>
              <w:jc w:val="center"/>
              <w:rPr>
                <w:color w:val="auto"/>
                <w:sz w:val="24"/>
              </w:rPr>
            </w:pPr>
            <w:r>
              <w:rPr>
                <w:color w:val="auto"/>
                <w:szCs w:val="21"/>
              </w:rPr>
              <w:t>排放口</w:t>
            </w:r>
          </w:p>
        </w:tc>
        <w:tc>
          <w:tcPr>
            <w:tcW w:w="1789" w:type="dxa"/>
            <w:vAlign w:val="center"/>
          </w:tcPr>
          <w:p>
            <w:pPr>
              <w:spacing w:line="300" w:lineRule="auto"/>
              <w:jc w:val="center"/>
              <w:rPr>
                <w:color w:val="auto"/>
                <w:sz w:val="24"/>
              </w:rPr>
            </w:pPr>
            <w:r>
              <w:rPr>
                <w:color w:val="auto"/>
                <w:szCs w:val="21"/>
              </w:rPr>
              <w:t>样品状态</w:t>
            </w:r>
          </w:p>
        </w:tc>
        <w:tc>
          <w:tcPr>
            <w:tcW w:w="2210" w:type="dxa"/>
            <w:vAlign w:val="center"/>
          </w:tcPr>
          <w:p>
            <w:pPr>
              <w:spacing w:line="300" w:lineRule="auto"/>
              <w:jc w:val="center"/>
              <w:rPr>
                <w:color w:val="auto"/>
                <w:sz w:val="24"/>
              </w:rPr>
            </w:pPr>
            <w:r>
              <w:rPr>
                <w:rFonts w:hint="eastAsia"/>
                <w:color w:val="auto"/>
                <w:szCs w:val="21"/>
              </w:rPr>
              <w:t>无</w:t>
            </w:r>
            <w:r>
              <w:rPr>
                <w:color w:val="auto"/>
                <w:szCs w:val="21"/>
              </w:rPr>
              <w:t>色、无味、无浮油</w:t>
            </w:r>
          </w:p>
        </w:tc>
        <w:tc>
          <w:tcPr>
            <w:tcW w:w="1368" w:type="dxa"/>
            <w:vMerge w:val="continue"/>
            <w:vAlign w:val="center"/>
          </w:tcPr>
          <w:p>
            <w:pPr>
              <w:spacing w:line="300" w:lineRule="auto"/>
              <w:jc w:val="center"/>
              <w:rPr>
                <w:color w:val="auto"/>
                <w:sz w:val="24"/>
              </w:rPr>
            </w:pPr>
          </w:p>
        </w:tc>
        <w:tc>
          <w:tcPr>
            <w:tcW w:w="1789" w:type="dxa"/>
            <w:vMerge w:val="continue"/>
            <w:vAlign w:val="center"/>
          </w:tcPr>
          <w:p>
            <w:pPr>
              <w:spacing w:line="300" w:lineRule="auto"/>
              <w:jc w:val="cente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continue"/>
            <w:vAlign w:val="center"/>
          </w:tcPr>
          <w:p>
            <w:pPr>
              <w:spacing w:line="300" w:lineRule="auto"/>
              <w:jc w:val="center"/>
              <w:rPr>
                <w:color w:val="auto"/>
                <w:sz w:val="24"/>
              </w:rPr>
            </w:pPr>
          </w:p>
        </w:tc>
        <w:tc>
          <w:tcPr>
            <w:tcW w:w="1789" w:type="dxa"/>
            <w:vAlign w:val="center"/>
          </w:tcPr>
          <w:p>
            <w:pPr>
              <w:spacing w:line="300" w:lineRule="auto"/>
              <w:jc w:val="center"/>
              <w:rPr>
                <w:color w:val="auto"/>
                <w:sz w:val="24"/>
              </w:rPr>
            </w:pPr>
            <w:r>
              <w:rPr>
                <w:color w:val="auto"/>
                <w:szCs w:val="21"/>
              </w:rPr>
              <w:t>SS</w:t>
            </w:r>
          </w:p>
        </w:tc>
        <w:tc>
          <w:tcPr>
            <w:tcW w:w="2210" w:type="dxa"/>
            <w:vAlign w:val="center"/>
          </w:tcPr>
          <w:p>
            <w:pPr>
              <w:spacing w:line="300" w:lineRule="auto"/>
              <w:jc w:val="center"/>
              <w:rPr>
                <w:color w:val="auto"/>
                <w:sz w:val="24"/>
              </w:rPr>
            </w:pPr>
            <w:r>
              <w:rPr>
                <w:rFonts w:hint="eastAsia"/>
                <w:color w:val="auto"/>
                <w:szCs w:val="21"/>
              </w:rPr>
              <w:t>46</w:t>
            </w:r>
          </w:p>
        </w:tc>
        <w:tc>
          <w:tcPr>
            <w:tcW w:w="1368" w:type="dxa"/>
            <w:vAlign w:val="center"/>
          </w:tcPr>
          <w:p>
            <w:pPr>
              <w:spacing w:line="300" w:lineRule="auto"/>
              <w:jc w:val="center"/>
              <w:rPr>
                <w:color w:val="auto"/>
                <w:sz w:val="24"/>
              </w:rPr>
            </w:pPr>
            <w:r>
              <w:rPr>
                <w:color w:val="auto"/>
                <w:szCs w:val="21"/>
              </w:rPr>
              <w:t>60</w:t>
            </w:r>
          </w:p>
        </w:tc>
        <w:tc>
          <w:tcPr>
            <w:tcW w:w="1789" w:type="dxa"/>
            <w:vAlign w:val="center"/>
          </w:tcPr>
          <w:p>
            <w:pPr>
              <w:spacing w:line="300" w:lineRule="auto"/>
              <w:jc w:val="center"/>
              <w:rPr>
                <w:color w:val="auto"/>
                <w:sz w:val="24"/>
              </w:rPr>
            </w:pPr>
            <w:r>
              <w:rPr>
                <w:color w:val="auto"/>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continue"/>
            <w:vAlign w:val="center"/>
          </w:tcPr>
          <w:p>
            <w:pPr>
              <w:spacing w:line="300" w:lineRule="auto"/>
              <w:jc w:val="center"/>
              <w:rPr>
                <w:color w:val="auto"/>
                <w:sz w:val="24"/>
              </w:rPr>
            </w:pPr>
          </w:p>
        </w:tc>
        <w:tc>
          <w:tcPr>
            <w:tcW w:w="1789" w:type="dxa"/>
            <w:vAlign w:val="center"/>
          </w:tcPr>
          <w:p>
            <w:pPr>
              <w:spacing w:line="300" w:lineRule="auto"/>
              <w:jc w:val="center"/>
              <w:rPr>
                <w:color w:val="auto"/>
                <w:sz w:val="24"/>
              </w:rPr>
            </w:pPr>
            <w:r>
              <w:rPr>
                <w:color w:val="auto"/>
                <w:szCs w:val="21"/>
              </w:rPr>
              <w:t>COD</w:t>
            </w:r>
            <w:r>
              <w:rPr>
                <w:color w:val="auto"/>
                <w:szCs w:val="21"/>
                <w:vertAlign w:val="subscript"/>
              </w:rPr>
              <w:t>Cr</w:t>
            </w:r>
          </w:p>
        </w:tc>
        <w:tc>
          <w:tcPr>
            <w:tcW w:w="2210" w:type="dxa"/>
            <w:vAlign w:val="center"/>
          </w:tcPr>
          <w:p>
            <w:pPr>
              <w:spacing w:line="300" w:lineRule="auto"/>
              <w:jc w:val="center"/>
              <w:rPr>
                <w:color w:val="auto"/>
                <w:sz w:val="24"/>
              </w:rPr>
            </w:pPr>
            <w:r>
              <w:rPr>
                <w:rFonts w:hint="eastAsia"/>
                <w:color w:val="auto"/>
                <w:szCs w:val="21"/>
              </w:rPr>
              <w:t>78</w:t>
            </w:r>
          </w:p>
        </w:tc>
        <w:tc>
          <w:tcPr>
            <w:tcW w:w="1368" w:type="dxa"/>
            <w:vAlign w:val="center"/>
          </w:tcPr>
          <w:p>
            <w:pPr>
              <w:spacing w:line="300" w:lineRule="auto"/>
              <w:jc w:val="center"/>
              <w:rPr>
                <w:color w:val="auto"/>
                <w:sz w:val="24"/>
              </w:rPr>
            </w:pPr>
            <w:r>
              <w:rPr>
                <w:color w:val="auto"/>
                <w:szCs w:val="21"/>
              </w:rPr>
              <w:t>90</w:t>
            </w:r>
          </w:p>
        </w:tc>
        <w:tc>
          <w:tcPr>
            <w:tcW w:w="1789" w:type="dxa"/>
            <w:vAlign w:val="center"/>
          </w:tcPr>
          <w:p>
            <w:pPr>
              <w:spacing w:line="300" w:lineRule="auto"/>
              <w:jc w:val="center"/>
              <w:rPr>
                <w:color w:val="auto"/>
                <w:sz w:val="24"/>
              </w:rPr>
            </w:pPr>
            <w:r>
              <w:rPr>
                <w:color w:val="auto"/>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continue"/>
            <w:vAlign w:val="center"/>
          </w:tcPr>
          <w:p>
            <w:pPr>
              <w:spacing w:line="300" w:lineRule="auto"/>
              <w:jc w:val="center"/>
              <w:rPr>
                <w:color w:val="auto"/>
                <w:sz w:val="24"/>
              </w:rPr>
            </w:pPr>
          </w:p>
        </w:tc>
        <w:tc>
          <w:tcPr>
            <w:tcW w:w="1789" w:type="dxa"/>
            <w:vAlign w:val="center"/>
          </w:tcPr>
          <w:p>
            <w:pPr>
              <w:spacing w:line="300" w:lineRule="auto"/>
              <w:jc w:val="center"/>
              <w:rPr>
                <w:color w:val="auto"/>
                <w:sz w:val="24"/>
              </w:rPr>
            </w:pPr>
            <w:r>
              <w:rPr>
                <w:rFonts w:hint="eastAsia"/>
                <w:color w:val="auto"/>
                <w:szCs w:val="21"/>
              </w:rPr>
              <w:t>BOD</w:t>
            </w:r>
            <w:r>
              <w:rPr>
                <w:rFonts w:hint="eastAsia"/>
                <w:color w:val="auto"/>
                <w:szCs w:val="21"/>
                <w:vertAlign w:val="subscript"/>
              </w:rPr>
              <w:t>5</w:t>
            </w:r>
          </w:p>
        </w:tc>
        <w:tc>
          <w:tcPr>
            <w:tcW w:w="2210" w:type="dxa"/>
            <w:vAlign w:val="center"/>
          </w:tcPr>
          <w:p>
            <w:pPr>
              <w:spacing w:line="300" w:lineRule="auto"/>
              <w:jc w:val="center"/>
              <w:rPr>
                <w:color w:val="auto"/>
                <w:sz w:val="24"/>
              </w:rPr>
            </w:pPr>
            <w:r>
              <w:rPr>
                <w:rFonts w:hint="eastAsia"/>
                <w:color w:val="auto"/>
                <w:szCs w:val="21"/>
              </w:rPr>
              <w:t>15</w:t>
            </w:r>
          </w:p>
        </w:tc>
        <w:tc>
          <w:tcPr>
            <w:tcW w:w="1368" w:type="dxa"/>
            <w:vAlign w:val="center"/>
          </w:tcPr>
          <w:p>
            <w:pPr>
              <w:spacing w:line="300" w:lineRule="auto"/>
              <w:jc w:val="center"/>
              <w:rPr>
                <w:color w:val="auto"/>
                <w:sz w:val="24"/>
              </w:rPr>
            </w:pPr>
            <w:r>
              <w:rPr>
                <w:color w:val="auto"/>
                <w:szCs w:val="21"/>
              </w:rPr>
              <w:t>20</w:t>
            </w:r>
          </w:p>
        </w:tc>
        <w:tc>
          <w:tcPr>
            <w:tcW w:w="1789" w:type="dxa"/>
            <w:vAlign w:val="center"/>
          </w:tcPr>
          <w:p>
            <w:pPr>
              <w:spacing w:line="300" w:lineRule="auto"/>
              <w:jc w:val="center"/>
              <w:rPr>
                <w:color w:val="auto"/>
                <w:sz w:val="24"/>
              </w:rPr>
            </w:pPr>
            <w:r>
              <w:rPr>
                <w:color w:val="auto"/>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continue"/>
            <w:vAlign w:val="center"/>
          </w:tcPr>
          <w:p>
            <w:pPr>
              <w:spacing w:line="300" w:lineRule="auto"/>
              <w:jc w:val="center"/>
              <w:rPr>
                <w:color w:val="auto"/>
                <w:sz w:val="24"/>
              </w:rPr>
            </w:pPr>
          </w:p>
        </w:tc>
        <w:tc>
          <w:tcPr>
            <w:tcW w:w="1789" w:type="dxa"/>
            <w:vAlign w:val="center"/>
          </w:tcPr>
          <w:p>
            <w:pPr>
              <w:spacing w:line="300" w:lineRule="auto"/>
              <w:jc w:val="center"/>
              <w:rPr>
                <w:color w:val="auto"/>
                <w:sz w:val="24"/>
              </w:rPr>
            </w:pPr>
            <w:r>
              <w:rPr>
                <w:color w:val="auto"/>
                <w:szCs w:val="21"/>
              </w:rPr>
              <w:t>氨氮</w:t>
            </w:r>
          </w:p>
        </w:tc>
        <w:tc>
          <w:tcPr>
            <w:tcW w:w="2210" w:type="dxa"/>
            <w:vAlign w:val="center"/>
          </w:tcPr>
          <w:p>
            <w:pPr>
              <w:spacing w:line="300" w:lineRule="auto"/>
              <w:jc w:val="center"/>
              <w:rPr>
                <w:color w:val="auto"/>
                <w:sz w:val="24"/>
              </w:rPr>
            </w:pPr>
            <w:r>
              <w:rPr>
                <w:rFonts w:hint="eastAsia"/>
                <w:color w:val="auto"/>
                <w:szCs w:val="21"/>
              </w:rPr>
              <w:t>7.82</w:t>
            </w:r>
          </w:p>
        </w:tc>
        <w:tc>
          <w:tcPr>
            <w:tcW w:w="1368" w:type="dxa"/>
            <w:vAlign w:val="center"/>
          </w:tcPr>
          <w:p>
            <w:pPr>
              <w:spacing w:line="300" w:lineRule="auto"/>
              <w:jc w:val="center"/>
              <w:rPr>
                <w:color w:val="auto"/>
                <w:sz w:val="24"/>
              </w:rPr>
            </w:pPr>
            <w:r>
              <w:rPr>
                <w:color w:val="auto"/>
                <w:szCs w:val="21"/>
              </w:rPr>
              <w:t>10</w:t>
            </w:r>
          </w:p>
        </w:tc>
        <w:tc>
          <w:tcPr>
            <w:tcW w:w="1789" w:type="dxa"/>
            <w:vAlign w:val="center"/>
          </w:tcPr>
          <w:p>
            <w:pPr>
              <w:spacing w:line="300" w:lineRule="auto"/>
              <w:jc w:val="center"/>
              <w:rPr>
                <w:color w:val="auto"/>
                <w:sz w:val="24"/>
              </w:rPr>
            </w:pPr>
            <w:r>
              <w:rPr>
                <w:color w:val="auto"/>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8" w:type="dxa"/>
            <w:vMerge w:val="continue"/>
            <w:vAlign w:val="center"/>
          </w:tcPr>
          <w:p>
            <w:pPr>
              <w:spacing w:line="300" w:lineRule="auto"/>
              <w:jc w:val="center"/>
              <w:rPr>
                <w:color w:val="auto"/>
                <w:sz w:val="24"/>
              </w:rPr>
            </w:pPr>
          </w:p>
        </w:tc>
        <w:tc>
          <w:tcPr>
            <w:tcW w:w="1789" w:type="dxa"/>
            <w:vAlign w:val="center"/>
          </w:tcPr>
          <w:p>
            <w:pPr>
              <w:spacing w:line="300" w:lineRule="auto"/>
              <w:jc w:val="center"/>
              <w:rPr>
                <w:color w:val="auto"/>
                <w:sz w:val="24"/>
              </w:rPr>
            </w:pPr>
            <w:r>
              <w:rPr>
                <w:color w:val="auto"/>
                <w:szCs w:val="21"/>
              </w:rPr>
              <w:t>总磷</w:t>
            </w:r>
          </w:p>
        </w:tc>
        <w:tc>
          <w:tcPr>
            <w:tcW w:w="2210" w:type="dxa"/>
            <w:vAlign w:val="center"/>
          </w:tcPr>
          <w:p>
            <w:pPr>
              <w:spacing w:line="300" w:lineRule="auto"/>
              <w:jc w:val="center"/>
              <w:rPr>
                <w:color w:val="auto"/>
                <w:sz w:val="24"/>
              </w:rPr>
            </w:pPr>
            <w:r>
              <w:rPr>
                <w:rFonts w:hint="eastAsia"/>
                <w:color w:val="auto"/>
                <w:szCs w:val="21"/>
              </w:rPr>
              <w:t>0.34</w:t>
            </w:r>
          </w:p>
        </w:tc>
        <w:tc>
          <w:tcPr>
            <w:tcW w:w="1368" w:type="dxa"/>
            <w:vAlign w:val="center"/>
          </w:tcPr>
          <w:p>
            <w:pPr>
              <w:spacing w:line="300" w:lineRule="auto"/>
              <w:jc w:val="center"/>
              <w:rPr>
                <w:color w:val="auto"/>
                <w:sz w:val="24"/>
              </w:rPr>
            </w:pPr>
            <w:r>
              <w:rPr>
                <w:color w:val="auto"/>
                <w:szCs w:val="21"/>
              </w:rPr>
              <w:t>0.5</w:t>
            </w:r>
          </w:p>
        </w:tc>
        <w:tc>
          <w:tcPr>
            <w:tcW w:w="1789" w:type="dxa"/>
            <w:vAlign w:val="center"/>
          </w:tcPr>
          <w:p>
            <w:pPr>
              <w:spacing w:line="300" w:lineRule="auto"/>
              <w:jc w:val="center"/>
              <w:rPr>
                <w:color w:val="auto"/>
                <w:sz w:val="24"/>
              </w:rPr>
            </w:pPr>
            <w:r>
              <w:rPr>
                <w:color w:val="auto"/>
                <w:szCs w:val="21"/>
              </w:rPr>
              <w:t>mg/L</w:t>
            </w:r>
          </w:p>
        </w:tc>
      </w:tr>
    </w:tbl>
    <w:p>
      <w:pPr>
        <w:spacing w:line="360" w:lineRule="auto"/>
        <w:ind w:firstLine="480" w:firstLineChars="200"/>
        <w:jc w:val="left"/>
        <w:rPr>
          <w:color w:val="auto"/>
          <w:sz w:val="24"/>
        </w:rPr>
      </w:pPr>
      <w:r>
        <w:rPr>
          <w:rFonts w:hint="eastAsia"/>
          <w:color w:val="auto"/>
          <w:sz w:val="24"/>
        </w:rPr>
        <w:t>从上表可知，现有项目生活污水各指标监测结果均符合广东省地方标准《水污染物排放限值》（DB44/26-2001）第二时段一级标准。</w:t>
      </w:r>
    </w:p>
    <w:p>
      <w:pPr>
        <w:numPr>
          <w:ilvl w:val="0"/>
          <w:numId w:val="8"/>
        </w:numPr>
        <w:spacing w:line="360" w:lineRule="auto"/>
        <w:ind w:firstLine="480" w:firstLineChars="200"/>
        <w:rPr>
          <w:color w:val="auto"/>
          <w:sz w:val="24"/>
        </w:rPr>
      </w:pPr>
      <w:r>
        <w:rPr>
          <w:color w:val="auto"/>
          <w:sz w:val="24"/>
        </w:rPr>
        <w:t>废气达标性分析</w:t>
      </w:r>
    </w:p>
    <w:p>
      <w:pPr>
        <w:spacing w:line="360" w:lineRule="auto"/>
        <w:ind w:firstLine="480" w:firstLineChars="200"/>
        <w:rPr>
          <w:color w:val="auto"/>
          <w:sz w:val="24"/>
        </w:rPr>
      </w:pPr>
      <w:r>
        <w:rPr>
          <w:rFonts w:hint="eastAsia"/>
          <w:color w:val="auto"/>
          <w:sz w:val="24"/>
        </w:rPr>
        <w:t>现有项目</w:t>
      </w:r>
      <w:r>
        <w:rPr>
          <w:color w:val="auto"/>
          <w:sz w:val="24"/>
        </w:rPr>
        <w:t>营运期产生的大气污染物主要为破碎工</w:t>
      </w:r>
      <w:r>
        <w:rPr>
          <w:rFonts w:hint="eastAsia"/>
          <w:color w:val="auto"/>
          <w:sz w:val="24"/>
        </w:rPr>
        <w:t>序</w:t>
      </w:r>
      <w:r>
        <w:rPr>
          <w:color w:val="auto"/>
          <w:sz w:val="24"/>
        </w:rPr>
        <w:t>中产生的颗粒物</w:t>
      </w:r>
      <w:r>
        <w:rPr>
          <w:rFonts w:hint="eastAsia"/>
          <w:color w:val="auto"/>
          <w:sz w:val="24"/>
        </w:rPr>
        <w:t>、树脂粉烘干时产生的非甲烷总烃</w:t>
      </w:r>
      <w:r>
        <w:rPr>
          <w:rFonts w:hint="eastAsia"/>
          <w:color w:val="auto"/>
          <w:sz w:val="24"/>
          <w:lang w:eastAsia="zh-CN"/>
        </w:rPr>
        <w:t>、</w:t>
      </w:r>
      <w:r>
        <w:rPr>
          <w:rFonts w:hint="eastAsia"/>
          <w:color w:val="auto"/>
          <w:sz w:val="24"/>
        </w:rPr>
        <w:t>食堂烹饪时产生的油烟</w:t>
      </w:r>
      <w:r>
        <w:rPr>
          <w:rFonts w:hint="eastAsia"/>
          <w:color w:val="auto"/>
          <w:sz w:val="24"/>
          <w:lang w:val="en-US" w:eastAsia="zh-CN"/>
        </w:rPr>
        <w:t>好和铲车尾气</w:t>
      </w:r>
      <w:r>
        <w:rPr>
          <w:rFonts w:hint="eastAsia"/>
          <w:color w:val="auto"/>
          <w:sz w:val="24"/>
        </w:rPr>
        <w:t>。</w:t>
      </w:r>
    </w:p>
    <w:p>
      <w:pPr>
        <w:spacing w:line="360" w:lineRule="auto"/>
        <w:ind w:firstLine="480" w:firstLineChars="200"/>
        <w:rPr>
          <w:color w:val="auto"/>
          <w:sz w:val="24"/>
        </w:rPr>
      </w:pPr>
      <w:r>
        <w:rPr>
          <w:rFonts w:hint="eastAsia"/>
          <w:color w:val="auto"/>
          <w:sz w:val="24"/>
        </w:rPr>
        <w:t>（1）颗粒物</w:t>
      </w:r>
    </w:p>
    <w:p>
      <w:pPr>
        <w:spacing w:line="360" w:lineRule="auto"/>
        <w:ind w:firstLine="480" w:firstLineChars="200"/>
        <w:rPr>
          <w:color w:val="auto"/>
          <w:sz w:val="24"/>
        </w:rPr>
      </w:pPr>
      <w:r>
        <w:rPr>
          <w:rFonts w:hint="eastAsia"/>
          <w:color w:val="auto"/>
          <w:sz w:val="24"/>
        </w:rPr>
        <w:t>本项目的湿式破碎生产线粉尘产生量按0.07kg/t-原料计算，故颗粒物产生量为0.21t/a</w:t>
      </w:r>
      <w:r>
        <w:rPr>
          <w:color w:val="auto"/>
          <w:sz w:val="24"/>
        </w:rPr>
        <w:t>。项目现采用</w:t>
      </w:r>
      <w:r>
        <w:rPr>
          <w:rFonts w:hint="eastAsia"/>
          <w:color w:val="auto"/>
          <w:sz w:val="24"/>
        </w:rPr>
        <w:t>双桶</w:t>
      </w:r>
      <w:r>
        <w:rPr>
          <w:color w:val="auto"/>
          <w:sz w:val="24"/>
        </w:rPr>
        <w:t>布袋除尘器进行处理，处理后以无组织形式排放。收集效率按70%，效率按80%计算，</w:t>
      </w:r>
      <w:r>
        <w:rPr>
          <w:rFonts w:hint="eastAsia"/>
          <w:color w:val="auto"/>
          <w:sz w:val="24"/>
        </w:rPr>
        <w:t>则</w:t>
      </w:r>
      <w:r>
        <w:rPr>
          <w:color w:val="auto"/>
          <w:sz w:val="24"/>
        </w:rPr>
        <w:t>颗粒物排放量为0.0</w:t>
      </w:r>
      <w:r>
        <w:rPr>
          <w:rFonts w:hint="eastAsia"/>
          <w:color w:val="auto"/>
          <w:sz w:val="24"/>
        </w:rPr>
        <w:t>924</w:t>
      </w:r>
      <w:r>
        <w:rPr>
          <w:color w:val="auto"/>
          <w:sz w:val="24"/>
        </w:rPr>
        <w:t>t/a。</w:t>
      </w:r>
    </w:p>
    <w:p>
      <w:pPr>
        <w:spacing w:line="360" w:lineRule="auto"/>
        <w:ind w:firstLine="480" w:firstLineChars="200"/>
        <w:rPr>
          <w:color w:val="auto"/>
        </w:rPr>
      </w:pPr>
      <w:r>
        <w:rPr>
          <w:rFonts w:hint="eastAsia"/>
          <w:color w:val="auto"/>
          <w:sz w:val="24"/>
        </w:rPr>
        <w:t>（2）非甲烷总烃</w:t>
      </w:r>
    </w:p>
    <w:p>
      <w:pPr>
        <w:spacing w:line="360" w:lineRule="auto"/>
        <w:ind w:firstLine="480" w:firstLineChars="200"/>
        <w:rPr>
          <w:color w:val="auto"/>
          <w:sz w:val="24"/>
        </w:rPr>
      </w:pPr>
      <w:r>
        <w:rPr>
          <w:color w:val="auto"/>
          <w:sz w:val="24"/>
        </w:rPr>
        <w:t>《国家危险废物名录》2016年更新</w:t>
      </w:r>
      <w:r>
        <w:rPr>
          <w:rFonts w:hint="eastAsia"/>
          <w:color w:val="auto"/>
          <w:sz w:val="24"/>
        </w:rPr>
        <w:t>后，</w:t>
      </w:r>
      <w:r>
        <w:rPr>
          <w:color w:val="auto"/>
          <w:sz w:val="24"/>
        </w:rPr>
        <w:t>废</w:t>
      </w:r>
      <w:r>
        <w:rPr>
          <w:rFonts w:hint="eastAsia"/>
          <w:color w:val="auto"/>
          <w:sz w:val="24"/>
        </w:rPr>
        <w:t>树脂粉被归为危险废物，</w:t>
      </w:r>
      <w:r>
        <w:rPr>
          <w:color w:val="auto"/>
          <w:sz w:val="24"/>
        </w:rPr>
        <w:t>其属性为HW13有机树脂类危险废物(900-451-13)，需要</w:t>
      </w:r>
      <w:r>
        <w:rPr>
          <w:rFonts w:hint="eastAsia"/>
          <w:color w:val="auto"/>
          <w:sz w:val="24"/>
        </w:rPr>
        <w:t>按</w:t>
      </w:r>
      <w:r>
        <w:rPr>
          <w:color w:val="auto"/>
          <w:sz w:val="24"/>
        </w:rPr>
        <w:t>危险废物来处置</w:t>
      </w:r>
      <w:r>
        <w:rPr>
          <w:rFonts w:hint="eastAsia"/>
          <w:color w:val="auto"/>
          <w:sz w:val="24"/>
        </w:rPr>
        <w:t>。</w:t>
      </w:r>
      <w:r>
        <w:rPr>
          <w:color w:val="auto"/>
          <w:sz w:val="24"/>
        </w:rPr>
        <w:t>信兴公司</w:t>
      </w:r>
      <w:r>
        <w:rPr>
          <w:rFonts w:hint="eastAsia"/>
          <w:color w:val="auto"/>
          <w:sz w:val="24"/>
        </w:rPr>
        <w:t>交由</w:t>
      </w:r>
      <w:r>
        <w:rPr>
          <w:color w:val="auto"/>
          <w:sz w:val="24"/>
        </w:rPr>
        <w:t>青山垃圾填埋场</w:t>
      </w:r>
      <w:r>
        <w:rPr>
          <w:rFonts w:hint="eastAsia"/>
          <w:color w:val="auto"/>
          <w:sz w:val="24"/>
        </w:rPr>
        <w:t>运走处理。</w:t>
      </w:r>
      <w:r>
        <w:rPr>
          <w:color w:val="auto"/>
          <w:sz w:val="24"/>
        </w:rPr>
        <w:t>青山垃圾填埋场</w:t>
      </w:r>
      <w:r>
        <w:rPr>
          <w:rFonts w:hint="eastAsia"/>
          <w:color w:val="auto"/>
          <w:sz w:val="24"/>
        </w:rPr>
        <w:t>对</w:t>
      </w:r>
      <w:r>
        <w:rPr>
          <w:color w:val="auto"/>
          <w:sz w:val="24"/>
        </w:rPr>
        <w:t>废树脂粉</w:t>
      </w:r>
      <w:r>
        <w:rPr>
          <w:rFonts w:hint="eastAsia"/>
          <w:color w:val="auto"/>
          <w:sz w:val="24"/>
        </w:rPr>
        <w:t>的回收要求为干燥、无滴液。由于在生产过程中需用水进行分选，故现有项目产生的</w:t>
      </w:r>
      <w:r>
        <w:rPr>
          <w:color w:val="auto"/>
          <w:sz w:val="24"/>
        </w:rPr>
        <w:t>废树脂粉</w:t>
      </w:r>
      <w:r>
        <w:rPr>
          <w:rFonts w:hint="eastAsia"/>
          <w:color w:val="auto"/>
          <w:sz w:val="24"/>
        </w:rPr>
        <w:t>中含有较多的水分。为达到</w:t>
      </w:r>
      <w:r>
        <w:rPr>
          <w:color w:val="auto"/>
          <w:sz w:val="24"/>
        </w:rPr>
        <w:t>青山垃圾填埋场</w:t>
      </w:r>
      <w:r>
        <w:rPr>
          <w:rFonts w:hint="eastAsia"/>
          <w:color w:val="auto"/>
          <w:sz w:val="24"/>
        </w:rPr>
        <w:t>的回收要求，项目使用甩干机（含烘干功能）对废树脂粉进行脱水处理。</w:t>
      </w:r>
    </w:p>
    <w:p>
      <w:pPr>
        <w:spacing w:line="360" w:lineRule="auto"/>
        <w:ind w:firstLine="480" w:firstLineChars="200"/>
        <w:rPr>
          <w:color w:val="auto"/>
          <w:sz w:val="24"/>
        </w:rPr>
      </w:pPr>
      <w:r>
        <w:rPr>
          <w:rFonts w:hint="eastAsia"/>
          <w:color w:val="auto"/>
          <w:sz w:val="24"/>
        </w:rPr>
        <w:t>由于现有项目的管理较为粗放，在破碎前未对覆铜板上覆盖的塑料薄膜进行处理即对其进行破碎，塑料薄膜最终粘附在废树脂粉中。废树脂粉进行烘干时，温度升高至100℃，持续烘干1h。在烘干过程中将有一定量的塑料膜缩卷，甚至分解，会产生非甲烷总烃废气。现有项目在目前的生产过程中对此重视程度不足，产生的非甲烷总烃废气以无组织形式排放。</w:t>
      </w:r>
    </w:p>
    <w:p>
      <w:pPr>
        <w:spacing w:line="360" w:lineRule="auto"/>
        <w:ind w:firstLine="480" w:firstLineChars="200"/>
        <w:rPr>
          <w:rFonts w:hint="eastAsia"/>
          <w:color w:val="auto"/>
          <w:sz w:val="24"/>
        </w:rPr>
      </w:pPr>
      <w:r>
        <w:rPr>
          <w:color w:val="auto"/>
          <w:sz w:val="24"/>
        </w:rPr>
        <w:t>为</w:t>
      </w:r>
      <w:r>
        <w:rPr>
          <w:rFonts w:hint="eastAsia"/>
          <w:color w:val="auto"/>
          <w:sz w:val="24"/>
        </w:rPr>
        <w:t>明确</w:t>
      </w:r>
      <w:r>
        <w:rPr>
          <w:color w:val="auto"/>
          <w:sz w:val="24"/>
        </w:rPr>
        <w:t>现有废</w:t>
      </w:r>
      <w:r>
        <w:rPr>
          <w:rFonts w:hint="eastAsia"/>
          <w:color w:val="auto"/>
          <w:sz w:val="24"/>
        </w:rPr>
        <w:t>树脂粉在烘干过程中产生的非甲烷总烃产生量，信兴公司于2020年6月9日对现有的废树脂粉进行了随机抽样，并委托广州诺博通技术股份有限公司对其进行减重测试。根据《分析报告》（报告编号：BNT20200611860，见附件9），废树脂粉在100℃下烘干1小时，平均减重0.47%。信兴公司年处理覆铜板3000t/a，根据</w:t>
      </w:r>
      <w:r>
        <w:rPr>
          <w:rFonts w:hint="eastAsia"/>
          <w:color w:val="auto"/>
          <w:sz w:val="24"/>
          <w:shd w:val="clear" w:color="auto" w:fill="FFFFFF"/>
        </w:rPr>
        <w:t>《分析报告》（报告编号：BNT20200513001，附件10）</w:t>
      </w:r>
      <w:r>
        <w:rPr>
          <w:rFonts w:hint="eastAsia"/>
          <w:color w:val="auto"/>
          <w:sz w:val="24"/>
        </w:rPr>
        <w:t>，项目回收的覆铜板中废树脂粉含量为21.42%，产生的废树脂粉为642.6t/a。则项目在烘干工序中产生和排放非甲烷总烃的量为3.0202t/a。</w:t>
      </w:r>
    </w:p>
    <w:p>
      <w:pPr>
        <w:spacing w:line="360" w:lineRule="auto"/>
        <w:ind w:firstLine="480" w:firstLineChars="200"/>
        <w:rPr>
          <w:color w:val="auto"/>
          <w:sz w:val="24"/>
        </w:rPr>
      </w:pPr>
      <w:r>
        <w:rPr>
          <w:rFonts w:hint="eastAsia"/>
          <w:color w:val="auto"/>
          <w:sz w:val="24"/>
          <w:shd w:val="clear" w:color="auto" w:fill="FFFFFF"/>
        </w:rPr>
        <w:t>为判断现有项目厂区</w:t>
      </w:r>
      <w:r>
        <w:rPr>
          <w:rFonts w:hint="eastAsia"/>
          <w:color w:val="auto"/>
          <w:sz w:val="24"/>
        </w:rPr>
        <w:t>内工艺废气排放达标情况，信兴公司委托深圳市高迪科技有限公司于2020年6月3日到厂内进行废气检测（报告编号：SN006L0022，见附件14），检测结果如下表，监测点位布置如图3.1-4。</w:t>
      </w:r>
    </w:p>
    <w:p>
      <w:pPr>
        <w:pStyle w:val="32"/>
        <w:jc w:val="center"/>
        <w:rPr>
          <w:rFonts w:hint="eastAsia"/>
          <w:b/>
          <w:bCs/>
          <w:color w:val="auto"/>
          <w:kern w:val="2"/>
          <w:sz w:val="21"/>
          <w:szCs w:val="21"/>
        </w:rPr>
      </w:pPr>
    </w:p>
    <w:p>
      <w:pPr>
        <w:pStyle w:val="32"/>
        <w:jc w:val="center"/>
        <w:rPr>
          <w:rFonts w:hint="eastAsia"/>
          <w:b/>
          <w:bCs/>
          <w:color w:val="auto"/>
          <w:kern w:val="2"/>
          <w:sz w:val="21"/>
          <w:szCs w:val="21"/>
        </w:rPr>
      </w:pPr>
    </w:p>
    <w:p>
      <w:pPr>
        <w:pStyle w:val="32"/>
        <w:jc w:val="center"/>
        <w:rPr>
          <w:rFonts w:hint="eastAsia"/>
          <w:b/>
          <w:bCs/>
          <w:color w:val="auto"/>
          <w:kern w:val="2"/>
          <w:sz w:val="21"/>
          <w:szCs w:val="21"/>
        </w:rPr>
      </w:pPr>
    </w:p>
    <w:p>
      <w:pPr>
        <w:pStyle w:val="32"/>
        <w:jc w:val="center"/>
        <w:rPr>
          <w:b/>
          <w:bCs/>
          <w:color w:val="auto"/>
          <w:sz w:val="21"/>
          <w:szCs w:val="21"/>
        </w:rPr>
      </w:pPr>
      <w:r>
        <w:rPr>
          <w:rFonts w:hint="eastAsia"/>
          <w:b/>
          <w:bCs/>
          <w:color w:val="auto"/>
          <w:kern w:val="2"/>
          <w:sz w:val="21"/>
          <w:szCs w:val="21"/>
        </w:rPr>
        <w:t>表3.1-9  现有项目废气检测结果</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1492"/>
        <w:gridCol w:w="1492"/>
        <w:gridCol w:w="1492"/>
        <w:gridCol w:w="1494"/>
        <w:gridCol w:w="775"/>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66" w:type="dxa"/>
            <w:vMerge w:val="restart"/>
            <w:vAlign w:val="center"/>
          </w:tcPr>
          <w:p>
            <w:pPr>
              <w:spacing w:line="280" w:lineRule="exact"/>
              <w:jc w:val="center"/>
              <w:rPr>
                <w:rFonts w:hAnsi="Arial"/>
                <w:color w:val="auto"/>
                <w:szCs w:val="21"/>
              </w:rPr>
            </w:pPr>
            <w:r>
              <w:rPr>
                <w:rFonts w:hint="eastAsia" w:hAnsi="Arial"/>
                <w:color w:val="auto"/>
                <w:szCs w:val="21"/>
              </w:rPr>
              <w:t>检</w:t>
            </w:r>
            <w:r>
              <w:rPr>
                <w:rFonts w:hAnsi="Arial"/>
                <w:color w:val="auto"/>
                <w:szCs w:val="21"/>
              </w:rPr>
              <w:t>测项目</w:t>
            </w:r>
          </w:p>
        </w:tc>
        <w:tc>
          <w:tcPr>
            <w:tcW w:w="5970" w:type="dxa"/>
            <w:gridSpan w:val="4"/>
            <w:vAlign w:val="center"/>
          </w:tcPr>
          <w:p>
            <w:pPr>
              <w:spacing w:line="280" w:lineRule="exact"/>
              <w:jc w:val="center"/>
              <w:rPr>
                <w:rFonts w:hAnsi="Arial"/>
                <w:color w:val="auto"/>
                <w:szCs w:val="21"/>
              </w:rPr>
            </w:pPr>
            <w:r>
              <w:rPr>
                <w:rFonts w:hint="eastAsia" w:hAnsi="Arial"/>
                <w:color w:val="auto"/>
                <w:szCs w:val="21"/>
              </w:rPr>
              <w:t>检测点位</w:t>
            </w:r>
            <w:r>
              <w:rPr>
                <w:rFonts w:hAnsi="Arial"/>
                <w:color w:val="auto"/>
                <w:szCs w:val="21"/>
              </w:rPr>
              <w:t>及</w:t>
            </w:r>
            <w:r>
              <w:rPr>
                <w:rFonts w:hint="eastAsia" w:hAnsi="Arial"/>
                <w:color w:val="auto"/>
                <w:szCs w:val="21"/>
              </w:rPr>
              <w:t>检</w:t>
            </w:r>
            <w:r>
              <w:rPr>
                <w:rFonts w:hAnsi="Arial"/>
                <w:color w:val="auto"/>
                <w:szCs w:val="21"/>
              </w:rPr>
              <w:t>测结果</w:t>
            </w:r>
          </w:p>
        </w:tc>
        <w:tc>
          <w:tcPr>
            <w:tcW w:w="775" w:type="dxa"/>
            <w:vMerge w:val="restart"/>
            <w:vAlign w:val="center"/>
          </w:tcPr>
          <w:p>
            <w:pPr>
              <w:spacing w:line="280" w:lineRule="exact"/>
              <w:jc w:val="center"/>
              <w:rPr>
                <w:rFonts w:hAnsi="Arial"/>
                <w:color w:val="auto"/>
                <w:szCs w:val="21"/>
              </w:rPr>
            </w:pPr>
            <w:r>
              <w:rPr>
                <w:rFonts w:hint="eastAsia" w:hAnsi="Arial"/>
                <w:color w:val="auto"/>
                <w:szCs w:val="21"/>
              </w:rPr>
              <w:t>评价标准</w:t>
            </w:r>
          </w:p>
        </w:tc>
        <w:tc>
          <w:tcPr>
            <w:tcW w:w="837" w:type="dxa"/>
            <w:vMerge w:val="restart"/>
            <w:vAlign w:val="center"/>
          </w:tcPr>
          <w:p>
            <w:pPr>
              <w:spacing w:line="280" w:lineRule="exact"/>
              <w:jc w:val="center"/>
              <w:rPr>
                <w:rFonts w:hAnsi="Arial"/>
                <w:color w:val="auto"/>
                <w:szCs w:val="21"/>
              </w:rPr>
            </w:pPr>
            <w:r>
              <w:rPr>
                <w:rFonts w:hint="eastAsia" w:hAnsi="Arial"/>
                <w:color w:val="auto"/>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66" w:type="dxa"/>
            <w:vMerge w:val="continue"/>
            <w:vAlign w:val="center"/>
          </w:tcPr>
          <w:p>
            <w:pPr>
              <w:spacing w:line="280" w:lineRule="exact"/>
              <w:jc w:val="center"/>
              <w:rPr>
                <w:rFonts w:hAnsi="Arial"/>
                <w:color w:val="auto"/>
                <w:szCs w:val="21"/>
              </w:rPr>
            </w:pPr>
          </w:p>
        </w:tc>
        <w:tc>
          <w:tcPr>
            <w:tcW w:w="1492" w:type="dxa"/>
            <w:vAlign w:val="center"/>
          </w:tcPr>
          <w:p>
            <w:pPr>
              <w:spacing w:line="280" w:lineRule="exact"/>
              <w:jc w:val="center"/>
              <w:rPr>
                <w:rFonts w:hAnsi="Arial"/>
                <w:color w:val="auto"/>
                <w:szCs w:val="21"/>
              </w:rPr>
            </w:pPr>
            <w:r>
              <w:rPr>
                <w:rFonts w:hint="eastAsia" w:hAnsi="Arial"/>
                <w:color w:val="auto"/>
                <w:szCs w:val="21"/>
              </w:rPr>
              <w:t xml:space="preserve">1# </w:t>
            </w:r>
          </w:p>
          <w:p>
            <w:pPr>
              <w:spacing w:line="280" w:lineRule="exact"/>
              <w:jc w:val="center"/>
              <w:rPr>
                <w:rFonts w:hAnsi="Arial"/>
                <w:color w:val="auto"/>
                <w:szCs w:val="21"/>
              </w:rPr>
            </w:pPr>
            <w:r>
              <w:rPr>
                <w:rFonts w:hint="eastAsia" w:hAnsi="Arial"/>
                <w:color w:val="auto"/>
                <w:szCs w:val="21"/>
              </w:rPr>
              <w:t>上风向参照点</w:t>
            </w:r>
          </w:p>
        </w:tc>
        <w:tc>
          <w:tcPr>
            <w:tcW w:w="1492" w:type="dxa"/>
            <w:vAlign w:val="center"/>
          </w:tcPr>
          <w:p>
            <w:pPr>
              <w:spacing w:line="280" w:lineRule="exact"/>
              <w:jc w:val="center"/>
              <w:rPr>
                <w:rFonts w:hAnsi="Arial"/>
                <w:color w:val="auto"/>
                <w:szCs w:val="21"/>
              </w:rPr>
            </w:pPr>
            <w:r>
              <w:rPr>
                <w:rFonts w:hint="eastAsia" w:hAnsi="Arial"/>
                <w:color w:val="auto"/>
                <w:szCs w:val="21"/>
              </w:rPr>
              <w:t>2#</w:t>
            </w:r>
          </w:p>
          <w:p>
            <w:pPr>
              <w:spacing w:line="280" w:lineRule="exact"/>
              <w:jc w:val="center"/>
              <w:rPr>
                <w:rFonts w:hAnsi="Arial"/>
                <w:color w:val="auto"/>
                <w:szCs w:val="21"/>
              </w:rPr>
            </w:pPr>
            <w:r>
              <w:rPr>
                <w:rFonts w:hint="eastAsia" w:hAnsi="Arial"/>
                <w:color w:val="auto"/>
                <w:szCs w:val="21"/>
              </w:rPr>
              <w:t>下风向参照点</w:t>
            </w:r>
          </w:p>
        </w:tc>
        <w:tc>
          <w:tcPr>
            <w:tcW w:w="1492" w:type="dxa"/>
            <w:vAlign w:val="center"/>
          </w:tcPr>
          <w:p>
            <w:pPr>
              <w:spacing w:line="280" w:lineRule="exact"/>
              <w:jc w:val="center"/>
              <w:rPr>
                <w:rFonts w:hAnsi="Arial"/>
                <w:color w:val="auto"/>
                <w:szCs w:val="21"/>
              </w:rPr>
            </w:pPr>
            <w:r>
              <w:rPr>
                <w:rFonts w:hint="eastAsia" w:hAnsi="Arial"/>
                <w:color w:val="auto"/>
                <w:szCs w:val="21"/>
              </w:rPr>
              <w:t xml:space="preserve">3# </w:t>
            </w:r>
          </w:p>
          <w:p>
            <w:pPr>
              <w:spacing w:line="280" w:lineRule="exact"/>
              <w:jc w:val="center"/>
              <w:rPr>
                <w:rFonts w:hAnsi="Arial"/>
                <w:color w:val="auto"/>
                <w:szCs w:val="21"/>
              </w:rPr>
            </w:pPr>
            <w:r>
              <w:rPr>
                <w:rFonts w:hint="eastAsia" w:hAnsi="Arial"/>
                <w:color w:val="auto"/>
                <w:szCs w:val="21"/>
              </w:rPr>
              <w:t>下风向参照点</w:t>
            </w:r>
          </w:p>
        </w:tc>
        <w:tc>
          <w:tcPr>
            <w:tcW w:w="1494" w:type="dxa"/>
            <w:vAlign w:val="center"/>
          </w:tcPr>
          <w:p>
            <w:pPr>
              <w:spacing w:line="280" w:lineRule="exact"/>
              <w:jc w:val="center"/>
              <w:rPr>
                <w:rFonts w:hAnsi="Arial"/>
                <w:color w:val="auto"/>
                <w:szCs w:val="21"/>
              </w:rPr>
            </w:pPr>
            <w:r>
              <w:rPr>
                <w:rFonts w:hint="eastAsia" w:hAnsi="Arial"/>
                <w:color w:val="auto"/>
                <w:szCs w:val="21"/>
              </w:rPr>
              <w:t xml:space="preserve">4# </w:t>
            </w:r>
          </w:p>
          <w:p>
            <w:pPr>
              <w:spacing w:line="280" w:lineRule="exact"/>
              <w:jc w:val="center"/>
              <w:rPr>
                <w:rFonts w:hAnsi="Arial"/>
                <w:color w:val="auto"/>
                <w:szCs w:val="21"/>
              </w:rPr>
            </w:pPr>
            <w:r>
              <w:rPr>
                <w:rFonts w:hint="eastAsia" w:hAnsi="Arial"/>
                <w:color w:val="auto"/>
                <w:szCs w:val="21"/>
              </w:rPr>
              <w:t>下风向参照点</w:t>
            </w:r>
          </w:p>
        </w:tc>
        <w:tc>
          <w:tcPr>
            <w:tcW w:w="775" w:type="dxa"/>
            <w:vMerge w:val="continue"/>
            <w:vAlign w:val="center"/>
          </w:tcPr>
          <w:p>
            <w:pPr>
              <w:spacing w:line="280" w:lineRule="exact"/>
              <w:jc w:val="center"/>
              <w:rPr>
                <w:rFonts w:hAnsi="Arial"/>
                <w:color w:val="auto"/>
                <w:szCs w:val="21"/>
              </w:rPr>
            </w:pPr>
          </w:p>
        </w:tc>
        <w:tc>
          <w:tcPr>
            <w:tcW w:w="837" w:type="dxa"/>
            <w:vMerge w:val="continue"/>
            <w:vAlign w:val="center"/>
          </w:tcPr>
          <w:p>
            <w:pPr>
              <w:spacing w:line="280" w:lineRule="exact"/>
              <w:jc w:val="center"/>
              <w:rPr>
                <w:rFonts w:hAnsi="Arial"/>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66" w:type="dxa"/>
            <w:vAlign w:val="center"/>
          </w:tcPr>
          <w:p>
            <w:pPr>
              <w:spacing w:line="280" w:lineRule="exact"/>
              <w:jc w:val="center"/>
              <w:rPr>
                <w:rFonts w:hAnsi="Arial"/>
                <w:color w:val="auto"/>
                <w:szCs w:val="21"/>
              </w:rPr>
            </w:pPr>
            <w:r>
              <w:rPr>
                <w:rFonts w:hint="eastAsia" w:hAnsi="Arial"/>
                <w:color w:val="auto"/>
                <w:szCs w:val="21"/>
              </w:rPr>
              <w:t>颗粒物</w:t>
            </w:r>
          </w:p>
        </w:tc>
        <w:tc>
          <w:tcPr>
            <w:tcW w:w="1492" w:type="dxa"/>
            <w:vAlign w:val="center"/>
          </w:tcPr>
          <w:p>
            <w:pPr>
              <w:spacing w:line="280" w:lineRule="exact"/>
              <w:jc w:val="center"/>
              <w:rPr>
                <w:rFonts w:hAnsi="Arial"/>
                <w:color w:val="auto"/>
                <w:szCs w:val="21"/>
              </w:rPr>
            </w:pPr>
            <w:r>
              <w:rPr>
                <w:rFonts w:hint="eastAsia" w:hAnsi="Arial"/>
                <w:color w:val="auto"/>
                <w:szCs w:val="21"/>
              </w:rPr>
              <w:t>0.074</w:t>
            </w:r>
          </w:p>
        </w:tc>
        <w:tc>
          <w:tcPr>
            <w:tcW w:w="1492" w:type="dxa"/>
            <w:vAlign w:val="center"/>
          </w:tcPr>
          <w:p>
            <w:pPr>
              <w:spacing w:line="280" w:lineRule="exact"/>
              <w:jc w:val="center"/>
              <w:rPr>
                <w:rFonts w:hAnsi="Arial"/>
                <w:color w:val="auto"/>
                <w:szCs w:val="21"/>
              </w:rPr>
            </w:pPr>
            <w:r>
              <w:rPr>
                <w:rFonts w:hint="eastAsia" w:hAnsi="Arial"/>
                <w:color w:val="auto"/>
                <w:szCs w:val="21"/>
              </w:rPr>
              <w:t>0.130</w:t>
            </w:r>
          </w:p>
        </w:tc>
        <w:tc>
          <w:tcPr>
            <w:tcW w:w="1492" w:type="dxa"/>
            <w:vAlign w:val="center"/>
          </w:tcPr>
          <w:p>
            <w:pPr>
              <w:spacing w:line="280" w:lineRule="exact"/>
              <w:jc w:val="center"/>
              <w:rPr>
                <w:rFonts w:hAnsi="Arial"/>
                <w:color w:val="auto"/>
                <w:szCs w:val="21"/>
              </w:rPr>
            </w:pPr>
            <w:r>
              <w:rPr>
                <w:rFonts w:hint="eastAsia" w:hAnsi="Arial"/>
                <w:color w:val="auto"/>
                <w:szCs w:val="21"/>
              </w:rPr>
              <w:t>0.149</w:t>
            </w:r>
          </w:p>
        </w:tc>
        <w:tc>
          <w:tcPr>
            <w:tcW w:w="1494" w:type="dxa"/>
            <w:vAlign w:val="center"/>
          </w:tcPr>
          <w:p>
            <w:pPr>
              <w:spacing w:line="280" w:lineRule="exact"/>
              <w:jc w:val="center"/>
              <w:rPr>
                <w:rFonts w:hAnsi="Arial"/>
                <w:color w:val="auto"/>
                <w:szCs w:val="21"/>
              </w:rPr>
            </w:pPr>
            <w:r>
              <w:rPr>
                <w:rFonts w:hint="eastAsia" w:hAnsi="Arial"/>
                <w:color w:val="auto"/>
                <w:szCs w:val="21"/>
              </w:rPr>
              <w:t>0.186</w:t>
            </w:r>
          </w:p>
        </w:tc>
        <w:tc>
          <w:tcPr>
            <w:tcW w:w="775" w:type="dxa"/>
            <w:vAlign w:val="center"/>
          </w:tcPr>
          <w:p>
            <w:pPr>
              <w:spacing w:line="280" w:lineRule="exact"/>
              <w:jc w:val="center"/>
              <w:rPr>
                <w:rFonts w:hAnsi="Arial"/>
                <w:color w:val="auto"/>
                <w:szCs w:val="21"/>
              </w:rPr>
            </w:pPr>
            <w:r>
              <w:rPr>
                <w:rFonts w:hint="eastAsia" w:hAnsi="Arial"/>
                <w:color w:val="auto"/>
                <w:szCs w:val="21"/>
              </w:rPr>
              <w:t>1.0</w:t>
            </w:r>
          </w:p>
        </w:tc>
        <w:tc>
          <w:tcPr>
            <w:tcW w:w="837" w:type="dxa"/>
            <w:vAlign w:val="center"/>
          </w:tcPr>
          <w:p>
            <w:pPr>
              <w:spacing w:line="280" w:lineRule="exact"/>
              <w:jc w:val="center"/>
              <w:rPr>
                <w:color w:val="auto"/>
                <w:szCs w:val="21"/>
              </w:rPr>
            </w:pPr>
            <w:r>
              <w:rPr>
                <w:color w:val="auto"/>
                <w:szCs w:val="21"/>
              </w:rPr>
              <w:t>mg/m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66" w:type="dxa"/>
            <w:vAlign w:val="center"/>
          </w:tcPr>
          <w:p>
            <w:pPr>
              <w:spacing w:line="280" w:lineRule="exact"/>
              <w:jc w:val="center"/>
              <w:rPr>
                <w:rFonts w:hAnsi="Arial"/>
                <w:color w:val="auto"/>
                <w:szCs w:val="21"/>
              </w:rPr>
            </w:pPr>
            <w:r>
              <w:rPr>
                <w:rFonts w:hint="eastAsia" w:hAnsi="Arial"/>
                <w:color w:val="auto"/>
                <w:szCs w:val="21"/>
              </w:rPr>
              <w:t>非甲烷总烃</w:t>
            </w:r>
          </w:p>
        </w:tc>
        <w:tc>
          <w:tcPr>
            <w:tcW w:w="1492" w:type="dxa"/>
            <w:vAlign w:val="center"/>
          </w:tcPr>
          <w:p>
            <w:pPr>
              <w:spacing w:line="280" w:lineRule="exact"/>
              <w:jc w:val="center"/>
              <w:rPr>
                <w:rFonts w:hAnsi="Arial"/>
                <w:color w:val="auto"/>
                <w:szCs w:val="21"/>
              </w:rPr>
            </w:pPr>
            <w:r>
              <w:rPr>
                <w:color w:val="auto"/>
                <w:szCs w:val="21"/>
              </w:rPr>
              <w:t>＜</w:t>
            </w:r>
            <w:r>
              <w:rPr>
                <w:rFonts w:hint="eastAsia"/>
                <w:color w:val="auto"/>
                <w:szCs w:val="21"/>
              </w:rPr>
              <w:t>0.07</w:t>
            </w:r>
          </w:p>
        </w:tc>
        <w:tc>
          <w:tcPr>
            <w:tcW w:w="1492" w:type="dxa"/>
            <w:vAlign w:val="center"/>
          </w:tcPr>
          <w:p>
            <w:pPr>
              <w:spacing w:line="280" w:lineRule="exact"/>
              <w:jc w:val="center"/>
              <w:rPr>
                <w:rFonts w:hAnsi="Arial"/>
                <w:color w:val="auto"/>
                <w:szCs w:val="21"/>
              </w:rPr>
            </w:pPr>
            <w:r>
              <w:rPr>
                <w:rFonts w:hint="eastAsia" w:hAnsi="Arial"/>
                <w:color w:val="auto"/>
                <w:szCs w:val="21"/>
              </w:rPr>
              <w:t>0.20</w:t>
            </w:r>
          </w:p>
        </w:tc>
        <w:tc>
          <w:tcPr>
            <w:tcW w:w="1492" w:type="dxa"/>
            <w:vAlign w:val="center"/>
          </w:tcPr>
          <w:p>
            <w:pPr>
              <w:spacing w:line="280" w:lineRule="exact"/>
              <w:jc w:val="center"/>
              <w:rPr>
                <w:rFonts w:hAnsi="Arial"/>
                <w:color w:val="auto"/>
                <w:szCs w:val="21"/>
              </w:rPr>
            </w:pPr>
            <w:r>
              <w:rPr>
                <w:rFonts w:hint="eastAsia" w:hAnsi="Arial"/>
                <w:color w:val="auto"/>
                <w:szCs w:val="21"/>
              </w:rPr>
              <w:t>0.14</w:t>
            </w:r>
          </w:p>
        </w:tc>
        <w:tc>
          <w:tcPr>
            <w:tcW w:w="1494" w:type="dxa"/>
            <w:vAlign w:val="center"/>
          </w:tcPr>
          <w:p>
            <w:pPr>
              <w:spacing w:line="280" w:lineRule="exact"/>
              <w:jc w:val="center"/>
              <w:rPr>
                <w:rFonts w:hAnsi="Arial"/>
                <w:color w:val="auto"/>
                <w:szCs w:val="21"/>
              </w:rPr>
            </w:pPr>
            <w:r>
              <w:rPr>
                <w:rFonts w:hint="eastAsia" w:hAnsi="Arial"/>
                <w:color w:val="auto"/>
                <w:szCs w:val="21"/>
              </w:rPr>
              <w:t>0.16</w:t>
            </w:r>
          </w:p>
        </w:tc>
        <w:tc>
          <w:tcPr>
            <w:tcW w:w="775" w:type="dxa"/>
            <w:vAlign w:val="center"/>
          </w:tcPr>
          <w:p>
            <w:pPr>
              <w:spacing w:line="280" w:lineRule="exact"/>
              <w:jc w:val="center"/>
              <w:rPr>
                <w:color w:val="auto"/>
                <w:szCs w:val="21"/>
              </w:rPr>
            </w:pPr>
            <w:r>
              <w:rPr>
                <w:rFonts w:hint="eastAsia"/>
                <w:color w:val="auto"/>
                <w:szCs w:val="21"/>
              </w:rPr>
              <w:t>4.0</w:t>
            </w:r>
          </w:p>
        </w:tc>
        <w:tc>
          <w:tcPr>
            <w:tcW w:w="837" w:type="dxa"/>
            <w:vAlign w:val="center"/>
          </w:tcPr>
          <w:p>
            <w:pPr>
              <w:spacing w:line="280" w:lineRule="exact"/>
              <w:jc w:val="center"/>
              <w:rPr>
                <w:color w:val="auto"/>
                <w:szCs w:val="21"/>
              </w:rPr>
            </w:pPr>
            <w:r>
              <w:rPr>
                <w:color w:val="auto"/>
                <w:szCs w:val="21"/>
              </w:rPr>
              <w:t>mg/m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948" w:type="dxa"/>
            <w:gridSpan w:val="7"/>
            <w:vAlign w:val="center"/>
          </w:tcPr>
          <w:p>
            <w:pPr>
              <w:spacing w:line="280" w:lineRule="exact"/>
              <w:rPr>
                <w:color w:val="auto"/>
                <w:szCs w:val="21"/>
              </w:rPr>
            </w:pPr>
            <w:r>
              <w:rPr>
                <w:rFonts w:hint="eastAsia"/>
                <w:color w:val="auto"/>
                <w:szCs w:val="21"/>
              </w:rPr>
              <w:t>备注：1、</w:t>
            </w:r>
            <w:r>
              <w:rPr>
                <w:color w:val="auto"/>
                <w:szCs w:val="21"/>
              </w:rPr>
              <w:t>“＜”表示检测结果低于该项目方法检出限</w:t>
            </w:r>
            <w:r>
              <w:rPr>
                <w:rFonts w:hint="eastAsia"/>
                <w:color w:val="auto"/>
                <w:szCs w:val="21"/>
              </w:rPr>
              <w:t>；</w:t>
            </w:r>
          </w:p>
          <w:p>
            <w:pPr>
              <w:spacing w:line="280" w:lineRule="exact"/>
              <w:ind w:firstLine="630" w:firstLineChars="300"/>
              <w:rPr>
                <w:color w:val="auto"/>
                <w:szCs w:val="21"/>
              </w:rPr>
            </w:pPr>
            <w:r>
              <w:rPr>
                <w:rFonts w:hint="eastAsia" w:hAnsi="Arial"/>
                <w:color w:val="auto"/>
                <w:szCs w:val="21"/>
              </w:rPr>
              <w:t>2、评价标准参照</w:t>
            </w:r>
            <w:r>
              <w:rPr>
                <w:rFonts w:hint="eastAsia"/>
                <w:color w:val="auto"/>
                <w:szCs w:val="21"/>
              </w:rPr>
              <w:t>《大气污染物排放限值》（DB 44/27-2001）第二时段无组织排放监控浓度限值。</w:t>
            </w:r>
          </w:p>
        </w:tc>
      </w:tr>
    </w:tbl>
    <w:p>
      <w:pPr>
        <w:spacing w:line="360" w:lineRule="auto"/>
        <w:ind w:firstLine="480" w:firstLineChars="200"/>
        <w:jc w:val="left"/>
        <w:rPr>
          <w:color w:val="auto"/>
          <w:sz w:val="24"/>
        </w:rPr>
      </w:pPr>
      <w:r>
        <w:rPr>
          <w:rFonts w:hint="eastAsia"/>
          <w:color w:val="auto"/>
          <w:sz w:val="24"/>
        </w:rPr>
        <w:t>从上表可知，现有项目颗粒物与非甲烷总烃监测结果均符合广东省地方标准《大气污染物排放限值》（DB 44/27-2001）第二时段无组织排放监控浓度限值。</w:t>
      </w:r>
    </w:p>
    <w:p>
      <w:pPr>
        <w:spacing w:line="360" w:lineRule="auto"/>
        <w:ind w:firstLine="420" w:firstLineChars="200"/>
        <w:rPr>
          <w:color w:val="auto"/>
        </w:rPr>
      </w:pPr>
      <w:r>
        <w:rPr>
          <w:color w:val="auto"/>
        </w:rPr>
        <w:drawing>
          <wp:inline distT="0" distB="0" distL="114300" distR="114300">
            <wp:extent cx="4555490" cy="3427730"/>
            <wp:effectExtent l="0" t="0" r="1270" b="127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42"/>
                    <a:srcRect l="-678"/>
                    <a:stretch>
                      <a:fillRect/>
                    </a:stretch>
                  </pic:blipFill>
                  <pic:spPr>
                    <a:xfrm>
                      <a:off x="0" y="0"/>
                      <a:ext cx="4555490" cy="3427730"/>
                    </a:xfrm>
                    <a:prstGeom prst="rect">
                      <a:avLst/>
                    </a:prstGeom>
                    <a:noFill/>
                    <a:ln>
                      <a:noFill/>
                    </a:ln>
                  </pic:spPr>
                </pic:pic>
              </a:graphicData>
            </a:graphic>
          </wp:inline>
        </w:drawing>
      </w:r>
    </w:p>
    <w:p>
      <w:pPr>
        <w:pStyle w:val="32"/>
        <w:jc w:val="center"/>
        <w:rPr>
          <w:rFonts w:hint="eastAsia"/>
          <w:b/>
          <w:bCs/>
          <w:color w:val="auto"/>
        </w:rPr>
      </w:pPr>
      <w:r>
        <w:rPr>
          <w:rFonts w:hint="eastAsia"/>
          <w:b/>
          <w:bCs/>
          <w:color w:val="auto"/>
        </w:rPr>
        <w:t>图3.1-4  现有项目检测点布置图</w:t>
      </w:r>
    </w:p>
    <w:p>
      <w:pPr>
        <w:spacing w:line="360" w:lineRule="auto"/>
        <w:ind w:firstLine="480" w:firstLineChars="200"/>
        <w:rPr>
          <w:color w:val="auto"/>
          <w:sz w:val="24"/>
          <w:shd w:val="clear" w:color="auto" w:fill="FFFFFF"/>
        </w:rPr>
      </w:pPr>
      <w:r>
        <w:rPr>
          <w:rFonts w:hint="eastAsia"/>
          <w:color w:val="auto"/>
          <w:sz w:val="24"/>
          <w:shd w:val="clear" w:color="auto" w:fill="FFFFFF"/>
        </w:rPr>
        <w:t>（3）油烟</w:t>
      </w:r>
    </w:p>
    <w:p>
      <w:pPr>
        <w:spacing w:line="360" w:lineRule="auto"/>
        <w:ind w:firstLine="480" w:firstLineChars="200"/>
        <w:rPr>
          <w:color w:val="auto"/>
          <w:sz w:val="24"/>
          <w:shd w:val="clear" w:color="auto" w:fill="FFFFFF"/>
        </w:rPr>
      </w:pPr>
      <w:r>
        <w:rPr>
          <w:rFonts w:hint="eastAsia"/>
          <w:color w:val="auto"/>
          <w:sz w:val="24"/>
          <w:shd w:val="clear" w:color="auto" w:fill="FFFFFF"/>
        </w:rPr>
        <w:t>根据现有项目的环评报告，油烟废气产生浓度为12mg/m</w:t>
      </w:r>
      <w:r>
        <w:rPr>
          <w:rFonts w:hint="eastAsia"/>
          <w:color w:val="auto"/>
          <w:sz w:val="24"/>
          <w:shd w:val="clear" w:color="auto" w:fill="FFFFFF"/>
          <w:vertAlign w:val="superscript"/>
        </w:rPr>
        <w:t>3</w:t>
      </w:r>
      <w:r>
        <w:rPr>
          <w:rFonts w:hint="eastAsia"/>
          <w:color w:val="auto"/>
          <w:sz w:val="24"/>
          <w:shd w:val="clear" w:color="auto" w:fill="FFFFFF"/>
        </w:rPr>
        <w:t>，产生量为0.192kg/d。现设有油烟净化器，油烟处理效率为85%，现有项目年工作250d/a，则油烟排放量为0.0072t/a，排放浓度为1.8mg/m</w:t>
      </w:r>
      <w:r>
        <w:rPr>
          <w:rFonts w:hint="eastAsia"/>
          <w:color w:val="auto"/>
          <w:sz w:val="24"/>
          <w:shd w:val="clear" w:color="auto" w:fill="FFFFFF"/>
          <w:vertAlign w:val="superscript"/>
        </w:rPr>
        <w:t>3</w:t>
      </w:r>
      <w:r>
        <w:rPr>
          <w:rFonts w:hint="eastAsia"/>
          <w:color w:val="auto"/>
          <w:sz w:val="24"/>
          <w:shd w:val="clear" w:color="auto" w:fill="FFFFFF"/>
        </w:rPr>
        <w:t>。</w:t>
      </w:r>
      <w:r>
        <w:rPr>
          <w:rFonts w:hint="eastAsia"/>
          <w:color w:val="auto"/>
          <w:sz w:val="24"/>
          <w:shd w:val="clear" w:color="auto" w:fill="FFFFFF"/>
          <w:lang w:val="en-US" w:eastAsia="zh-CN"/>
        </w:rPr>
        <w:t>油烟废气的排放可满足《饮食业油烟排放标准（试行）》（GB18483-2001）中表2“小型规模”的排放浓度（2.0</w:t>
      </w:r>
      <w:r>
        <w:rPr>
          <w:rFonts w:hint="eastAsia"/>
          <w:color w:val="auto"/>
          <w:sz w:val="24"/>
          <w:shd w:val="clear" w:color="auto" w:fill="FFFFFF"/>
        </w:rPr>
        <w:t>mg/m</w:t>
      </w:r>
      <w:r>
        <w:rPr>
          <w:rFonts w:hint="eastAsia"/>
          <w:color w:val="auto"/>
          <w:sz w:val="24"/>
          <w:shd w:val="clear" w:color="auto" w:fill="FFFFFF"/>
          <w:vertAlign w:val="superscript"/>
        </w:rPr>
        <w:t>3</w:t>
      </w:r>
      <w:r>
        <w:rPr>
          <w:rFonts w:hint="eastAsia"/>
          <w:color w:val="auto"/>
          <w:sz w:val="24"/>
          <w:shd w:val="clear" w:color="auto" w:fill="FFFFFF"/>
          <w:lang w:val="en-US" w:eastAsia="zh-CN"/>
        </w:rPr>
        <w:t>）及最低去除效率（60%）要求。</w:t>
      </w:r>
    </w:p>
    <w:p>
      <w:pPr>
        <w:pStyle w:val="6"/>
        <w:spacing w:line="360" w:lineRule="auto"/>
        <w:ind w:firstLine="480"/>
        <w:rPr>
          <w:color w:val="auto"/>
          <w:kern w:val="2"/>
          <w:sz w:val="24"/>
          <w:szCs w:val="24"/>
        </w:rPr>
      </w:pPr>
      <w:r>
        <w:rPr>
          <w:rFonts w:hint="eastAsia"/>
          <w:color w:val="auto"/>
          <w:kern w:val="2"/>
          <w:sz w:val="24"/>
          <w:szCs w:val="24"/>
        </w:rPr>
        <w:t>（</w:t>
      </w:r>
      <w:r>
        <w:rPr>
          <w:rFonts w:hint="eastAsia"/>
          <w:color w:val="auto"/>
          <w:kern w:val="2"/>
          <w:sz w:val="24"/>
          <w:szCs w:val="24"/>
          <w:lang w:val="en-US" w:eastAsia="zh-CN"/>
        </w:rPr>
        <w:t>4</w:t>
      </w:r>
      <w:r>
        <w:rPr>
          <w:rFonts w:hint="eastAsia"/>
          <w:color w:val="auto"/>
          <w:kern w:val="2"/>
          <w:sz w:val="24"/>
          <w:szCs w:val="24"/>
        </w:rPr>
        <w:t>）铲车尾气</w:t>
      </w:r>
    </w:p>
    <w:p>
      <w:pPr>
        <w:pStyle w:val="56"/>
        <w:spacing w:before="0" w:after="0" w:line="360" w:lineRule="auto"/>
        <w:ind w:firstLine="482"/>
        <w:rPr>
          <w:rFonts w:ascii="Times New Roman" w:hAnsi="Times New Roman"/>
          <w:color w:val="auto"/>
          <w:sz w:val="24"/>
          <w:szCs w:val="24"/>
        </w:rPr>
      </w:pPr>
      <w:r>
        <w:rPr>
          <w:rFonts w:hint="eastAsia" w:ascii="Times New Roman" w:hAnsi="Times New Roman"/>
          <w:color w:val="auto"/>
          <w:sz w:val="24"/>
          <w:szCs w:val="24"/>
          <w:lang w:val="en-US" w:eastAsia="zh-CN"/>
        </w:rPr>
        <w:t>现有</w:t>
      </w:r>
      <w:r>
        <w:rPr>
          <w:rFonts w:ascii="Times New Roman" w:hAnsi="Times New Roman"/>
          <w:color w:val="auto"/>
          <w:sz w:val="24"/>
          <w:szCs w:val="24"/>
        </w:rPr>
        <w:t>项目</w:t>
      </w:r>
      <w:r>
        <w:rPr>
          <w:rFonts w:hint="eastAsia" w:ascii="Times New Roman" w:hAnsi="Times New Roman"/>
          <w:color w:val="auto"/>
          <w:sz w:val="24"/>
          <w:szCs w:val="24"/>
          <w:lang w:val="en-US" w:eastAsia="zh-CN"/>
        </w:rPr>
        <w:t>有1</w:t>
      </w:r>
      <w:r>
        <w:rPr>
          <w:rFonts w:ascii="Times New Roman" w:hAnsi="Times New Roman"/>
          <w:color w:val="auto"/>
          <w:sz w:val="24"/>
          <w:szCs w:val="24"/>
        </w:rPr>
        <w:t>台铲</w:t>
      </w:r>
      <w:r>
        <w:rPr>
          <w:rFonts w:hint="eastAsia" w:ascii="Times New Roman" w:hAnsi="Times New Roman"/>
          <w:color w:val="auto"/>
          <w:sz w:val="24"/>
          <w:szCs w:val="24"/>
        </w:rPr>
        <w:t>车</w:t>
      </w:r>
      <w:r>
        <w:rPr>
          <w:rFonts w:ascii="Times New Roman" w:hAnsi="Times New Roman"/>
          <w:color w:val="auto"/>
          <w:sz w:val="24"/>
          <w:szCs w:val="24"/>
        </w:rPr>
        <w:t>。根据建设单位</w:t>
      </w:r>
      <w:r>
        <w:rPr>
          <w:rFonts w:hint="eastAsia" w:ascii="Times New Roman" w:hAnsi="Times New Roman"/>
          <w:color w:val="auto"/>
          <w:sz w:val="24"/>
          <w:szCs w:val="24"/>
        </w:rPr>
        <w:t>经验</w:t>
      </w:r>
      <w:r>
        <w:rPr>
          <w:rFonts w:ascii="Times New Roman" w:hAnsi="Times New Roman"/>
          <w:color w:val="auto"/>
          <w:sz w:val="24"/>
          <w:szCs w:val="24"/>
        </w:rPr>
        <w:t>，铲</w:t>
      </w:r>
      <w:r>
        <w:rPr>
          <w:rFonts w:hint="eastAsia" w:ascii="Times New Roman" w:hAnsi="Times New Roman"/>
          <w:color w:val="auto"/>
          <w:sz w:val="24"/>
          <w:szCs w:val="24"/>
        </w:rPr>
        <w:t>车</w:t>
      </w:r>
      <w:r>
        <w:rPr>
          <w:rFonts w:ascii="Times New Roman" w:hAnsi="Times New Roman"/>
          <w:color w:val="auto"/>
          <w:sz w:val="24"/>
          <w:szCs w:val="24"/>
        </w:rPr>
        <w:t>连续工作的情况下，铲</w:t>
      </w:r>
      <w:r>
        <w:rPr>
          <w:rFonts w:hint="eastAsia" w:ascii="Times New Roman" w:hAnsi="Times New Roman"/>
          <w:color w:val="auto"/>
          <w:sz w:val="24"/>
          <w:szCs w:val="24"/>
        </w:rPr>
        <w:t>车</w:t>
      </w:r>
      <w:r>
        <w:rPr>
          <w:rFonts w:ascii="Times New Roman" w:hAnsi="Times New Roman"/>
          <w:color w:val="auto"/>
          <w:sz w:val="24"/>
          <w:szCs w:val="24"/>
        </w:rPr>
        <w:t>耗柴油</w:t>
      </w:r>
      <w:r>
        <w:rPr>
          <w:rFonts w:hint="eastAsia" w:ascii="Times New Roman" w:hAnsi="Times New Roman"/>
          <w:color w:val="auto"/>
          <w:sz w:val="24"/>
          <w:szCs w:val="24"/>
        </w:rPr>
        <w:t>10</w:t>
      </w:r>
      <w:r>
        <w:rPr>
          <w:rFonts w:ascii="Times New Roman" w:hAnsi="Times New Roman"/>
          <w:color w:val="auto"/>
          <w:sz w:val="24"/>
          <w:szCs w:val="24"/>
        </w:rPr>
        <w:t>L/h</w:t>
      </w:r>
      <w:r>
        <w:rPr>
          <w:rFonts w:hint="eastAsia" w:ascii="Times New Roman" w:hAnsi="Times New Roman"/>
          <w:color w:val="auto"/>
          <w:sz w:val="24"/>
          <w:szCs w:val="24"/>
          <w:lang w:eastAsia="zh-CN"/>
        </w:rPr>
        <w:t>，</w:t>
      </w:r>
      <w:r>
        <w:rPr>
          <w:rFonts w:hint="eastAsia" w:ascii="Times New Roman" w:hAnsi="Times New Roman"/>
          <w:color w:val="auto"/>
          <w:sz w:val="24"/>
          <w:szCs w:val="24"/>
        </w:rPr>
        <w:t>铲车平均</w:t>
      </w:r>
      <w:r>
        <w:rPr>
          <w:rFonts w:ascii="Times New Roman" w:hAnsi="Times New Roman"/>
          <w:color w:val="auto"/>
          <w:sz w:val="24"/>
          <w:szCs w:val="24"/>
        </w:rPr>
        <w:t>运转时间为</w:t>
      </w:r>
      <w:r>
        <w:rPr>
          <w:rFonts w:hint="eastAsia" w:ascii="Times New Roman" w:hAnsi="Times New Roman"/>
          <w:color w:val="auto"/>
          <w:sz w:val="24"/>
          <w:szCs w:val="24"/>
        </w:rPr>
        <w:t>4</w:t>
      </w:r>
      <w:r>
        <w:rPr>
          <w:rFonts w:ascii="Times New Roman" w:hAnsi="Times New Roman"/>
          <w:color w:val="auto"/>
          <w:sz w:val="24"/>
          <w:szCs w:val="24"/>
        </w:rPr>
        <w:t>h/d，</w:t>
      </w:r>
      <w:r>
        <w:rPr>
          <w:rFonts w:hint="eastAsia" w:ascii="Times New Roman" w:hAnsi="Times New Roman"/>
          <w:color w:val="auto"/>
          <w:sz w:val="24"/>
          <w:szCs w:val="24"/>
          <w:lang w:val="en-US" w:eastAsia="zh-CN"/>
        </w:rPr>
        <w:t>现有</w:t>
      </w:r>
      <w:r>
        <w:rPr>
          <w:rFonts w:hint="eastAsia" w:ascii="Times New Roman" w:hAnsi="Times New Roman"/>
          <w:color w:val="auto"/>
          <w:sz w:val="24"/>
          <w:szCs w:val="24"/>
        </w:rPr>
        <w:t>项目年生产</w:t>
      </w:r>
      <w:r>
        <w:rPr>
          <w:rFonts w:hint="eastAsia" w:ascii="Times New Roman" w:hAnsi="Times New Roman"/>
          <w:color w:val="auto"/>
          <w:sz w:val="24"/>
          <w:szCs w:val="24"/>
          <w:lang w:val="en-US" w:eastAsia="zh-CN"/>
        </w:rPr>
        <w:t>250</w:t>
      </w:r>
      <w:r>
        <w:rPr>
          <w:rFonts w:hint="eastAsia" w:ascii="Times New Roman" w:hAnsi="Times New Roman"/>
          <w:color w:val="auto"/>
          <w:sz w:val="24"/>
          <w:szCs w:val="24"/>
        </w:rPr>
        <w:t>天</w:t>
      </w:r>
      <w:r>
        <w:rPr>
          <w:rFonts w:ascii="Times New Roman" w:hAnsi="Times New Roman"/>
          <w:color w:val="auto"/>
          <w:sz w:val="24"/>
          <w:szCs w:val="24"/>
        </w:rPr>
        <w:t>，则现有项目</w:t>
      </w:r>
      <w:r>
        <w:rPr>
          <w:rFonts w:hint="eastAsia" w:ascii="Times New Roman" w:hAnsi="Times New Roman"/>
          <w:color w:val="auto"/>
          <w:sz w:val="24"/>
          <w:szCs w:val="24"/>
        </w:rPr>
        <w:t>铲车</w:t>
      </w:r>
      <w:r>
        <w:rPr>
          <w:rFonts w:ascii="Times New Roman" w:hAnsi="Times New Roman"/>
          <w:color w:val="auto"/>
          <w:sz w:val="24"/>
          <w:szCs w:val="24"/>
        </w:rPr>
        <w:t>总耗油量约</w:t>
      </w:r>
      <w:r>
        <w:rPr>
          <w:rFonts w:hint="eastAsia" w:ascii="Times New Roman" w:hAnsi="Times New Roman"/>
          <w:color w:val="auto"/>
          <w:sz w:val="24"/>
          <w:szCs w:val="24"/>
          <w:lang w:val="en-US" w:eastAsia="zh-CN"/>
        </w:rPr>
        <w:t>12.3</w:t>
      </w:r>
      <w:r>
        <w:rPr>
          <w:rFonts w:ascii="Times New Roman" w:hAnsi="Times New Roman"/>
          <w:color w:val="auto"/>
          <w:sz w:val="24"/>
          <w:szCs w:val="24"/>
        </w:rPr>
        <w:t>m</w:t>
      </w:r>
      <w:r>
        <w:rPr>
          <w:rFonts w:ascii="Times New Roman" w:hAnsi="Times New Roman"/>
          <w:color w:val="auto"/>
          <w:sz w:val="24"/>
          <w:szCs w:val="24"/>
          <w:vertAlign w:val="superscript"/>
        </w:rPr>
        <w:t>3</w:t>
      </w:r>
      <w:r>
        <w:rPr>
          <w:rFonts w:ascii="Times New Roman" w:hAnsi="Times New Roman"/>
          <w:color w:val="auto"/>
          <w:sz w:val="24"/>
          <w:szCs w:val="24"/>
        </w:rPr>
        <w:t>/a。根据有关研究结果，</w:t>
      </w:r>
      <w:r>
        <w:rPr>
          <w:rFonts w:hint="eastAsia" w:ascii="Times New Roman" w:hAnsi="Times New Roman"/>
          <w:color w:val="auto"/>
          <w:sz w:val="24"/>
          <w:szCs w:val="24"/>
        </w:rPr>
        <w:t>铲车尾气</w:t>
      </w:r>
      <w:r>
        <w:rPr>
          <w:rFonts w:ascii="Times New Roman" w:hAnsi="Times New Roman"/>
          <w:color w:val="auto"/>
          <w:sz w:val="24"/>
          <w:szCs w:val="24"/>
        </w:rPr>
        <w:t>的污染物系数</w:t>
      </w:r>
      <w:r>
        <w:rPr>
          <w:rFonts w:hint="eastAsia" w:ascii="Times New Roman" w:hAnsi="Times New Roman"/>
          <w:color w:val="auto"/>
          <w:sz w:val="24"/>
          <w:szCs w:val="24"/>
          <w:lang w:val="en-US" w:eastAsia="zh-CN"/>
        </w:rPr>
        <w:t>及产排情况</w:t>
      </w:r>
      <w:r>
        <w:rPr>
          <w:rFonts w:ascii="Times New Roman" w:hAnsi="Times New Roman"/>
          <w:color w:val="auto"/>
          <w:sz w:val="24"/>
          <w:szCs w:val="24"/>
        </w:rPr>
        <w:t>见下表。</w:t>
      </w:r>
    </w:p>
    <w:p>
      <w:pPr>
        <w:pStyle w:val="57"/>
        <w:spacing w:before="0" w:after="0" w:line="240" w:lineRule="auto"/>
        <w:rPr>
          <w:rFonts w:ascii="Times New Roman" w:hAnsi="Times New Roman"/>
          <w:color w:val="auto"/>
        </w:rPr>
      </w:pPr>
      <w:r>
        <w:rPr>
          <w:rFonts w:ascii="Times New Roman" w:hAnsi="Times New Roman"/>
          <w:color w:val="auto"/>
        </w:rPr>
        <w:t>表</w:t>
      </w:r>
      <w:r>
        <w:rPr>
          <w:rFonts w:hint="eastAsia" w:ascii="Times New Roman" w:hAnsi="Times New Roman"/>
          <w:color w:val="auto"/>
          <w:lang w:val="en-US" w:eastAsia="zh-CN"/>
        </w:rPr>
        <w:t>3.1-10</w:t>
      </w:r>
      <w:r>
        <w:rPr>
          <w:rFonts w:hint="eastAsia" w:ascii="Times New Roman" w:hAnsi="Times New Roman"/>
          <w:color w:val="auto"/>
        </w:rPr>
        <w:t xml:space="preserve"> </w:t>
      </w:r>
      <w:r>
        <w:rPr>
          <w:rFonts w:ascii="Times New Roman" w:hAnsi="Times New Roman"/>
          <w:color w:val="auto"/>
        </w:rPr>
        <w:t xml:space="preserve"> </w:t>
      </w:r>
      <w:r>
        <w:rPr>
          <w:rFonts w:hint="eastAsia" w:ascii="Times New Roman" w:hAnsi="Times New Roman"/>
          <w:color w:val="auto"/>
          <w:lang w:val="en-US" w:eastAsia="zh-CN"/>
        </w:rPr>
        <w:t>现有</w:t>
      </w:r>
      <w:r>
        <w:rPr>
          <w:rFonts w:ascii="Times New Roman" w:hAnsi="Times New Roman"/>
          <w:color w:val="auto"/>
        </w:rPr>
        <w:t>项目</w:t>
      </w:r>
      <w:r>
        <w:rPr>
          <w:rFonts w:hint="eastAsia" w:ascii="Times New Roman" w:hAnsi="Times New Roman"/>
          <w:color w:val="auto"/>
        </w:rPr>
        <w:t>铲车</w:t>
      </w:r>
      <w:r>
        <w:rPr>
          <w:rFonts w:ascii="Times New Roman" w:hAnsi="Times New Roman"/>
          <w:color w:val="auto"/>
        </w:rPr>
        <w:t>污染物排放量</w:t>
      </w:r>
      <w:r>
        <w:rPr>
          <w:rFonts w:hint="eastAsia" w:ascii="Times New Roman" w:hAnsi="Times New Roman"/>
          <w:color w:val="auto"/>
          <w:lang w:val="en-US" w:eastAsia="zh-CN"/>
        </w:rPr>
        <w:t>情况</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1"/>
        <w:gridCol w:w="1782"/>
        <w:gridCol w:w="1783"/>
        <w:gridCol w:w="1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废气类型</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NO</w:t>
            </w:r>
            <w:r>
              <w:rPr>
                <w:rFonts w:ascii="Times New Roman" w:hAnsi="Times New Roman"/>
                <w:bCs/>
                <w:color w:val="auto"/>
                <w:szCs w:val="21"/>
                <w:vertAlign w:val="subscript"/>
              </w:rPr>
              <w:t>x</w:t>
            </w:r>
          </w:p>
        </w:tc>
        <w:tc>
          <w:tcPr>
            <w:tcW w:w="1783"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CO</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产生系数（kg/m</w:t>
            </w:r>
            <w:r>
              <w:rPr>
                <w:rFonts w:ascii="Times New Roman" w:hAnsi="Times New Roman"/>
                <w:bCs/>
                <w:color w:val="auto"/>
                <w:szCs w:val="21"/>
                <w:vertAlign w:val="superscript"/>
              </w:rPr>
              <w:t>3</w:t>
            </w:r>
            <w:r>
              <w:rPr>
                <w:rFonts w:ascii="Times New Roman" w:hAnsi="Times New Roman"/>
                <w:bCs/>
                <w:color w:val="auto"/>
                <w:szCs w:val="21"/>
              </w:rPr>
              <w:t>柴油）</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8.57</w:t>
            </w:r>
          </w:p>
        </w:tc>
        <w:tc>
          <w:tcPr>
            <w:tcW w:w="1783"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0.238</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0.357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年排放量（t/a）</w:t>
            </w:r>
          </w:p>
        </w:tc>
        <w:tc>
          <w:tcPr>
            <w:tcW w:w="1782" w:type="dxa"/>
            <w:tcBorders>
              <w:tl2br w:val="nil"/>
              <w:tr2bl w:val="nil"/>
            </w:tcBorders>
            <w:vAlign w:val="center"/>
          </w:tcPr>
          <w:p>
            <w:pPr>
              <w:widowControl/>
              <w:jc w:val="center"/>
              <w:textAlignment w:val="center"/>
              <w:rPr>
                <w:bCs/>
                <w:color w:val="auto"/>
                <w:szCs w:val="21"/>
              </w:rPr>
            </w:pPr>
            <w:r>
              <w:rPr>
                <w:color w:val="auto"/>
                <w:kern w:val="0"/>
                <w:szCs w:val="21"/>
                <w:lang w:bidi="ar"/>
              </w:rPr>
              <w:t>0.</w:t>
            </w:r>
            <w:r>
              <w:rPr>
                <w:rFonts w:hint="eastAsia"/>
                <w:color w:val="auto"/>
                <w:kern w:val="0"/>
                <w:szCs w:val="21"/>
                <w:lang w:val="en-US" w:eastAsia="zh-CN" w:bidi="ar"/>
              </w:rPr>
              <w:t>1054</w:t>
            </w:r>
          </w:p>
        </w:tc>
        <w:tc>
          <w:tcPr>
            <w:tcW w:w="1783" w:type="dxa"/>
            <w:tcBorders>
              <w:tl2br w:val="nil"/>
              <w:tr2bl w:val="nil"/>
            </w:tcBorders>
            <w:vAlign w:val="center"/>
          </w:tcPr>
          <w:p>
            <w:pPr>
              <w:widowControl/>
              <w:jc w:val="center"/>
              <w:textAlignment w:val="center"/>
              <w:rPr>
                <w:bCs/>
                <w:color w:val="auto"/>
                <w:szCs w:val="21"/>
              </w:rPr>
            </w:pPr>
            <w:r>
              <w:rPr>
                <w:color w:val="auto"/>
                <w:kern w:val="0"/>
                <w:szCs w:val="21"/>
                <w:lang w:bidi="ar"/>
              </w:rPr>
              <w:t>0.00</w:t>
            </w:r>
            <w:r>
              <w:rPr>
                <w:rFonts w:hint="eastAsia"/>
                <w:color w:val="auto"/>
                <w:kern w:val="0"/>
                <w:szCs w:val="21"/>
                <w:lang w:val="en-US" w:eastAsia="zh-CN" w:bidi="ar"/>
              </w:rPr>
              <w:t>29</w:t>
            </w:r>
          </w:p>
        </w:tc>
        <w:tc>
          <w:tcPr>
            <w:tcW w:w="1782" w:type="dxa"/>
            <w:tcBorders>
              <w:tl2br w:val="nil"/>
              <w:tr2bl w:val="nil"/>
            </w:tcBorders>
            <w:vAlign w:val="center"/>
          </w:tcPr>
          <w:p>
            <w:pPr>
              <w:widowControl/>
              <w:jc w:val="center"/>
              <w:textAlignment w:val="center"/>
              <w:rPr>
                <w:bCs/>
                <w:color w:val="auto"/>
                <w:szCs w:val="21"/>
              </w:rPr>
            </w:pPr>
            <w:r>
              <w:rPr>
                <w:color w:val="auto"/>
                <w:kern w:val="0"/>
                <w:szCs w:val="21"/>
                <w:lang w:bidi="ar"/>
              </w:rPr>
              <w:t>0.</w:t>
            </w:r>
            <w:r>
              <w:rPr>
                <w:rFonts w:hint="eastAsia"/>
                <w:color w:val="auto"/>
                <w:kern w:val="0"/>
                <w:szCs w:val="21"/>
                <w:lang w:val="en-US" w:eastAsia="zh-CN" w:bidi="ar"/>
              </w:rPr>
              <w:t>0044</w:t>
            </w:r>
            <w:r>
              <w:rPr>
                <w:color w:val="auto"/>
                <w:kern w:val="0"/>
                <w:szCs w:val="21"/>
                <w:lang w:bidi="ar"/>
              </w:rPr>
              <w:t xml:space="preserve"> </w:t>
            </w:r>
          </w:p>
        </w:tc>
      </w:tr>
    </w:tbl>
    <w:p>
      <w:pPr>
        <w:spacing w:line="360" w:lineRule="auto"/>
        <w:ind w:firstLine="480" w:firstLineChars="200"/>
        <w:rPr>
          <w:rFonts w:hint="eastAsia" w:eastAsia="宋体"/>
          <w:color w:val="auto"/>
          <w:sz w:val="24"/>
          <w:lang w:val="en-US" w:eastAsia="zh-CN"/>
        </w:rPr>
      </w:pPr>
      <w:r>
        <w:rPr>
          <w:rFonts w:hint="eastAsia"/>
          <w:color w:val="auto"/>
          <w:sz w:val="24"/>
          <w:lang w:val="en-US" w:eastAsia="zh-CN"/>
        </w:rPr>
        <w:t>铲车尾气在项目内以无组织形式排放，一般情况下对周边环境影响不大。</w:t>
      </w:r>
    </w:p>
    <w:p>
      <w:pPr>
        <w:spacing w:line="360" w:lineRule="auto"/>
        <w:ind w:firstLine="480" w:firstLineChars="200"/>
        <w:rPr>
          <w:color w:val="auto"/>
          <w:sz w:val="24"/>
        </w:rPr>
      </w:pPr>
      <w:r>
        <w:rPr>
          <w:color w:val="auto"/>
          <w:sz w:val="24"/>
        </w:rPr>
        <w:t>3、噪声</w:t>
      </w:r>
    </w:p>
    <w:p>
      <w:pPr>
        <w:spacing w:line="360" w:lineRule="auto"/>
        <w:ind w:firstLine="480" w:firstLineChars="200"/>
        <w:rPr>
          <w:color w:val="auto"/>
          <w:sz w:val="24"/>
        </w:rPr>
      </w:pPr>
      <w:r>
        <w:rPr>
          <w:color w:val="auto"/>
          <w:sz w:val="24"/>
        </w:rPr>
        <w:t>现有项目噪声污染源主要来自厂区内各种设备运行时产生的噪声，噪声源强约为7</w:t>
      </w:r>
      <w:r>
        <w:rPr>
          <w:rFonts w:hint="eastAsia"/>
          <w:color w:val="auto"/>
          <w:sz w:val="24"/>
        </w:rPr>
        <w:t>5</w:t>
      </w:r>
      <w:r>
        <w:rPr>
          <w:color w:val="auto"/>
          <w:sz w:val="24"/>
        </w:rPr>
        <w:t>~</w:t>
      </w:r>
      <w:r>
        <w:rPr>
          <w:rFonts w:hint="eastAsia"/>
          <w:color w:val="auto"/>
          <w:sz w:val="24"/>
        </w:rPr>
        <w:t>90</w:t>
      </w:r>
      <w:r>
        <w:rPr>
          <w:color w:val="auto"/>
          <w:sz w:val="24"/>
        </w:rPr>
        <w:t>dB（A）。</w:t>
      </w:r>
    </w:p>
    <w:p>
      <w:pPr>
        <w:spacing w:line="360" w:lineRule="auto"/>
        <w:ind w:firstLine="480" w:firstLineChars="200"/>
        <w:rPr>
          <w:color w:val="auto"/>
          <w:sz w:val="24"/>
        </w:rPr>
      </w:pPr>
      <w:r>
        <w:rPr>
          <w:rFonts w:hint="eastAsia"/>
          <w:color w:val="auto"/>
          <w:sz w:val="24"/>
        </w:rPr>
        <w:t>根据信兴公司委托深圳市高迪科技有限公司于2020年6月3日的监测结果，监测结果如下表，监测点位布置如上图3.1-4。</w:t>
      </w:r>
    </w:p>
    <w:p>
      <w:pPr>
        <w:pStyle w:val="32"/>
        <w:jc w:val="center"/>
        <w:rPr>
          <w:b/>
          <w:bCs/>
          <w:color w:val="auto"/>
          <w:sz w:val="21"/>
          <w:szCs w:val="21"/>
        </w:rPr>
      </w:pPr>
      <w:r>
        <w:rPr>
          <w:rFonts w:hint="eastAsia"/>
          <w:b/>
          <w:bCs/>
          <w:color w:val="auto"/>
          <w:kern w:val="2"/>
          <w:sz w:val="21"/>
          <w:szCs w:val="21"/>
        </w:rPr>
        <w:t>表3.1-1</w:t>
      </w:r>
      <w:r>
        <w:rPr>
          <w:rFonts w:hint="eastAsia"/>
          <w:b/>
          <w:bCs/>
          <w:color w:val="auto"/>
          <w:kern w:val="2"/>
          <w:sz w:val="21"/>
          <w:szCs w:val="21"/>
          <w:lang w:val="en-US" w:eastAsia="zh-CN"/>
        </w:rPr>
        <w:t>1</w:t>
      </w:r>
      <w:r>
        <w:rPr>
          <w:rFonts w:hint="eastAsia"/>
          <w:b/>
          <w:bCs/>
          <w:color w:val="auto"/>
          <w:kern w:val="2"/>
          <w:sz w:val="21"/>
          <w:szCs w:val="21"/>
        </w:rPr>
        <w:t xml:space="preserve">  现有项目噪声监测结果</w:t>
      </w:r>
    </w:p>
    <w:tbl>
      <w:tblPr>
        <w:tblStyle w:val="23"/>
        <w:tblW w:w="8944" w:type="dxa"/>
        <w:tblInd w:w="0" w:type="dxa"/>
        <w:tblLayout w:type="fixed"/>
        <w:tblCellMar>
          <w:top w:w="0" w:type="dxa"/>
          <w:left w:w="108" w:type="dxa"/>
          <w:bottom w:w="0" w:type="dxa"/>
          <w:right w:w="108" w:type="dxa"/>
        </w:tblCellMar>
      </w:tblPr>
      <w:tblGrid>
        <w:gridCol w:w="1504"/>
        <w:gridCol w:w="1563"/>
        <w:gridCol w:w="1563"/>
        <w:gridCol w:w="1563"/>
        <w:gridCol w:w="1569"/>
        <w:gridCol w:w="1182"/>
      </w:tblGrid>
      <w:tr>
        <w:tblPrEx>
          <w:tblCellMar>
            <w:top w:w="0" w:type="dxa"/>
            <w:left w:w="108" w:type="dxa"/>
            <w:bottom w:w="0" w:type="dxa"/>
            <w:right w:w="108" w:type="dxa"/>
          </w:tblCellMar>
        </w:tblPrEx>
        <w:trPr>
          <w:trHeight w:val="397" w:hRule="atLeast"/>
        </w:trPr>
        <w:tc>
          <w:tcPr>
            <w:tcW w:w="1504" w:type="dxa"/>
            <w:vMerge w:val="restart"/>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检测时间</w:t>
            </w:r>
          </w:p>
        </w:tc>
        <w:tc>
          <w:tcPr>
            <w:tcW w:w="6258" w:type="dxa"/>
            <w:gridSpan w:val="4"/>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检测点位及检测结果 Leq</w:t>
            </w:r>
          </w:p>
        </w:tc>
        <w:tc>
          <w:tcPr>
            <w:tcW w:w="1182" w:type="dxa"/>
            <w:vMerge w:val="restart"/>
            <w:tcBorders>
              <w:top w:val="single" w:color="000000" w:sz="4" w:space="0"/>
              <w:left w:val="nil"/>
              <w:right w:val="single" w:color="000000" w:sz="4" w:space="0"/>
            </w:tcBorders>
            <w:tcMar>
              <w:top w:w="0" w:type="dxa"/>
              <w:left w:w="108" w:type="dxa"/>
              <w:bottom w:w="0" w:type="dxa"/>
              <w:right w:w="108" w:type="dxa"/>
            </w:tcMar>
            <w:vAlign w:val="center"/>
          </w:tcPr>
          <w:p>
            <w:pPr>
              <w:autoSpaceDN w:val="0"/>
              <w:snapToGrid w:val="0"/>
              <w:spacing w:line="280" w:lineRule="exact"/>
              <w:jc w:val="center"/>
              <w:rPr>
                <w:color w:val="auto"/>
                <w:sz w:val="21"/>
                <w:szCs w:val="21"/>
              </w:rPr>
            </w:pPr>
            <w:r>
              <w:rPr>
                <w:color w:val="auto"/>
                <w:sz w:val="21"/>
                <w:szCs w:val="21"/>
              </w:rPr>
              <w:t>评价标准</w:t>
            </w:r>
          </w:p>
        </w:tc>
      </w:tr>
      <w:tr>
        <w:tblPrEx>
          <w:tblCellMar>
            <w:top w:w="0" w:type="dxa"/>
            <w:left w:w="108" w:type="dxa"/>
            <w:bottom w:w="0" w:type="dxa"/>
            <w:right w:w="108" w:type="dxa"/>
          </w:tblCellMar>
        </w:tblPrEx>
        <w:trPr>
          <w:trHeight w:val="397" w:hRule="atLeast"/>
        </w:trPr>
        <w:tc>
          <w:tcPr>
            <w:tcW w:w="1504" w:type="dxa"/>
            <w:vMerge w:val="continue"/>
            <w:tcBorders>
              <w:left w:val="single" w:color="000000" w:sz="4" w:space="0"/>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1#</w:t>
            </w:r>
          </w:p>
          <w:p>
            <w:pPr>
              <w:autoSpaceDN w:val="0"/>
              <w:spacing w:line="280" w:lineRule="exact"/>
              <w:jc w:val="center"/>
              <w:rPr>
                <w:color w:val="auto"/>
                <w:sz w:val="21"/>
                <w:szCs w:val="21"/>
              </w:rPr>
            </w:pPr>
            <w:r>
              <w:rPr>
                <w:color w:val="auto"/>
                <w:sz w:val="21"/>
                <w:szCs w:val="21"/>
              </w:rPr>
              <w:t>厂界东外1m处</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napToGrid w:val="0"/>
              <w:spacing w:line="280" w:lineRule="exact"/>
              <w:jc w:val="center"/>
              <w:rPr>
                <w:color w:val="auto"/>
                <w:sz w:val="21"/>
                <w:szCs w:val="21"/>
              </w:rPr>
            </w:pPr>
            <w:r>
              <w:rPr>
                <w:color w:val="auto"/>
                <w:sz w:val="21"/>
                <w:szCs w:val="21"/>
              </w:rPr>
              <w:t>2#</w:t>
            </w:r>
          </w:p>
          <w:p>
            <w:pPr>
              <w:autoSpaceDN w:val="0"/>
              <w:snapToGrid w:val="0"/>
              <w:spacing w:line="280" w:lineRule="exact"/>
              <w:jc w:val="center"/>
              <w:rPr>
                <w:color w:val="auto"/>
                <w:sz w:val="21"/>
                <w:szCs w:val="21"/>
              </w:rPr>
            </w:pPr>
            <w:r>
              <w:rPr>
                <w:color w:val="auto"/>
                <w:sz w:val="21"/>
                <w:szCs w:val="21"/>
              </w:rPr>
              <w:t>厂界南外1m处</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3#</w:t>
            </w:r>
          </w:p>
          <w:p>
            <w:pPr>
              <w:autoSpaceDN w:val="0"/>
              <w:spacing w:line="280" w:lineRule="exact"/>
              <w:jc w:val="center"/>
              <w:rPr>
                <w:color w:val="auto"/>
                <w:sz w:val="21"/>
                <w:szCs w:val="21"/>
              </w:rPr>
            </w:pPr>
            <w:r>
              <w:rPr>
                <w:color w:val="auto"/>
                <w:sz w:val="21"/>
                <w:szCs w:val="21"/>
              </w:rPr>
              <w:t>厂界西外1m处</w:t>
            </w:r>
          </w:p>
        </w:tc>
        <w:tc>
          <w:tcPr>
            <w:tcW w:w="1569"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4#</w:t>
            </w:r>
          </w:p>
          <w:p>
            <w:pPr>
              <w:autoSpaceDN w:val="0"/>
              <w:spacing w:line="280" w:lineRule="exact"/>
              <w:jc w:val="center"/>
              <w:rPr>
                <w:color w:val="auto"/>
                <w:sz w:val="21"/>
                <w:szCs w:val="21"/>
              </w:rPr>
            </w:pPr>
            <w:r>
              <w:rPr>
                <w:color w:val="auto"/>
                <w:sz w:val="21"/>
                <w:szCs w:val="21"/>
              </w:rPr>
              <w:t>厂界北外1m处</w:t>
            </w:r>
          </w:p>
        </w:tc>
        <w:tc>
          <w:tcPr>
            <w:tcW w:w="1182" w:type="dxa"/>
            <w:vMerge w:val="continue"/>
            <w:tcBorders>
              <w:left w:val="nil"/>
              <w:right w:val="single" w:color="000000" w:sz="4" w:space="0"/>
            </w:tcBorders>
            <w:tcMar>
              <w:top w:w="0" w:type="dxa"/>
              <w:left w:w="108" w:type="dxa"/>
              <w:bottom w:w="0" w:type="dxa"/>
              <w:right w:w="108" w:type="dxa"/>
            </w:tcMar>
            <w:vAlign w:val="center"/>
          </w:tcPr>
          <w:p>
            <w:pPr>
              <w:autoSpaceDN w:val="0"/>
              <w:snapToGrid w:val="0"/>
              <w:spacing w:line="280" w:lineRule="exact"/>
              <w:jc w:val="center"/>
              <w:rPr>
                <w:color w:val="auto"/>
                <w:sz w:val="21"/>
                <w:szCs w:val="21"/>
              </w:rPr>
            </w:pPr>
          </w:p>
        </w:tc>
      </w:tr>
      <w:tr>
        <w:tblPrEx>
          <w:tblCellMar>
            <w:top w:w="0" w:type="dxa"/>
            <w:left w:w="108" w:type="dxa"/>
            <w:bottom w:w="0" w:type="dxa"/>
            <w:right w:w="108" w:type="dxa"/>
          </w:tblCellMar>
        </w:tblPrEx>
        <w:trPr>
          <w:trHeight w:val="397" w:hRule="atLeast"/>
        </w:trPr>
        <w:tc>
          <w:tcPr>
            <w:tcW w:w="1504" w:type="dxa"/>
            <w:tcBorders>
              <w:left w:val="single" w:color="000000" w:sz="4" w:space="0"/>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噪声源</w:t>
            </w:r>
          </w:p>
        </w:tc>
        <w:tc>
          <w:tcPr>
            <w:tcW w:w="6258" w:type="dxa"/>
            <w:gridSpan w:val="4"/>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rFonts w:hint="eastAsia"/>
                <w:color w:val="auto"/>
                <w:sz w:val="21"/>
                <w:szCs w:val="21"/>
              </w:rPr>
              <w:t>机械设备运行</w:t>
            </w:r>
          </w:p>
        </w:tc>
        <w:tc>
          <w:tcPr>
            <w:tcW w:w="1182" w:type="dxa"/>
            <w:vMerge w:val="continue"/>
            <w:tcBorders>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p>
        </w:tc>
      </w:tr>
      <w:tr>
        <w:tblPrEx>
          <w:tblCellMar>
            <w:top w:w="0" w:type="dxa"/>
            <w:left w:w="108" w:type="dxa"/>
            <w:bottom w:w="0" w:type="dxa"/>
            <w:right w:w="108" w:type="dxa"/>
          </w:tblCellMar>
        </w:tblPrEx>
        <w:trPr>
          <w:trHeight w:val="397" w:hRule="atLeast"/>
        </w:trPr>
        <w:tc>
          <w:tcPr>
            <w:tcW w:w="1504"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autoSpaceDN w:val="0"/>
              <w:snapToGrid w:val="0"/>
              <w:spacing w:line="280" w:lineRule="exact"/>
              <w:jc w:val="center"/>
              <w:rPr>
                <w:color w:val="auto"/>
                <w:sz w:val="21"/>
                <w:szCs w:val="21"/>
              </w:rPr>
            </w:pPr>
            <w:r>
              <w:rPr>
                <w:color w:val="auto"/>
                <w:sz w:val="21"/>
                <w:szCs w:val="21"/>
              </w:rPr>
              <w:t>昼间</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54.6</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54.1</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53.9</w:t>
            </w:r>
          </w:p>
        </w:tc>
        <w:tc>
          <w:tcPr>
            <w:tcW w:w="1569"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56.0</w:t>
            </w:r>
          </w:p>
        </w:tc>
        <w:tc>
          <w:tcPr>
            <w:tcW w:w="1182"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color w:val="auto"/>
                <w:sz w:val="21"/>
                <w:szCs w:val="21"/>
              </w:rPr>
              <w:t>60</w:t>
            </w:r>
          </w:p>
        </w:tc>
      </w:tr>
      <w:tr>
        <w:tblPrEx>
          <w:tblCellMar>
            <w:top w:w="0" w:type="dxa"/>
            <w:left w:w="108" w:type="dxa"/>
            <w:bottom w:w="0" w:type="dxa"/>
            <w:right w:w="108" w:type="dxa"/>
          </w:tblCellMar>
        </w:tblPrEx>
        <w:trPr>
          <w:trHeight w:val="397" w:hRule="atLeast"/>
        </w:trPr>
        <w:tc>
          <w:tcPr>
            <w:tcW w:w="1504"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autoSpaceDN w:val="0"/>
              <w:snapToGrid w:val="0"/>
              <w:spacing w:line="280" w:lineRule="exact"/>
              <w:jc w:val="center"/>
              <w:rPr>
                <w:color w:val="auto"/>
                <w:sz w:val="21"/>
                <w:szCs w:val="21"/>
              </w:rPr>
            </w:pPr>
            <w:r>
              <w:rPr>
                <w:rFonts w:hint="eastAsia"/>
                <w:color w:val="auto"/>
                <w:sz w:val="21"/>
                <w:szCs w:val="21"/>
              </w:rPr>
              <w:t>夜间</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46.8</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45.2</w:t>
            </w:r>
          </w:p>
        </w:tc>
        <w:tc>
          <w:tcPr>
            <w:tcW w:w="1563"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45.8</w:t>
            </w:r>
          </w:p>
        </w:tc>
        <w:tc>
          <w:tcPr>
            <w:tcW w:w="1569"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spacing w:line="280" w:lineRule="exact"/>
              <w:jc w:val="center"/>
              <w:rPr>
                <w:color w:val="auto"/>
                <w:sz w:val="21"/>
                <w:szCs w:val="21"/>
              </w:rPr>
            </w:pPr>
            <w:r>
              <w:rPr>
                <w:rFonts w:hint="eastAsia"/>
                <w:color w:val="auto"/>
                <w:sz w:val="21"/>
                <w:szCs w:val="21"/>
              </w:rPr>
              <w:t>46.1</w:t>
            </w:r>
          </w:p>
        </w:tc>
        <w:tc>
          <w:tcPr>
            <w:tcW w:w="1182" w:type="dxa"/>
            <w:tcBorders>
              <w:top w:val="single" w:color="000000" w:sz="4" w:space="0"/>
              <w:left w:val="nil"/>
              <w:bottom w:val="single" w:color="000000" w:sz="4" w:space="0"/>
              <w:right w:val="single" w:color="000000" w:sz="4" w:space="0"/>
            </w:tcBorders>
            <w:tcMar>
              <w:top w:w="0" w:type="dxa"/>
              <w:left w:w="108" w:type="dxa"/>
              <w:bottom w:w="0" w:type="dxa"/>
              <w:right w:w="108" w:type="dxa"/>
            </w:tcMar>
            <w:vAlign w:val="center"/>
          </w:tcPr>
          <w:p>
            <w:pPr>
              <w:autoSpaceDN w:val="0"/>
              <w:spacing w:line="280" w:lineRule="exact"/>
              <w:jc w:val="center"/>
              <w:rPr>
                <w:color w:val="auto"/>
                <w:sz w:val="21"/>
                <w:szCs w:val="21"/>
              </w:rPr>
            </w:pPr>
            <w:r>
              <w:rPr>
                <w:rFonts w:hint="eastAsia"/>
                <w:color w:val="auto"/>
                <w:sz w:val="21"/>
                <w:szCs w:val="21"/>
              </w:rPr>
              <w:t>50</w:t>
            </w:r>
          </w:p>
        </w:tc>
      </w:tr>
      <w:tr>
        <w:tblPrEx>
          <w:tblCellMar>
            <w:top w:w="0" w:type="dxa"/>
            <w:left w:w="108" w:type="dxa"/>
            <w:bottom w:w="0" w:type="dxa"/>
            <w:right w:w="108" w:type="dxa"/>
          </w:tblCellMar>
        </w:tblPrEx>
        <w:trPr>
          <w:trHeight w:val="397" w:hRule="atLeast"/>
        </w:trPr>
        <w:tc>
          <w:tcPr>
            <w:tcW w:w="8944" w:type="dxa"/>
            <w:gridSpan w:val="6"/>
            <w:tcBorders>
              <w:left w:val="single" w:color="000000" w:sz="4" w:space="0"/>
              <w:bottom w:val="single" w:color="000000" w:sz="4" w:space="0"/>
              <w:right w:val="single" w:color="000000" w:sz="4" w:space="0"/>
            </w:tcBorders>
            <w:tcMar>
              <w:top w:w="0" w:type="dxa"/>
              <w:left w:w="108" w:type="dxa"/>
              <w:bottom w:w="0" w:type="dxa"/>
              <w:right w:w="108" w:type="dxa"/>
            </w:tcMar>
            <w:vAlign w:val="center"/>
          </w:tcPr>
          <w:p>
            <w:pPr>
              <w:spacing w:line="280" w:lineRule="exact"/>
              <w:jc w:val="both"/>
              <w:rPr>
                <w:color w:val="auto"/>
                <w:sz w:val="21"/>
                <w:szCs w:val="21"/>
              </w:rPr>
            </w:pPr>
            <w:r>
              <w:rPr>
                <w:color w:val="auto"/>
                <w:sz w:val="21"/>
                <w:szCs w:val="21"/>
              </w:rPr>
              <w:t>备注：评价标准参照《工业企业厂界环境噪声排放标准》（GB 12348-2008）2类限值。</w:t>
            </w:r>
          </w:p>
        </w:tc>
      </w:tr>
    </w:tbl>
    <w:p>
      <w:pPr>
        <w:spacing w:line="360" w:lineRule="auto"/>
        <w:ind w:firstLine="480" w:firstLineChars="200"/>
        <w:rPr>
          <w:color w:val="auto"/>
          <w:sz w:val="24"/>
        </w:rPr>
      </w:pPr>
      <w:r>
        <w:rPr>
          <w:rFonts w:hint="eastAsia"/>
          <w:color w:val="auto"/>
          <w:sz w:val="24"/>
        </w:rPr>
        <w:t>由上表可知，</w:t>
      </w:r>
      <w:r>
        <w:rPr>
          <w:color w:val="auto"/>
          <w:sz w:val="24"/>
        </w:rPr>
        <w:t>现有项目厂界噪声可达到《工业企业厂界环境噪声排放标准》（GB12348-2008）</w:t>
      </w:r>
      <w:r>
        <w:rPr>
          <w:rFonts w:hint="eastAsia"/>
          <w:color w:val="auto"/>
          <w:sz w:val="24"/>
        </w:rPr>
        <w:t>2</w:t>
      </w:r>
      <w:r>
        <w:rPr>
          <w:color w:val="auto"/>
          <w:sz w:val="24"/>
        </w:rPr>
        <w:t>类标准。</w:t>
      </w:r>
    </w:p>
    <w:p>
      <w:pPr>
        <w:spacing w:line="360" w:lineRule="auto"/>
        <w:ind w:firstLine="480" w:firstLineChars="200"/>
        <w:rPr>
          <w:color w:val="auto"/>
          <w:sz w:val="24"/>
        </w:rPr>
      </w:pPr>
      <w:r>
        <w:rPr>
          <w:color w:val="auto"/>
          <w:sz w:val="24"/>
        </w:rPr>
        <w:t>4、固废</w:t>
      </w:r>
    </w:p>
    <w:p>
      <w:pPr>
        <w:spacing w:line="360" w:lineRule="auto"/>
        <w:ind w:firstLine="480" w:firstLineChars="200"/>
        <w:rPr>
          <w:color w:val="auto"/>
          <w:sz w:val="24"/>
        </w:rPr>
      </w:pPr>
      <w:r>
        <w:rPr>
          <w:color w:val="auto"/>
          <w:sz w:val="24"/>
        </w:rPr>
        <w:t>现有项目固废主要为生活垃圾</w:t>
      </w:r>
      <w:r>
        <w:rPr>
          <w:rFonts w:hint="eastAsia"/>
          <w:color w:val="auto"/>
          <w:sz w:val="24"/>
        </w:rPr>
        <w:t>与摇床分离出来的废树脂粉。</w:t>
      </w:r>
    </w:p>
    <w:p>
      <w:pPr>
        <w:spacing w:line="360" w:lineRule="auto"/>
        <w:ind w:firstLine="480" w:firstLineChars="200"/>
        <w:rPr>
          <w:color w:val="auto"/>
          <w:sz w:val="24"/>
        </w:rPr>
      </w:pPr>
      <w:r>
        <w:rPr>
          <w:rFonts w:hint="eastAsia"/>
          <w:color w:val="auto"/>
          <w:sz w:val="24"/>
        </w:rPr>
        <w:t>其中</w:t>
      </w:r>
      <w:r>
        <w:rPr>
          <w:color w:val="auto"/>
          <w:sz w:val="24"/>
        </w:rPr>
        <w:t>生活垃圾产生量约</w:t>
      </w:r>
      <w:r>
        <w:rPr>
          <w:rFonts w:hint="eastAsia"/>
          <w:color w:val="auto"/>
          <w:sz w:val="24"/>
        </w:rPr>
        <w:t>11.25</w:t>
      </w:r>
      <w:r>
        <w:rPr>
          <w:color w:val="auto"/>
          <w:sz w:val="24"/>
        </w:rPr>
        <w:t>t/a，交环卫部门运走处理</w:t>
      </w:r>
      <w:r>
        <w:rPr>
          <w:rFonts w:hint="eastAsia"/>
          <w:color w:val="auto"/>
          <w:sz w:val="24"/>
        </w:rPr>
        <w:t>。从上文可知，现有项目产生的废树脂粉的量为642.6t/a。</w:t>
      </w:r>
      <w:r>
        <w:rPr>
          <w:color w:val="auto"/>
          <w:sz w:val="24"/>
        </w:rPr>
        <w:t>《国家危险废物名录》2016年更新</w:t>
      </w:r>
      <w:r>
        <w:rPr>
          <w:rFonts w:hint="eastAsia"/>
          <w:color w:val="auto"/>
          <w:sz w:val="24"/>
        </w:rPr>
        <w:t>后，明确指出“废覆铜板、废印刷线路板、电路板破碎分选回收金属后产生的废树脂粉”属于HW13有机树脂类危险废物(900-451-13)。随后，信兴公司与青山垃圾填埋场签订废树脂粉处置协议（见附件7），按照危险废物进行处置。</w:t>
      </w:r>
    </w:p>
    <w:p>
      <w:pPr>
        <w:spacing w:line="360" w:lineRule="auto"/>
        <w:ind w:firstLine="480" w:firstLineChars="200"/>
        <w:rPr>
          <w:color w:val="auto"/>
          <w:sz w:val="24"/>
        </w:rPr>
      </w:pPr>
      <w:r>
        <w:rPr>
          <w:color w:val="auto"/>
          <w:sz w:val="24"/>
        </w:rPr>
        <w:t>现有项目污染源情况见</w:t>
      </w:r>
      <w:r>
        <w:rPr>
          <w:rFonts w:hint="eastAsia"/>
          <w:color w:val="auto"/>
          <w:sz w:val="24"/>
        </w:rPr>
        <w:t>下表</w:t>
      </w:r>
      <w:r>
        <w:rPr>
          <w:color w:val="auto"/>
          <w:sz w:val="24"/>
        </w:rPr>
        <w:t>。</w:t>
      </w:r>
    </w:p>
    <w:p>
      <w:pPr>
        <w:pStyle w:val="9"/>
        <w:rPr>
          <w:rFonts w:ascii="Times New Roman" w:hAnsi="Times New Roman" w:eastAsia="宋体"/>
          <w:color w:val="auto"/>
          <w:sz w:val="21"/>
        </w:rPr>
      </w:pPr>
      <w:r>
        <w:rPr>
          <w:rFonts w:ascii="Times New Roman" w:hAnsi="Times New Roman" w:eastAsia="宋体"/>
          <w:color w:val="auto"/>
          <w:sz w:val="21"/>
        </w:rPr>
        <w:t>表3.1-</w:t>
      </w:r>
      <w:r>
        <w:rPr>
          <w:rFonts w:hint="eastAsia" w:ascii="Times New Roman" w:hAnsi="Times New Roman" w:eastAsia="宋体"/>
          <w:color w:val="auto"/>
          <w:sz w:val="21"/>
        </w:rPr>
        <w:t>1</w:t>
      </w:r>
      <w:r>
        <w:rPr>
          <w:rFonts w:hint="eastAsia" w:ascii="Times New Roman" w:hAnsi="Times New Roman" w:eastAsia="宋体"/>
          <w:color w:val="auto"/>
          <w:sz w:val="21"/>
          <w:lang w:val="en-US" w:eastAsia="zh-CN"/>
        </w:rPr>
        <w:t>2</w:t>
      </w:r>
      <w:r>
        <w:rPr>
          <w:rFonts w:hint="eastAsia" w:ascii="Times New Roman" w:hAnsi="Times New Roman" w:eastAsia="宋体"/>
          <w:color w:val="auto"/>
          <w:sz w:val="21"/>
        </w:rPr>
        <w:t xml:space="preserve">  </w:t>
      </w:r>
      <w:r>
        <w:rPr>
          <w:rFonts w:ascii="Times New Roman" w:hAnsi="Times New Roman" w:eastAsia="宋体"/>
          <w:color w:val="auto"/>
          <w:sz w:val="21"/>
        </w:rPr>
        <w:t>现有项目全厂污染源分析</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360"/>
        <w:gridCol w:w="1093"/>
        <w:gridCol w:w="1262"/>
        <w:gridCol w:w="1663"/>
        <w:gridCol w:w="2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shd w:val="clear" w:color="auto" w:fill="auto"/>
            <w:vAlign w:val="center"/>
          </w:tcPr>
          <w:p>
            <w:pPr>
              <w:jc w:val="center"/>
              <w:rPr>
                <w:b w:val="0"/>
                <w:bCs w:val="0"/>
                <w:color w:val="auto"/>
                <w:sz w:val="21"/>
                <w:szCs w:val="21"/>
              </w:rPr>
            </w:pPr>
            <w:r>
              <w:rPr>
                <w:b w:val="0"/>
                <w:bCs w:val="0"/>
                <w:color w:val="auto"/>
                <w:sz w:val="21"/>
                <w:szCs w:val="21"/>
              </w:rPr>
              <w:t>项目</w:t>
            </w:r>
          </w:p>
        </w:tc>
        <w:tc>
          <w:tcPr>
            <w:tcW w:w="1360" w:type="dxa"/>
            <w:shd w:val="clear" w:color="auto" w:fill="auto"/>
            <w:vAlign w:val="center"/>
          </w:tcPr>
          <w:p>
            <w:pPr>
              <w:jc w:val="center"/>
              <w:rPr>
                <w:b w:val="0"/>
                <w:bCs w:val="0"/>
                <w:color w:val="auto"/>
                <w:sz w:val="21"/>
                <w:szCs w:val="21"/>
              </w:rPr>
            </w:pPr>
            <w:r>
              <w:rPr>
                <w:b w:val="0"/>
                <w:bCs w:val="0"/>
                <w:color w:val="auto"/>
                <w:sz w:val="21"/>
                <w:szCs w:val="21"/>
              </w:rPr>
              <w:t>污染物</w:t>
            </w:r>
          </w:p>
        </w:tc>
        <w:tc>
          <w:tcPr>
            <w:tcW w:w="1093" w:type="dxa"/>
            <w:shd w:val="clear" w:color="auto" w:fill="auto"/>
            <w:vAlign w:val="center"/>
          </w:tcPr>
          <w:p>
            <w:pPr>
              <w:jc w:val="center"/>
              <w:rPr>
                <w:b w:val="0"/>
                <w:bCs w:val="0"/>
                <w:color w:val="auto"/>
                <w:sz w:val="21"/>
                <w:szCs w:val="21"/>
              </w:rPr>
            </w:pPr>
            <w:r>
              <w:rPr>
                <w:b w:val="0"/>
                <w:bCs w:val="0"/>
                <w:color w:val="auto"/>
                <w:sz w:val="21"/>
                <w:szCs w:val="21"/>
              </w:rPr>
              <w:t>产生量（t/a）</w:t>
            </w:r>
          </w:p>
        </w:tc>
        <w:tc>
          <w:tcPr>
            <w:tcW w:w="1262" w:type="dxa"/>
            <w:shd w:val="clear" w:color="auto" w:fill="auto"/>
            <w:vAlign w:val="center"/>
          </w:tcPr>
          <w:p>
            <w:pPr>
              <w:jc w:val="center"/>
              <w:rPr>
                <w:b w:val="0"/>
                <w:bCs w:val="0"/>
                <w:color w:val="auto"/>
                <w:sz w:val="21"/>
                <w:szCs w:val="21"/>
              </w:rPr>
            </w:pPr>
            <w:r>
              <w:rPr>
                <w:b w:val="0"/>
                <w:bCs w:val="0"/>
                <w:color w:val="auto"/>
                <w:sz w:val="21"/>
                <w:szCs w:val="21"/>
              </w:rPr>
              <w:t>削减量（t/a）</w:t>
            </w:r>
          </w:p>
        </w:tc>
        <w:tc>
          <w:tcPr>
            <w:tcW w:w="1663" w:type="dxa"/>
            <w:shd w:val="clear" w:color="auto" w:fill="auto"/>
            <w:vAlign w:val="center"/>
          </w:tcPr>
          <w:p>
            <w:pPr>
              <w:jc w:val="center"/>
              <w:rPr>
                <w:b w:val="0"/>
                <w:bCs w:val="0"/>
                <w:color w:val="auto"/>
                <w:sz w:val="21"/>
                <w:szCs w:val="21"/>
              </w:rPr>
            </w:pPr>
            <w:r>
              <w:rPr>
                <w:b w:val="0"/>
                <w:bCs w:val="0"/>
                <w:color w:val="auto"/>
                <w:sz w:val="21"/>
                <w:szCs w:val="21"/>
              </w:rPr>
              <w:t>排放量（t/a）</w:t>
            </w:r>
          </w:p>
        </w:tc>
        <w:tc>
          <w:tcPr>
            <w:tcW w:w="2360" w:type="dxa"/>
            <w:shd w:val="clear" w:color="auto" w:fill="auto"/>
            <w:vAlign w:val="center"/>
          </w:tcPr>
          <w:p>
            <w:pPr>
              <w:jc w:val="center"/>
              <w:rPr>
                <w:b w:val="0"/>
                <w:bCs w:val="0"/>
                <w:color w:val="auto"/>
                <w:sz w:val="21"/>
                <w:szCs w:val="21"/>
              </w:rPr>
            </w:pPr>
            <w:r>
              <w:rPr>
                <w:rFonts w:hint="eastAsia"/>
                <w:b w:val="0"/>
                <w:bCs w:val="0"/>
                <w:color w:val="auto"/>
                <w:sz w:val="21"/>
                <w:szCs w:val="21"/>
                <w:lang w:val="en-US" w:eastAsia="zh-CN"/>
              </w:rPr>
              <w:t>治理</w:t>
            </w:r>
            <w:r>
              <w:rPr>
                <w:b w:val="0"/>
                <w:bCs w:val="0"/>
                <w:color w:val="auto"/>
                <w:sz w:val="21"/>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1210" w:type="dxa"/>
            <w:vMerge w:val="restart"/>
            <w:shd w:val="clear" w:color="auto" w:fill="auto"/>
            <w:vAlign w:val="center"/>
          </w:tcPr>
          <w:p>
            <w:pPr>
              <w:jc w:val="center"/>
              <w:rPr>
                <w:b w:val="0"/>
                <w:bCs w:val="0"/>
                <w:color w:val="auto"/>
                <w:sz w:val="21"/>
                <w:szCs w:val="21"/>
              </w:rPr>
            </w:pPr>
            <w:r>
              <w:rPr>
                <w:rFonts w:hint="eastAsia"/>
                <w:b w:val="0"/>
                <w:bCs w:val="0"/>
                <w:color w:val="auto"/>
                <w:sz w:val="21"/>
                <w:szCs w:val="21"/>
              </w:rPr>
              <w:t>废水</w:t>
            </w:r>
          </w:p>
        </w:tc>
        <w:tc>
          <w:tcPr>
            <w:tcW w:w="1360" w:type="dxa"/>
            <w:shd w:val="clear" w:color="auto" w:fill="auto"/>
            <w:vAlign w:val="center"/>
          </w:tcPr>
          <w:p>
            <w:pPr>
              <w:jc w:val="center"/>
              <w:rPr>
                <w:b w:val="0"/>
                <w:bCs w:val="0"/>
                <w:color w:val="auto"/>
                <w:sz w:val="21"/>
                <w:szCs w:val="21"/>
              </w:rPr>
            </w:pPr>
            <w:r>
              <w:rPr>
                <w:rFonts w:hint="eastAsia"/>
                <w:b w:val="0"/>
                <w:bCs w:val="0"/>
                <w:color w:val="auto"/>
                <w:sz w:val="21"/>
                <w:szCs w:val="21"/>
                <w:lang w:val="en-US" w:eastAsia="zh-CN"/>
              </w:rPr>
              <w:t>污</w:t>
            </w:r>
            <w:r>
              <w:rPr>
                <w:rFonts w:hint="eastAsia"/>
                <w:b w:val="0"/>
                <w:bCs w:val="0"/>
                <w:color w:val="auto"/>
                <w:sz w:val="21"/>
                <w:szCs w:val="21"/>
              </w:rPr>
              <w:t>水量</w:t>
            </w:r>
          </w:p>
        </w:tc>
        <w:tc>
          <w:tcPr>
            <w:tcW w:w="1093" w:type="dxa"/>
            <w:shd w:val="clear" w:color="auto" w:fill="auto"/>
            <w:vAlign w:val="center"/>
          </w:tcPr>
          <w:p>
            <w:pPr>
              <w:jc w:val="center"/>
              <w:rPr>
                <w:b w:val="0"/>
                <w:bCs w:val="0"/>
                <w:color w:val="auto"/>
                <w:sz w:val="21"/>
                <w:szCs w:val="21"/>
              </w:rPr>
            </w:pPr>
            <w:r>
              <w:rPr>
                <w:rFonts w:hint="eastAsia"/>
                <w:b w:val="0"/>
                <w:bCs w:val="0"/>
                <w:color w:val="auto"/>
                <w:sz w:val="21"/>
                <w:szCs w:val="21"/>
              </w:rPr>
              <w:t>2025</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w:t>
            </w:r>
          </w:p>
        </w:tc>
        <w:tc>
          <w:tcPr>
            <w:tcW w:w="1663" w:type="dxa"/>
            <w:shd w:val="clear" w:color="auto" w:fill="auto"/>
            <w:vAlign w:val="center"/>
          </w:tcPr>
          <w:p>
            <w:pPr>
              <w:jc w:val="center"/>
              <w:rPr>
                <w:b w:val="0"/>
                <w:bCs w:val="0"/>
                <w:color w:val="auto"/>
                <w:sz w:val="21"/>
                <w:szCs w:val="21"/>
              </w:rPr>
            </w:pPr>
            <w:r>
              <w:rPr>
                <w:rFonts w:hint="eastAsia"/>
                <w:b w:val="0"/>
                <w:bCs w:val="0"/>
                <w:color w:val="auto"/>
                <w:sz w:val="21"/>
                <w:szCs w:val="21"/>
              </w:rPr>
              <w:t>2025</w:t>
            </w:r>
          </w:p>
        </w:tc>
        <w:tc>
          <w:tcPr>
            <w:tcW w:w="2360" w:type="dxa"/>
            <w:vMerge w:val="restart"/>
            <w:shd w:val="clear" w:color="auto" w:fill="auto"/>
            <w:vAlign w:val="center"/>
          </w:tcPr>
          <w:p>
            <w:pPr>
              <w:jc w:val="center"/>
              <w:rPr>
                <w:b w:val="0"/>
                <w:bCs w:val="0"/>
                <w:color w:val="auto"/>
                <w:sz w:val="21"/>
                <w:szCs w:val="21"/>
              </w:rPr>
            </w:pPr>
            <w:r>
              <w:rPr>
                <w:b w:val="0"/>
                <w:bCs w:val="0"/>
                <w:color w:val="auto"/>
                <w:sz w:val="21"/>
                <w:szCs w:val="21"/>
              </w:rPr>
              <w:t>地埋式微动力处理装置处理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b w:val="0"/>
                <w:bCs w:val="0"/>
                <w:color w:val="auto"/>
                <w:sz w:val="21"/>
                <w:szCs w:val="21"/>
              </w:rPr>
            </w:pPr>
            <w:r>
              <w:rPr>
                <w:b w:val="0"/>
                <w:bCs w:val="0"/>
                <w:color w:val="auto"/>
                <w:sz w:val="21"/>
                <w:szCs w:val="21"/>
              </w:rPr>
              <w:t>COD</w:t>
            </w:r>
            <w:r>
              <w:rPr>
                <w:b w:val="0"/>
                <w:bCs w:val="0"/>
                <w:color w:val="auto"/>
                <w:sz w:val="21"/>
                <w:szCs w:val="21"/>
                <w:vertAlign w:val="subscript"/>
              </w:rPr>
              <w:t>Cr</w:t>
            </w:r>
          </w:p>
        </w:tc>
        <w:tc>
          <w:tcPr>
            <w:tcW w:w="1093" w:type="dxa"/>
            <w:shd w:val="clear" w:color="auto" w:fill="auto"/>
            <w:vAlign w:val="center"/>
          </w:tcPr>
          <w:p>
            <w:pPr>
              <w:jc w:val="center"/>
              <w:rPr>
                <w:b w:val="0"/>
                <w:bCs w:val="0"/>
                <w:color w:val="auto"/>
                <w:sz w:val="21"/>
                <w:szCs w:val="21"/>
              </w:rPr>
            </w:pPr>
            <w:r>
              <w:rPr>
                <w:b w:val="0"/>
                <w:bCs w:val="0"/>
                <w:color w:val="auto"/>
                <w:sz w:val="21"/>
                <w:szCs w:val="21"/>
              </w:rPr>
              <w:t>0.506</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0.324</w:t>
            </w:r>
          </w:p>
        </w:tc>
        <w:tc>
          <w:tcPr>
            <w:tcW w:w="1663" w:type="dxa"/>
            <w:shd w:val="clear" w:color="auto" w:fill="auto"/>
            <w:vAlign w:val="center"/>
          </w:tcPr>
          <w:p>
            <w:pPr>
              <w:jc w:val="center"/>
              <w:rPr>
                <w:b w:val="0"/>
                <w:bCs w:val="0"/>
                <w:color w:val="auto"/>
                <w:sz w:val="21"/>
                <w:szCs w:val="21"/>
              </w:rPr>
            </w:pPr>
            <w:r>
              <w:rPr>
                <w:b w:val="0"/>
                <w:bCs w:val="0"/>
                <w:color w:val="auto"/>
                <w:sz w:val="21"/>
                <w:szCs w:val="21"/>
              </w:rPr>
              <w:t>0.182</w:t>
            </w:r>
          </w:p>
        </w:tc>
        <w:tc>
          <w:tcPr>
            <w:tcW w:w="2360" w:type="dxa"/>
            <w:vMerge w:val="continue"/>
            <w:shd w:val="clear" w:color="auto" w:fill="auto"/>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1093" w:type="dxa"/>
            <w:shd w:val="clear" w:color="auto" w:fill="auto"/>
            <w:vAlign w:val="center"/>
          </w:tcPr>
          <w:p>
            <w:pPr>
              <w:jc w:val="center"/>
              <w:rPr>
                <w:b w:val="0"/>
                <w:bCs w:val="0"/>
                <w:color w:val="auto"/>
                <w:sz w:val="21"/>
                <w:szCs w:val="21"/>
              </w:rPr>
            </w:pPr>
            <w:r>
              <w:rPr>
                <w:b w:val="0"/>
                <w:bCs w:val="0"/>
                <w:color w:val="auto"/>
                <w:sz w:val="21"/>
                <w:szCs w:val="21"/>
              </w:rPr>
              <w:t>0.365</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0.324</w:t>
            </w:r>
          </w:p>
        </w:tc>
        <w:tc>
          <w:tcPr>
            <w:tcW w:w="1663" w:type="dxa"/>
            <w:shd w:val="clear" w:color="auto" w:fill="auto"/>
            <w:vAlign w:val="center"/>
          </w:tcPr>
          <w:p>
            <w:pPr>
              <w:jc w:val="center"/>
              <w:rPr>
                <w:b w:val="0"/>
                <w:bCs w:val="0"/>
                <w:color w:val="auto"/>
                <w:sz w:val="21"/>
                <w:szCs w:val="21"/>
              </w:rPr>
            </w:pPr>
            <w:r>
              <w:rPr>
                <w:b w:val="0"/>
                <w:bCs w:val="0"/>
                <w:color w:val="auto"/>
                <w:sz w:val="21"/>
                <w:szCs w:val="21"/>
              </w:rPr>
              <w:t>0.041</w:t>
            </w:r>
          </w:p>
        </w:tc>
        <w:tc>
          <w:tcPr>
            <w:tcW w:w="2360" w:type="dxa"/>
            <w:vMerge w:val="continue"/>
            <w:shd w:val="clear" w:color="auto" w:fill="auto"/>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b w:val="0"/>
                <w:bCs w:val="0"/>
                <w:color w:val="auto"/>
                <w:sz w:val="21"/>
                <w:szCs w:val="21"/>
              </w:rPr>
            </w:pPr>
            <w:r>
              <w:rPr>
                <w:b w:val="0"/>
                <w:bCs w:val="0"/>
                <w:color w:val="auto"/>
                <w:sz w:val="21"/>
                <w:szCs w:val="21"/>
              </w:rPr>
              <w:t>SS</w:t>
            </w:r>
          </w:p>
        </w:tc>
        <w:tc>
          <w:tcPr>
            <w:tcW w:w="1093" w:type="dxa"/>
            <w:shd w:val="clear" w:color="auto" w:fill="auto"/>
            <w:vAlign w:val="center"/>
          </w:tcPr>
          <w:p>
            <w:pPr>
              <w:jc w:val="center"/>
              <w:rPr>
                <w:b w:val="0"/>
                <w:bCs w:val="0"/>
                <w:color w:val="auto"/>
                <w:sz w:val="21"/>
                <w:szCs w:val="21"/>
              </w:rPr>
            </w:pPr>
            <w:r>
              <w:rPr>
                <w:b w:val="0"/>
                <w:bCs w:val="0"/>
                <w:color w:val="auto"/>
                <w:sz w:val="21"/>
                <w:szCs w:val="21"/>
              </w:rPr>
              <w:t>0.405</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0.283</w:t>
            </w:r>
          </w:p>
        </w:tc>
        <w:tc>
          <w:tcPr>
            <w:tcW w:w="1663" w:type="dxa"/>
            <w:shd w:val="clear" w:color="auto" w:fill="auto"/>
            <w:vAlign w:val="center"/>
          </w:tcPr>
          <w:p>
            <w:pPr>
              <w:jc w:val="center"/>
              <w:rPr>
                <w:b w:val="0"/>
                <w:bCs w:val="0"/>
                <w:color w:val="auto"/>
                <w:sz w:val="21"/>
                <w:szCs w:val="21"/>
              </w:rPr>
            </w:pPr>
            <w:r>
              <w:rPr>
                <w:b w:val="0"/>
                <w:bCs w:val="0"/>
                <w:color w:val="auto"/>
                <w:sz w:val="21"/>
                <w:szCs w:val="21"/>
              </w:rPr>
              <w:t>0.122</w:t>
            </w:r>
          </w:p>
        </w:tc>
        <w:tc>
          <w:tcPr>
            <w:tcW w:w="2360" w:type="dxa"/>
            <w:vMerge w:val="continue"/>
            <w:shd w:val="clear" w:color="auto" w:fill="auto"/>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b w:val="0"/>
                <w:bCs w:val="0"/>
                <w:color w:val="auto"/>
                <w:sz w:val="21"/>
                <w:szCs w:val="21"/>
              </w:rPr>
            </w:pPr>
            <w:r>
              <w:rPr>
                <w:b w:val="0"/>
                <w:bCs w:val="0"/>
                <w:color w:val="auto"/>
                <w:sz w:val="21"/>
                <w:szCs w:val="21"/>
              </w:rPr>
              <w:t>氨氮</w:t>
            </w:r>
          </w:p>
        </w:tc>
        <w:tc>
          <w:tcPr>
            <w:tcW w:w="1093" w:type="dxa"/>
            <w:shd w:val="clear" w:color="auto" w:fill="auto"/>
            <w:vAlign w:val="center"/>
          </w:tcPr>
          <w:p>
            <w:pPr>
              <w:jc w:val="center"/>
              <w:rPr>
                <w:b w:val="0"/>
                <w:bCs w:val="0"/>
                <w:color w:val="auto"/>
                <w:sz w:val="21"/>
                <w:szCs w:val="21"/>
              </w:rPr>
            </w:pPr>
            <w:r>
              <w:rPr>
                <w:b w:val="0"/>
                <w:bCs w:val="0"/>
                <w:color w:val="auto"/>
                <w:sz w:val="21"/>
                <w:szCs w:val="21"/>
              </w:rPr>
              <w:t>0.081</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0.061</w:t>
            </w:r>
          </w:p>
        </w:tc>
        <w:tc>
          <w:tcPr>
            <w:tcW w:w="1663" w:type="dxa"/>
            <w:shd w:val="clear" w:color="auto" w:fill="auto"/>
            <w:vAlign w:val="center"/>
          </w:tcPr>
          <w:p>
            <w:pPr>
              <w:jc w:val="center"/>
              <w:rPr>
                <w:b w:val="0"/>
                <w:bCs w:val="0"/>
                <w:color w:val="auto"/>
                <w:sz w:val="21"/>
                <w:szCs w:val="21"/>
              </w:rPr>
            </w:pPr>
            <w:r>
              <w:rPr>
                <w:b w:val="0"/>
                <w:bCs w:val="0"/>
                <w:color w:val="auto"/>
                <w:sz w:val="21"/>
                <w:szCs w:val="21"/>
              </w:rPr>
              <w:t>0.020</w:t>
            </w:r>
          </w:p>
        </w:tc>
        <w:tc>
          <w:tcPr>
            <w:tcW w:w="2360" w:type="dxa"/>
            <w:vMerge w:val="continue"/>
            <w:shd w:val="clear" w:color="auto" w:fill="auto"/>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动植物油</w:t>
            </w:r>
          </w:p>
        </w:tc>
        <w:tc>
          <w:tcPr>
            <w:tcW w:w="1093"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0.162</w:t>
            </w:r>
          </w:p>
        </w:tc>
        <w:tc>
          <w:tcPr>
            <w:tcW w:w="1262"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0.142</w:t>
            </w:r>
          </w:p>
        </w:tc>
        <w:tc>
          <w:tcPr>
            <w:tcW w:w="1663"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0.020</w:t>
            </w:r>
          </w:p>
        </w:tc>
        <w:tc>
          <w:tcPr>
            <w:tcW w:w="2360" w:type="dxa"/>
            <w:vMerge w:val="continue"/>
            <w:shd w:val="clear" w:color="auto" w:fill="auto"/>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restart"/>
            <w:shd w:val="clear" w:color="auto" w:fill="auto"/>
            <w:vAlign w:val="center"/>
          </w:tcPr>
          <w:p>
            <w:pPr>
              <w:jc w:val="center"/>
              <w:rPr>
                <w:b w:val="0"/>
                <w:bCs w:val="0"/>
                <w:color w:val="auto"/>
                <w:sz w:val="21"/>
                <w:szCs w:val="21"/>
              </w:rPr>
            </w:pPr>
            <w:r>
              <w:rPr>
                <w:rFonts w:hint="eastAsia"/>
                <w:b w:val="0"/>
                <w:bCs w:val="0"/>
                <w:color w:val="auto"/>
                <w:sz w:val="21"/>
                <w:szCs w:val="21"/>
              </w:rPr>
              <w:t>废气</w:t>
            </w:r>
          </w:p>
        </w:tc>
        <w:tc>
          <w:tcPr>
            <w:tcW w:w="1360" w:type="dxa"/>
            <w:shd w:val="clear" w:color="auto" w:fill="auto"/>
            <w:vAlign w:val="center"/>
          </w:tcPr>
          <w:p>
            <w:pPr>
              <w:jc w:val="center"/>
              <w:rPr>
                <w:b w:val="0"/>
                <w:bCs w:val="0"/>
                <w:color w:val="auto"/>
                <w:sz w:val="21"/>
                <w:szCs w:val="21"/>
              </w:rPr>
            </w:pPr>
            <w:r>
              <w:rPr>
                <w:rFonts w:hint="eastAsia"/>
                <w:b w:val="0"/>
                <w:bCs w:val="0"/>
                <w:color w:val="auto"/>
                <w:sz w:val="21"/>
                <w:szCs w:val="21"/>
              </w:rPr>
              <w:t>颗粒物</w:t>
            </w:r>
          </w:p>
        </w:tc>
        <w:tc>
          <w:tcPr>
            <w:tcW w:w="1093" w:type="dxa"/>
            <w:shd w:val="clear" w:color="auto" w:fill="auto"/>
            <w:vAlign w:val="center"/>
          </w:tcPr>
          <w:p>
            <w:pPr>
              <w:jc w:val="center"/>
              <w:rPr>
                <w:b w:val="0"/>
                <w:bCs w:val="0"/>
                <w:color w:val="auto"/>
                <w:sz w:val="21"/>
                <w:szCs w:val="21"/>
              </w:rPr>
            </w:pPr>
            <w:r>
              <w:rPr>
                <w:rFonts w:hint="eastAsia"/>
                <w:b w:val="0"/>
                <w:bCs w:val="0"/>
                <w:color w:val="auto"/>
                <w:sz w:val="21"/>
                <w:szCs w:val="21"/>
              </w:rPr>
              <w:t>0.21</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0.1176</w:t>
            </w:r>
          </w:p>
        </w:tc>
        <w:tc>
          <w:tcPr>
            <w:tcW w:w="1663" w:type="dxa"/>
            <w:shd w:val="clear" w:color="auto" w:fill="auto"/>
            <w:vAlign w:val="center"/>
          </w:tcPr>
          <w:p>
            <w:pPr>
              <w:jc w:val="center"/>
              <w:rPr>
                <w:b w:val="0"/>
                <w:bCs w:val="0"/>
                <w:color w:val="auto"/>
                <w:sz w:val="21"/>
                <w:szCs w:val="21"/>
              </w:rPr>
            </w:pPr>
            <w:r>
              <w:rPr>
                <w:b w:val="0"/>
                <w:bCs w:val="0"/>
                <w:color w:val="auto"/>
                <w:sz w:val="21"/>
                <w:szCs w:val="21"/>
              </w:rPr>
              <w:t>0.0</w:t>
            </w:r>
            <w:r>
              <w:rPr>
                <w:rFonts w:hint="eastAsia"/>
                <w:b w:val="0"/>
                <w:bCs w:val="0"/>
                <w:color w:val="auto"/>
                <w:sz w:val="21"/>
                <w:szCs w:val="21"/>
              </w:rPr>
              <w:t>924</w:t>
            </w:r>
          </w:p>
        </w:tc>
        <w:tc>
          <w:tcPr>
            <w:tcW w:w="2360" w:type="dxa"/>
            <w:shd w:val="clear" w:color="auto" w:fill="auto"/>
            <w:vAlign w:val="center"/>
          </w:tcPr>
          <w:p>
            <w:pPr>
              <w:jc w:val="center"/>
              <w:rPr>
                <w:b w:val="0"/>
                <w:bCs w:val="0"/>
                <w:color w:val="auto"/>
                <w:sz w:val="21"/>
                <w:szCs w:val="21"/>
              </w:rPr>
            </w:pPr>
            <w:r>
              <w:rPr>
                <w:rFonts w:hint="eastAsia"/>
                <w:b w:val="0"/>
                <w:bCs w:val="0"/>
                <w:color w:val="auto"/>
                <w:sz w:val="21"/>
                <w:szCs w:val="21"/>
              </w:rPr>
              <w:t>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非甲烷总烃</w:t>
            </w:r>
          </w:p>
        </w:tc>
        <w:tc>
          <w:tcPr>
            <w:tcW w:w="1093" w:type="dxa"/>
            <w:shd w:val="clear" w:color="auto" w:fill="auto"/>
            <w:vAlign w:val="center"/>
          </w:tcPr>
          <w:p>
            <w:pPr>
              <w:jc w:val="center"/>
              <w:rPr>
                <w:b w:val="0"/>
                <w:bCs w:val="0"/>
                <w:color w:val="auto"/>
                <w:sz w:val="21"/>
                <w:szCs w:val="21"/>
              </w:rPr>
            </w:pPr>
            <w:r>
              <w:rPr>
                <w:rFonts w:hint="eastAsia"/>
                <w:b w:val="0"/>
                <w:bCs w:val="0"/>
                <w:color w:val="auto"/>
                <w:sz w:val="21"/>
                <w:szCs w:val="21"/>
              </w:rPr>
              <w:t>3.0202</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0</w:t>
            </w:r>
          </w:p>
        </w:tc>
        <w:tc>
          <w:tcPr>
            <w:tcW w:w="1663" w:type="dxa"/>
            <w:shd w:val="clear" w:color="auto" w:fill="auto"/>
            <w:vAlign w:val="center"/>
          </w:tcPr>
          <w:p>
            <w:pPr>
              <w:jc w:val="center"/>
              <w:rPr>
                <w:b w:val="0"/>
                <w:bCs w:val="0"/>
                <w:color w:val="auto"/>
                <w:sz w:val="21"/>
                <w:szCs w:val="21"/>
              </w:rPr>
            </w:pPr>
            <w:r>
              <w:rPr>
                <w:rFonts w:hint="eastAsia"/>
                <w:b w:val="0"/>
                <w:bCs w:val="0"/>
                <w:color w:val="auto"/>
                <w:sz w:val="21"/>
                <w:szCs w:val="21"/>
              </w:rPr>
              <w:t>3.0202</w:t>
            </w:r>
          </w:p>
        </w:tc>
        <w:tc>
          <w:tcPr>
            <w:tcW w:w="2360" w:type="dxa"/>
            <w:shd w:val="clear" w:color="auto" w:fill="auto"/>
            <w:vAlign w:val="center"/>
          </w:tcPr>
          <w:p>
            <w:pPr>
              <w:jc w:val="center"/>
              <w:rPr>
                <w:b w:val="0"/>
                <w:bCs w:val="0"/>
                <w:color w:val="auto"/>
                <w:sz w:val="21"/>
                <w:szCs w:val="21"/>
              </w:rPr>
            </w:pPr>
            <w:r>
              <w:rPr>
                <w:rFonts w:hint="eastAsia"/>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油烟</w:t>
            </w:r>
          </w:p>
        </w:tc>
        <w:tc>
          <w:tcPr>
            <w:tcW w:w="1093"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0.048</w:t>
            </w:r>
          </w:p>
        </w:tc>
        <w:tc>
          <w:tcPr>
            <w:tcW w:w="1262"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0.0408</w:t>
            </w:r>
          </w:p>
        </w:tc>
        <w:tc>
          <w:tcPr>
            <w:tcW w:w="1663" w:type="dxa"/>
            <w:shd w:val="clear" w:color="auto" w:fill="auto"/>
            <w:vAlign w:val="center"/>
          </w:tcPr>
          <w:p>
            <w:pPr>
              <w:jc w:val="center"/>
              <w:rPr>
                <w:rFonts w:hint="eastAsia"/>
                <w:b w:val="0"/>
                <w:bCs w:val="0"/>
                <w:color w:val="auto"/>
                <w:sz w:val="21"/>
                <w:szCs w:val="21"/>
              </w:rPr>
            </w:pPr>
            <w:r>
              <w:rPr>
                <w:rFonts w:hint="eastAsia"/>
                <w:b w:val="0"/>
                <w:bCs w:val="0"/>
                <w:color w:val="auto"/>
                <w:sz w:val="21"/>
                <w:szCs w:val="21"/>
                <w:shd w:val="clear" w:color="auto" w:fill="FFFFFF"/>
              </w:rPr>
              <w:t>0.0072</w:t>
            </w:r>
          </w:p>
        </w:tc>
        <w:tc>
          <w:tcPr>
            <w:tcW w:w="2360"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油烟净化器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hint="eastAsia"/>
                <w:b w:val="0"/>
                <w:bCs w:val="0"/>
                <w:color w:val="auto"/>
                <w:sz w:val="21"/>
                <w:szCs w:val="21"/>
              </w:rPr>
            </w:pPr>
            <w:r>
              <w:rPr>
                <w:rFonts w:ascii="Times New Roman" w:hAnsi="Times New Roman"/>
                <w:b w:val="0"/>
                <w:bCs w:val="0"/>
                <w:color w:val="auto"/>
                <w:sz w:val="21"/>
                <w:szCs w:val="21"/>
              </w:rPr>
              <w:t>NO</w:t>
            </w:r>
            <w:r>
              <w:rPr>
                <w:rFonts w:ascii="Times New Roman" w:hAnsi="Times New Roman"/>
                <w:b w:val="0"/>
                <w:bCs w:val="0"/>
                <w:color w:val="auto"/>
                <w:sz w:val="21"/>
                <w:szCs w:val="21"/>
                <w:vertAlign w:val="subscript"/>
              </w:rPr>
              <w:t>x</w:t>
            </w:r>
          </w:p>
        </w:tc>
        <w:tc>
          <w:tcPr>
            <w:tcW w:w="109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w:t>
            </w:r>
            <w:r>
              <w:rPr>
                <w:rFonts w:hint="eastAsia"/>
                <w:b w:val="0"/>
                <w:bCs w:val="0"/>
                <w:color w:val="auto"/>
                <w:kern w:val="0"/>
                <w:sz w:val="21"/>
                <w:szCs w:val="21"/>
                <w:lang w:val="en-US" w:eastAsia="zh-CN" w:bidi="ar"/>
              </w:rPr>
              <w:t>1054</w:t>
            </w:r>
          </w:p>
        </w:tc>
        <w:tc>
          <w:tcPr>
            <w:tcW w:w="1262"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w:t>
            </w:r>
          </w:p>
        </w:tc>
        <w:tc>
          <w:tcPr>
            <w:tcW w:w="166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w:t>
            </w:r>
            <w:r>
              <w:rPr>
                <w:rFonts w:hint="eastAsia"/>
                <w:b w:val="0"/>
                <w:bCs w:val="0"/>
                <w:color w:val="auto"/>
                <w:kern w:val="0"/>
                <w:sz w:val="21"/>
                <w:szCs w:val="21"/>
                <w:lang w:val="en-US" w:eastAsia="zh-CN" w:bidi="ar"/>
              </w:rPr>
              <w:t>1054</w:t>
            </w:r>
          </w:p>
        </w:tc>
        <w:tc>
          <w:tcPr>
            <w:tcW w:w="2360" w:type="dxa"/>
            <w:shd w:val="clear" w:color="auto" w:fill="auto"/>
            <w:vAlign w:val="center"/>
          </w:tcPr>
          <w:p>
            <w:pPr>
              <w:jc w:val="center"/>
              <w:rPr>
                <w:rFonts w:hint="eastAsia"/>
                <w:b w:val="0"/>
                <w:bCs w:val="0"/>
                <w:color w:val="auto"/>
                <w:sz w:val="21"/>
                <w:szCs w:val="21"/>
              </w:rPr>
            </w:pPr>
            <w:r>
              <w:rPr>
                <w:rFonts w:hint="eastAsia"/>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hint="eastAsia"/>
                <w:b w:val="0"/>
                <w:bCs w:val="0"/>
                <w:color w:val="auto"/>
                <w:sz w:val="21"/>
                <w:szCs w:val="21"/>
              </w:rPr>
            </w:pPr>
            <w:r>
              <w:rPr>
                <w:rFonts w:ascii="Times New Roman" w:hAnsi="Times New Roman"/>
                <w:b w:val="0"/>
                <w:bCs w:val="0"/>
                <w:color w:val="auto"/>
                <w:sz w:val="21"/>
                <w:szCs w:val="21"/>
              </w:rPr>
              <w:t>CO</w:t>
            </w:r>
          </w:p>
        </w:tc>
        <w:tc>
          <w:tcPr>
            <w:tcW w:w="109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0.00</w:t>
            </w:r>
            <w:r>
              <w:rPr>
                <w:rFonts w:hint="eastAsia"/>
                <w:b w:val="0"/>
                <w:bCs w:val="0"/>
                <w:color w:val="auto"/>
                <w:kern w:val="0"/>
                <w:sz w:val="21"/>
                <w:szCs w:val="21"/>
                <w:lang w:val="en-US" w:eastAsia="zh-CN" w:bidi="ar"/>
              </w:rPr>
              <w:t>29</w:t>
            </w:r>
          </w:p>
        </w:tc>
        <w:tc>
          <w:tcPr>
            <w:tcW w:w="1262"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w:t>
            </w:r>
          </w:p>
        </w:tc>
        <w:tc>
          <w:tcPr>
            <w:tcW w:w="166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0.00</w:t>
            </w:r>
            <w:r>
              <w:rPr>
                <w:rFonts w:hint="eastAsia"/>
                <w:b w:val="0"/>
                <w:bCs w:val="0"/>
                <w:color w:val="auto"/>
                <w:kern w:val="0"/>
                <w:sz w:val="21"/>
                <w:szCs w:val="21"/>
                <w:lang w:val="en-US" w:eastAsia="zh-CN" w:bidi="ar"/>
              </w:rPr>
              <w:t>29</w:t>
            </w:r>
          </w:p>
        </w:tc>
        <w:tc>
          <w:tcPr>
            <w:tcW w:w="2360" w:type="dxa"/>
            <w:shd w:val="clear" w:color="auto" w:fill="auto"/>
            <w:vAlign w:val="center"/>
          </w:tcPr>
          <w:p>
            <w:pPr>
              <w:jc w:val="center"/>
              <w:rPr>
                <w:rFonts w:hint="eastAsia"/>
                <w:b w:val="0"/>
                <w:bCs w:val="0"/>
                <w:color w:val="auto"/>
                <w:sz w:val="21"/>
                <w:szCs w:val="21"/>
              </w:rPr>
            </w:pPr>
            <w:r>
              <w:rPr>
                <w:rFonts w:hint="eastAsia"/>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rFonts w:ascii="Times New Roman" w:hAnsi="Times New Roman"/>
                <w:b w:val="0"/>
                <w:bCs w:val="0"/>
                <w:color w:val="auto"/>
                <w:sz w:val="21"/>
                <w:szCs w:val="21"/>
              </w:rPr>
            </w:pPr>
            <w:r>
              <w:rPr>
                <w:rFonts w:ascii="Times New Roman" w:hAnsi="Times New Roman"/>
                <w:b w:val="0"/>
                <w:bCs w:val="0"/>
                <w:color w:val="auto"/>
                <w:sz w:val="21"/>
                <w:szCs w:val="21"/>
              </w:rPr>
              <w:t>HC</w:t>
            </w:r>
          </w:p>
        </w:tc>
        <w:tc>
          <w:tcPr>
            <w:tcW w:w="109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w:t>
            </w:r>
            <w:r>
              <w:rPr>
                <w:rFonts w:hint="eastAsia"/>
                <w:b w:val="0"/>
                <w:bCs w:val="0"/>
                <w:color w:val="auto"/>
                <w:kern w:val="0"/>
                <w:sz w:val="21"/>
                <w:szCs w:val="21"/>
                <w:lang w:val="en-US" w:eastAsia="zh-CN" w:bidi="ar"/>
              </w:rPr>
              <w:t>0044</w:t>
            </w:r>
            <w:r>
              <w:rPr>
                <w:b w:val="0"/>
                <w:bCs w:val="0"/>
                <w:color w:val="auto"/>
                <w:kern w:val="0"/>
                <w:sz w:val="21"/>
                <w:szCs w:val="21"/>
                <w:lang w:bidi="ar"/>
              </w:rPr>
              <w:t xml:space="preserve"> </w:t>
            </w:r>
          </w:p>
        </w:tc>
        <w:tc>
          <w:tcPr>
            <w:tcW w:w="1262" w:type="dxa"/>
            <w:shd w:val="clear" w:color="auto" w:fill="auto"/>
            <w:vAlign w:val="center"/>
          </w:tcPr>
          <w:p>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0</w:t>
            </w:r>
          </w:p>
        </w:tc>
        <w:tc>
          <w:tcPr>
            <w:tcW w:w="1663" w:type="dxa"/>
            <w:shd w:val="clear" w:color="auto" w:fill="auto"/>
            <w:vAlign w:val="center"/>
          </w:tcPr>
          <w:p>
            <w:pPr>
              <w:jc w:val="center"/>
              <w:rPr>
                <w:rFonts w:hint="eastAsia"/>
                <w:b w:val="0"/>
                <w:bCs w:val="0"/>
                <w:color w:val="auto"/>
                <w:sz w:val="21"/>
                <w:szCs w:val="21"/>
              </w:rPr>
            </w:pPr>
            <w:r>
              <w:rPr>
                <w:b w:val="0"/>
                <w:bCs w:val="0"/>
                <w:color w:val="auto"/>
                <w:kern w:val="0"/>
                <w:sz w:val="21"/>
                <w:szCs w:val="21"/>
                <w:lang w:bidi="ar"/>
              </w:rPr>
              <w:t>0.</w:t>
            </w:r>
            <w:r>
              <w:rPr>
                <w:rFonts w:hint="eastAsia"/>
                <w:b w:val="0"/>
                <w:bCs w:val="0"/>
                <w:color w:val="auto"/>
                <w:kern w:val="0"/>
                <w:sz w:val="21"/>
                <w:szCs w:val="21"/>
                <w:lang w:val="en-US" w:eastAsia="zh-CN" w:bidi="ar"/>
              </w:rPr>
              <w:t>0044</w:t>
            </w:r>
            <w:r>
              <w:rPr>
                <w:b w:val="0"/>
                <w:bCs w:val="0"/>
                <w:color w:val="auto"/>
                <w:kern w:val="0"/>
                <w:sz w:val="21"/>
                <w:szCs w:val="21"/>
                <w:lang w:bidi="ar"/>
              </w:rPr>
              <w:t xml:space="preserve"> </w:t>
            </w:r>
          </w:p>
        </w:tc>
        <w:tc>
          <w:tcPr>
            <w:tcW w:w="2360" w:type="dxa"/>
            <w:shd w:val="clear" w:color="auto" w:fill="auto"/>
            <w:vAlign w:val="center"/>
          </w:tcPr>
          <w:p>
            <w:pPr>
              <w:jc w:val="center"/>
              <w:rPr>
                <w:rFonts w:hint="eastAsia"/>
                <w:b w:val="0"/>
                <w:bCs w:val="0"/>
                <w:color w:val="auto"/>
                <w:sz w:val="21"/>
                <w:szCs w:val="21"/>
              </w:rPr>
            </w:pPr>
            <w:r>
              <w:rPr>
                <w:rFonts w:hint="eastAsia"/>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restart"/>
            <w:shd w:val="clear" w:color="auto" w:fill="auto"/>
            <w:vAlign w:val="center"/>
          </w:tcPr>
          <w:p>
            <w:pPr>
              <w:jc w:val="center"/>
              <w:rPr>
                <w:b w:val="0"/>
                <w:bCs w:val="0"/>
                <w:color w:val="auto"/>
                <w:sz w:val="21"/>
                <w:szCs w:val="21"/>
              </w:rPr>
            </w:pPr>
            <w:r>
              <w:rPr>
                <w:rFonts w:hint="eastAsia"/>
                <w:b w:val="0"/>
                <w:bCs w:val="0"/>
                <w:color w:val="auto"/>
                <w:sz w:val="21"/>
                <w:szCs w:val="21"/>
              </w:rPr>
              <w:t>固废</w:t>
            </w:r>
          </w:p>
        </w:tc>
        <w:tc>
          <w:tcPr>
            <w:tcW w:w="1360" w:type="dxa"/>
            <w:shd w:val="clear" w:color="auto" w:fill="auto"/>
            <w:vAlign w:val="center"/>
          </w:tcPr>
          <w:p>
            <w:pPr>
              <w:jc w:val="center"/>
              <w:rPr>
                <w:color w:val="auto"/>
              </w:rPr>
            </w:pPr>
            <w:r>
              <w:rPr>
                <w:color w:val="auto"/>
              </w:rPr>
              <w:t>危险废物</w:t>
            </w:r>
          </w:p>
          <w:p>
            <w:pPr>
              <w:pStyle w:val="2"/>
              <w:ind w:left="0" w:leftChars="0" w:firstLine="0" w:firstLineChars="0"/>
              <w:rPr>
                <w:rFonts w:hint="eastAsia" w:eastAsia="宋体"/>
                <w:color w:val="auto"/>
                <w:lang w:eastAsia="zh-CN"/>
              </w:rPr>
            </w:pPr>
            <w:r>
              <w:rPr>
                <w:rFonts w:hint="eastAsia"/>
                <w:color w:val="auto"/>
                <w:lang w:eastAsia="zh-CN"/>
              </w:rPr>
              <w:t>（</w:t>
            </w:r>
            <w:r>
              <w:rPr>
                <w:rFonts w:hint="eastAsia"/>
                <w:color w:val="auto"/>
                <w:lang w:val="en-US" w:eastAsia="zh-CN"/>
              </w:rPr>
              <w:t>废树脂粉</w:t>
            </w:r>
            <w:r>
              <w:rPr>
                <w:rFonts w:hint="eastAsia"/>
                <w:color w:val="auto"/>
                <w:lang w:eastAsia="zh-CN"/>
              </w:rPr>
              <w:t>）</w:t>
            </w:r>
          </w:p>
        </w:tc>
        <w:tc>
          <w:tcPr>
            <w:tcW w:w="1093" w:type="dxa"/>
            <w:shd w:val="clear" w:color="auto" w:fill="auto"/>
            <w:vAlign w:val="center"/>
          </w:tcPr>
          <w:p>
            <w:pPr>
              <w:jc w:val="center"/>
              <w:rPr>
                <w:b w:val="0"/>
                <w:bCs w:val="0"/>
                <w:color w:val="auto"/>
                <w:sz w:val="21"/>
                <w:szCs w:val="21"/>
              </w:rPr>
            </w:pPr>
            <w:r>
              <w:rPr>
                <w:rFonts w:hint="eastAsia"/>
                <w:b w:val="0"/>
                <w:bCs w:val="0"/>
                <w:color w:val="auto"/>
                <w:sz w:val="21"/>
                <w:szCs w:val="21"/>
              </w:rPr>
              <w:t>642.6</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642.6</w:t>
            </w:r>
          </w:p>
        </w:tc>
        <w:tc>
          <w:tcPr>
            <w:tcW w:w="1663" w:type="dxa"/>
            <w:shd w:val="clear" w:color="auto" w:fill="auto"/>
            <w:vAlign w:val="center"/>
          </w:tcPr>
          <w:p>
            <w:pPr>
              <w:jc w:val="center"/>
              <w:rPr>
                <w:b w:val="0"/>
                <w:bCs w:val="0"/>
                <w:color w:val="auto"/>
                <w:sz w:val="21"/>
                <w:szCs w:val="21"/>
              </w:rPr>
            </w:pPr>
            <w:r>
              <w:rPr>
                <w:rFonts w:hint="eastAsia"/>
                <w:b w:val="0"/>
                <w:bCs w:val="0"/>
                <w:color w:val="auto"/>
                <w:sz w:val="21"/>
                <w:szCs w:val="21"/>
              </w:rPr>
              <w:t>0</w:t>
            </w:r>
          </w:p>
        </w:tc>
        <w:tc>
          <w:tcPr>
            <w:tcW w:w="2360" w:type="dxa"/>
            <w:shd w:val="clear" w:color="auto" w:fill="auto"/>
            <w:vAlign w:val="center"/>
          </w:tcPr>
          <w:p>
            <w:pPr>
              <w:jc w:val="center"/>
              <w:rPr>
                <w:b w:val="0"/>
                <w:bCs w:val="0"/>
                <w:color w:val="auto"/>
                <w:sz w:val="21"/>
                <w:szCs w:val="21"/>
              </w:rPr>
            </w:pPr>
            <w:r>
              <w:rPr>
                <w:rFonts w:hint="eastAsia"/>
                <w:b w:val="0"/>
                <w:bCs w:val="0"/>
                <w:color w:val="auto"/>
                <w:sz w:val="21"/>
                <w:szCs w:val="21"/>
              </w:rPr>
              <w:t>交由青山垃圾填埋场进行卫生填埋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0" w:type="dxa"/>
            <w:vMerge w:val="continue"/>
            <w:shd w:val="clear" w:color="auto" w:fill="auto"/>
            <w:vAlign w:val="center"/>
          </w:tcPr>
          <w:p>
            <w:pPr>
              <w:jc w:val="center"/>
              <w:rPr>
                <w:b w:val="0"/>
                <w:bCs w:val="0"/>
                <w:color w:val="auto"/>
                <w:sz w:val="21"/>
                <w:szCs w:val="21"/>
              </w:rPr>
            </w:pPr>
          </w:p>
        </w:tc>
        <w:tc>
          <w:tcPr>
            <w:tcW w:w="1360" w:type="dxa"/>
            <w:shd w:val="clear" w:color="auto" w:fill="auto"/>
            <w:vAlign w:val="center"/>
          </w:tcPr>
          <w:p>
            <w:pPr>
              <w:jc w:val="center"/>
              <w:rPr>
                <w:b w:val="0"/>
                <w:bCs w:val="0"/>
                <w:color w:val="auto"/>
                <w:sz w:val="21"/>
                <w:szCs w:val="21"/>
              </w:rPr>
            </w:pPr>
            <w:r>
              <w:rPr>
                <w:b w:val="0"/>
                <w:bCs w:val="0"/>
                <w:color w:val="auto"/>
                <w:sz w:val="21"/>
                <w:szCs w:val="21"/>
              </w:rPr>
              <w:t>生活垃圾</w:t>
            </w:r>
          </w:p>
        </w:tc>
        <w:tc>
          <w:tcPr>
            <w:tcW w:w="1093" w:type="dxa"/>
            <w:shd w:val="clear" w:color="auto" w:fill="auto"/>
            <w:vAlign w:val="center"/>
          </w:tcPr>
          <w:p>
            <w:pPr>
              <w:jc w:val="center"/>
              <w:rPr>
                <w:b w:val="0"/>
                <w:bCs w:val="0"/>
                <w:color w:val="auto"/>
                <w:sz w:val="21"/>
                <w:szCs w:val="21"/>
              </w:rPr>
            </w:pPr>
            <w:r>
              <w:rPr>
                <w:rFonts w:hint="eastAsia"/>
                <w:b w:val="0"/>
                <w:bCs w:val="0"/>
                <w:color w:val="auto"/>
                <w:sz w:val="21"/>
                <w:szCs w:val="21"/>
              </w:rPr>
              <w:t>11.25</w:t>
            </w:r>
          </w:p>
        </w:tc>
        <w:tc>
          <w:tcPr>
            <w:tcW w:w="1262" w:type="dxa"/>
            <w:shd w:val="clear" w:color="auto" w:fill="auto"/>
            <w:vAlign w:val="center"/>
          </w:tcPr>
          <w:p>
            <w:pPr>
              <w:jc w:val="center"/>
              <w:rPr>
                <w:b w:val="0"/>
                <w:bCs w:val="0"/>
                <w:color w:val="auto"/>
                <w:sz w:val="21"/>
                <w:szCs w:val="21"/>
              </w:rPr>
            </w:pPr>
            <w:r>
              <w:rPr>
                <w:rFonts w:hint="eastAsia"/>
                <w:b w:val="0"/>
                <w:bCs w:val="0"/>
                <w:color w:val="auto"/>
                <w:sz w:val="21"/>
                <w:szCs w:val="21"/>
              </w:rPr>
              <w:t>11.25</w:t>
            </w:r>
          </w:p>
        </w:tc>
        <w:tc>
          <w:tcPr>
            <w:tcW w:w="1663" w:type="dxa"/>
            <w:shd w:val="clear" w:color="auto" w:fill="auto"/>
            <w:vAlign w:val="center"/>
          </w:tcPr>
          <w:p>
            <w:pPr>
              <w:jc w:val="center"/>
              <w:rPr>
                <w:b w:val="0"/>
                <w:bCs w:val="0"/>
                <w:color w:val="auto"/>
                <w:sz w:val="21"/>
                <w:szCs w:val="21"/>
              </w:rPr>
            </w:pPr>
            <w:r>
              <w:rPr>
                <w:rFonts w:hint="eastAsia"/>
                <w:b w:val="0"/>
                <w:bCs w:val="0"/>
                <w:color w:val="auto"/>
                <w:sz w:val="21"/>
                <w:szCs w:val="21"/>
              </w:rPr>
              <w:t>0</w:t>
            </w:r>
          </w:p>
        </w:tc>
        <w:tc>
          <w:tcPr>
            <w:tcW w:w="2360" w:type="dxa"/>
            <w:shd w:val="clear" w:color="auto" w:fill="auto"/>
            <w:vAlign w:val="center"/>
          </w:tcPr>
          <w:p>
            <w:pPr>
              <w:jc w:val="center"/>
              <w:rPr>
                <w:b w:val="0"/>
                <w:bCs w:val="0"/>
                <w:color w:val="auto"/>
                <w:sz w:val="21"/>
                <w:szCs w:val="21"/>
              </w:rPr>
            </w:pPr>
            <w:r>
              <w:rPr>
                <w:rFonts w:hint="eastAsia"/>
                <w:b w:val="0"/>
                <w:bCs w:val="0"/>
                <w:color w:val="auto"/>
                <w:sz w:val="21"/>
                <w:szCs w:val="21"/>
              </w:rPr>
              <w:t>交由</w:t>
            </w:r>
            <w:r>
              <w:rPr>
                <w:rFonts w:hint="eastAsia"/>
                <w:b w:val="0"/>
                <w:bCs w:val="0"/>
                <w:color w:val="auto"/>
                <w:sz w:val="21"/>
                <w:szCs w:val="21"/>
                <w:lang w:eastAsia="zh-CN"/>
              </w:rPr>
              <w:t>环卫部门清运</w:t>
            </w:r>
          </w:p>
        </w:tc>
      </w:tr>
    </w:tbl>
    <w:p>
      <w:pPr>
        <w:pStyle w:val="5"/>
        <w:numPr>
          <w:ilvl w:val="2"/>
          <w:numId w:val="0"/>
        </w:numPr>
        <w:spacing w:before="159" w:after="159"/>
        <w:rPr>
          <w:color w:val="auto"/>
          <w:sz w:val="32"/>
          <w:szCs w:val="32"/>
        </w:rPr>
      </w:pPr>
      <w:bookmarkStart w:id="289" w:name="_Toc24025"/>
      <w:bookmarkStart w:id="290" w:name="_Toc24786"/>
      <w:bookmarkStart w:id="291" w:name="_Toc4975"/>
      <w:r>
        <w:rPr>
          <w:rFonts w:hint="eastAsia"/>
          <w:color w:val="auto"/>
        </w:rPr>
        <w:t>3.2 现有项目总量控制指</w:t>
      </w:r>
      <w:r>
        <w:rPr>
          <w:rFonts w:hint="eastAsia"/>
          <w:color w:val="auto"/>
          <w:sz w:val="32"/>
          <w:szCs w:val="32"/>
        </w:rPr>
        <w:t>标</w:t>
      </w:r>
      <w:bookmarkEnd w:id="289"/>
      <w:bookmarkEnd w:id="290"/>
      <w:bookmarkEnd w:id="291"/>
    </w:p>
    <w:p>
      <w:pPr>
        <w:spacing w:line="360" w:lineRule="auto"/>
        <w:ind w:firstLine="480" w:firstLineChars="200"/>
        <w:jc w:val="left"/>
        <w:rPr>
          <w:color w:val="auto"/>
          <w:sz w:val="24"/>
        </w:rPr>
      </w:pPr>
      <w:r>
        <w:rPr>
          <w:rFonts w:hint="eastAsia"/>
          <w:color w:val="auto"/>
          <w:sz w:val="24"/>
        </w:rPr>
        <w:t>根据《</w:t>
      </w:r>
      <w:r>
        <w:rPr>
          <w:color w:val="auto"/>
          <w:sz w:val="24"/>
        </w:rPr>
        <w:t>清远市清城区信兴金属回收加工厂年回收铜粉600吨建设项目</w:t>
      </w:r>
      <w:r>
        <w:rPr>
          <w:rFonts w:hint="eastAsia"/>
          <w:color w:val="auto"/>
          <w:sz w:val="24"/>
        </w:rPr>
        <w:t>环境影响报告表》及审批意见的函（清环建表[2008]141号），化学需氧量总量控制指标为：0.182t/a，原环评化学需氧量监测核算总量为0.158t/a，其实际排放总量符合环评批复总量。</w:t>
      </w:r>
    </w:p>
    <w:p>
      <w:pPr>
        <w:pStyle w:val="5"/>
        <w:numPr>
          <w:ilvl w:val="1"/>
          <w:numId w:val="0"/>
        </w:numPr>
        <w:spacing w:before="159" w:after="159"/>
        <w:rPr>
          <w:color w:val="auto"/>
        </w:rPr>
      </w:pPr>
      <w:bookmarkStart w:id="292" w:name="_Toc21368"/>
      <w:bookmarkStart w:id="293" w:name="_Toc30112"/>
      <w:bookmarkStart w:id="294" w:name="_Toc12479"/>
      <w:bookmarkStart w:id="295" w:name="_Toc4308"/>
      <w:bookmarkStart w:id="296" w:name="_Toc24639"/>
      <w:r>
        <w:rPr>
          <w:rFonts w:hint="eastAsia"/>
          <w:color w:val="auto"/>
        </w:rPr>
        <w:t xml:space="preserve">3.3 </w:t>
      </w:r>
      <w:r>
        <w:rPr>
          <w:color w:val="auto"/>
        </w:rPr>
        <w:t>现有项目存在问题及整改情况</w:t>
      </w:r>
      <w:bookmarkEnd w:id="292"/>
      <w:bookmarkEnd w:id="293"/>
      <w:bookmarkEnd w:id="294"/>
    </w:p>
    <w:p>
      <w:pPr>
        <w:spacing w:line="360" w:lineRule="auto"/>
        <w:ind w:firstLine="480" w:firstLineChars="200"/>
        <w:jc w:val="left"/>
        <w:rPr>
          <w:color w:val="auto"/>
          <w:sz w:val="24"/>
        </w:rPr>
      </w:pPr>
      <w:r>
        <w:rPr>
          <w:rFonts w:hint="eastAsia"/>
          <w:color w:val="auto"/>
          <w:sz w:val="24"/>
        </w:rPr>
        <w:t>根据现场实地勘察，及核对原环评报告表及批复，项目生产工艺与原申报审批情况基本一致。</w:t>
      </w:r>
    </w:p>
    <w:p>
      <w:pPr>
        <w:spacing w:line="360" w:lineRule="auto"/>
        <w:ind w:firstLine="422" w:firstLineChars="200"/>
        <w:jc w:val="center"/>
        <w:rPr>
          <w:b/>
          <w:bCs/>
          <w:color w:val="auto"/>
          <w:szCs w:val="21"/>
        </w:rPr>
      </w:pPr>
      <w:r>
        <w:rPr>
          <w:rFonts w:hint="eastAsia"/>
          <w:b/>
          <w:bCs/>
          <w:color w:val="auto"/>
          <w:szCs w:val="21"/>
        </w:rPr>
        <w:t>表3.3-1  现有项目环评落实情况一览表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2708"/>
        <w:gridCol w:w="2040"/>
        <w:gridCol w:w="3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vAlign w:val="center"/>
          </w:tcPr>
          <w:p>
            <w:pPr>
              <w:pStyle w:val="6"/>
              <w:spacing w:line="280" w:lineRule="exact"/>
              <w:jc w:val="center"/>
              <w:rPr>
                <w:color w:val="auto"/>
                <w:kern w:val="2"/>
                <w:sz w:val="21"/>
                <w:szCs w:val="21"/>
              </w:rPr>
            </w:pPr>
            <w:r>
              <w:rPr>
                <w:rFonts w:hint="eastAsia"/>
                <w:color w:val="auto"/>
                <w:kern w:val="2"/>
                <w:sz w:val="21"/>
                <w:szCs w:val="21"/>
              </w:rPr>
              <w:t>类别</w:t>
            </w:r>
          </w:p>
        </w:tc>
        <w:tc>
          <w:tcPr>
            <w:tcW w:w="2708" w:type="dxa"/>
            <w:vAlign w:val="center"/>
          </w:tcPr>
          <w:p>
            <w:pPr>
              <w:pStyle w:val="6"/>
              <w:spacing w:line="280" w:lineRule="exact"/>
              <w:jc w:val="center"/>
              <w:rPr>
                <w:color w:val="auto"/>
                <w:kern w:val="2"/>
                <w:sz w:val="21"/>
                <w:szCs w:val="21"/>
              </w:rPr>
            </w:pPr>
            <w:r>
              <w:rPr>
                <w:rFonts w:hint="eastAsia"/>
                <w:color w:val="auto"/>
                <w:kern w:val="2"/>
                <w:sz w:val="21"/>
                <w:szCs w:val="21"/>
              </w:rPr>
              <w:t>环评要求</w:t>
            </w:r>
          </w:p>
        </w:tc>
        <w:tc>
          <w:tcPr>
            <w:tcW w:w="2040" w:type="dxa"/>
            <w:vAlign w:val="center"/>
          </w:tcPr>
          <w:p>
            <w:pPr>
              <w:pStyle w:val="6"/>
              <w:spacing w:line="280" w:lineRule="exact"/>
              <w:jc w:val="center"/>
              <w:rPr>
                <w:color w:val="auto"/>
                <w:kern w:val="2"/>
                <w:sz w:val="21"/>
                <w:szCs w:val="21"/>
              </w:rPr>
            </w:pPr>
            <w:r>
              <w:rPr>
                <w:rFonts w:hint="eastAsia"/>
                <w:color w:val="auto"/>
                <w:kern w:val="2"/>
                <w:sz w:val="21"/>
                <w:szCs w:val="21"/>
              </w:rPr>
              <w:t>实际建设情况</w:t>
            </w:r>
          </w:p>
        </w:tc>
        <w:tc>
          <w:tcPr>
            <w:tcW w:w="3442" w:type="dxa"/>
            <w:vAlign w:val="center"/>
          </w:tcPr>
          <w:p>
            <w:pPr>
              <w:pStyle w:val="6"/>
              <w:spacing w:line="280" w:lineRule="exact"/>
              <w:jc w:val="center"/>
              <w:rPr>
                <w:color w:val="auto"/>
                <w:kern w:val="2"/>
                <w:sz w:val="21"/>
                <w:szCs w:val="21"/>
              </w:rPr>
            </w:pPr>
            <w:r>
              <w:rPr>
                <w:rFonts w:hint="eastAsia"/>
                <w:color w:val="auto"/>
                <w:kern w:val="2"/>
                <w:sz w:val="21"/>
                <w:szCs w:val="21"/>
              </w:rPr>
              <w:t>存在的问题及后续改进措施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vAlign w:val="center"/>
          </w:tcPr>
          <w:p>
            <w:pPr>
              <w:pStyle w:val="6"/>
              <w:spacing w:line="280" w:lineRule="exact"/>
              <w:jc w:val="center"/>
              <w:rPr>
                <w:color w:val="auto"/>
                <w:kern w:val="2"/>
                <w:sz w:val="21"/>
                <w:szCs w:val="21"/>
              </w:rPr>
            </w:pPr>
            <w:r>
              <w:rPr>
                <w:rFonts w:hint="eastAsia"/>
                <w:color w:val="auto"/>
                <w:kern w:val="2"/>
                <w:sz w:val="21"/>
                <w:szCs w:val="21"/>
              </w:rPr>
              <w:t>废水</w:t>
            </w:r>
          </w:p>
        </w:tc>
        <w:tc>
          <w:tcPr>
            <w:tcW w:w="2708" w:type="dxa"/>
            <w:vAlign w:val="center"/>
          </w:tcPr>
          <w:p>
            <w:pPr>
              <w:pStyle w:val="6"/>
              <w:spacing w:line="280" w:lineRule="exact"/>
              <w:jc w:val="center"/>
              <w:rPr>
                <w:color w:val="auto"/>
                <w:kern w:val="2"/>
                <w:sz w:val="21"/>
                <w:szCs w:val="21"/>
              </w:rPr>
            </w:pPr>
            <w:r>
              <w:rPr>
                <w:rFonts w:hint="eastAsia"/>
                <w:color w:val="auto"/>
                <w:kern w:val="2"/>
                <w:sz w:val="21"/>
                <w:szCs w:val="21"/>
              </w:rPr>
              <w:t>生活污水经地埋式微动力处理装置处理，必要时需要进一步深化处理以确保外排废水达到</w:t>
            </w:r>
            <w:r>
              <w:rPr>
                <w:color w:val="auto"/>
                <w:kern w:val="2"/>
                <w:sz w:val="21"/>
                <w:szCs w:val="21"/>
              </w:rPr>
              <w:t>广东省地方标准《水污染物排放限值》（DB44/26-2001）</w:t>
            </w:r>
            <w:r>
              <w:rPr>
                <w:rFonts w:hint="eastAsia"/>
                <w:color w:val="auto"/>
                <w:kern w:val="2"/>
                <w:sz w:val="21"/>
                <w:szCs w:val="21"/>
              </w:rPr>
              <w:t>第二时段一级标准。</w:t>
            </w:r>
          </w:p>
        </w:tc>
        <w:tc>
          <w:tcPr>
            <w:tcW w:w="2040" w:type="dxa"/>
            <w:vAlign w:val="center"/>
          </w:tcPr>
          <w:p>
            <w:pPr>
              <w:pStyle w:val="6"/>
              <w:spacing w:line="280" w:lineRule="exact"/>
              <w:jc w:val="center"/>
              <w:rPr>
                <w:color w:val="auto"/>
                <w:kern w:val="2"/>
                <w:sz w:val="21"/>
                <w:szCs w:val="21"/>
              </w:rPr>
            </w:pPr>
            <w:r>
              <w:rPr>
                <w:rFonts w:hint="eastAsia"/>
                <w:color w:val="auto"/>
                <w:kern w:val="2"/>
                <w:sz w:val="21"/>
                <w:szCs w:val="21"/>
              </w:rPr>
              <w:t>生活污水经地埋式微动力处理装置处理，外排废水可达到</w:t>
            </w:r>
            <w:r>
              <w:rPr>
                <w:color w:val="auto"/>
                <w:kern w:val="2"/>
                <w:sz w:val="21"/>
                <w:szCs w:val="21"/>
              </w:rPr>
              <w:t>广东省地方标准《水污染物排放限值》（DB44/26-2001）</w:t>
            </w:r>
            <w:r>
              <w:rPr>
                <w:rFonts w:hint="eastAsia"/>
                <w:color w:val="auto"/>
                <w:kern w:val="2"/>
                <w:sz w:val="21"/>
                <w:szCs w:val="21"/>
              </w:rPr>
              <w:t>第二时段一级标准。</w:t>
            </w:r>
          </w:p>
        </w:tc>
        <w:tc>
          <w:tcPr>
            <w:tcW w:w="3442" w:type="dxa"/>
            <w:vAlign w:val="center"/>
          </w:tcPr>
          <w:p>
            <w:pPr>
              <w:pStyle w:val="6"/>
              <w:spacing w:line="280" w:lineRule="exact"/>
              <w:jc w:val="center"/>
              <w:rPr>
                <w:color w:val="auto"/>
                <w:kern w:val="2"/>
                <w:sz w:val="21"/>
                <w:szCs w:val="21"/>
              </w:rPr>
            </w:pPr>
            <w:r>
              <w:rPr>
                <w:rFonts w:hint="eastAsia"/>
                <w:color w:val="auto"/>
                <w:kern w:val="2"/>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vAlign w:val="center"/>
          </w:tcPr>
          <w:p>
            <w:pPr>
              <w:pStyle w:val="6"/>
              <w:spacing w:line="280" w:lineRule="exact"/>
              <w:jc w:val="center"/>
              <w:rPr>
                <w:color w:val="auto"/>
                <w:kern w:val="2"/>
                <w:sz w:val="21"/>
                <w:szCs w:val="21"/>
              </w:rPr>
            </w:pPr>
            <w:r>
              <w:rPr>
                <w:rFonts w:hint="eastAsia"/>
                <w:color w:val="auto"/>
                <w:kern w:val="2"/>
                <w:sz w:val="21"/>
                <w:szCs w:val="21"/>
              </w:rPr>
              <w:t>废气</w:t>
            </w:r>
          </w:p>
        </w:tc>
        <w:tc>
          <w:tcPr>
            <w:tcW w:w="2708" w:type="dxa"/>
            <w:vAlign w:val="center"/>
          </w:tcPr>
          <w:p>
            <w:pPr>
              <w:spacing w:line="280" w:lineRule="exact"/>
              <w:jc w:val="center"/>
              <w:rPr>
                <w:color w:val="auto"/>
                <w:szCs w:val="21"/>
              </w:rPr>
            </w:pPr>
            <w:r>
              <w:rPr>
                <w:rFonts w:hint="eastAsia"/>
                <w:color w:val="auto"/>
                <w:szCs w:val="21"/>
              </w:rPr>
              <w:t>生产粉尘经过布袋除尘器处理，达到</w:t>
            </w:r>
            <w:r>
              <w:rPr>
                <w:color w:val="auto"/>
                <w:szCs w:val="21"/>
              </w:rPr>
              <w:t>广东省《大气污染物排放限值》（DB44/27-2001）</w:t>
            </w:r>
            <w:r>
              <w:rPr>
                <w:rFonts w:hint="eastAsia"/>
                <w:color w:val="auto"/>
                <w:szCs w:val="21"/>
              </w:rPr>
              <w:t>第二时段二级标准后排放。</w:t>
            </w:r>
          </w:p>
        </w:tc>
        <w:tc>
          <w:tcPr>
            <w:tcW w:w="2040" w:type="dxa"/>
            <w:vAlign w:val="center"/>
          </w:tcPr>
          <w:p>
            <w:pPr>
              <w:pStyle w:val="6"/>
              <w:spacing w:line="280" w:lineRule="exact"/>
              <w:jc w:val="center"/>
              <w:rPr>
                <w:color w:val="auto"/>
                <w:kern w:val="2"/>
                <w:sz w:val="21"/>
                <w:szCs w:val="21"/>
              </w:rPr>
            </w:pPr>
            <w:r>
              <w:rPr>
                <w:rFonts w:hint="eastAsia"/>
                <w:color w:val="auto"/>
                <w:kern w:val="2"/>
                <w:sz w:val="21"/>
                <w:szCs w:val="21"/>
              </w:rPr>
              <w:t>生产粉尘经过布袋除尘器处理，可达到</w:t>
            </w:r>
            <w:r>
              <w:rPr>
                <w:color w:val="auto"/>
                <w:kern w:val="2"/>
                <w:sz w:val="21"/>
                <w:szCs w:val="21"/>
              </w:rPr>
              <w:t>广东省《大气污染物排放限值》（DB44/27-2001）</w:t>
            </w:r>
            <w:r>
              <w:rPr>
                <w:rFonts w:hint="eastAsia"/>
                <w:color w:val="auto"/>
                <w:kern w:val="2"/>
                <w:sz w:val="21"/>
                <w:szCs w:val="21"/>
              </w:rPr>
              <w:t>第二时段二级标准后排放；烘干废树脂粉会产生非甲烷总烃，以无组织形式排放。</w:t>
            </w:r>
          </w:p>
        </w:tc>
        <w:tc>
          <w:tcPr>
            <w:tcW w:w="3442" w:type="dxa"/>
            <w:vAlign w:val="center"/>
          </w:tcPr>
          <w:p>
            <w:pPr>
              <w:pStyle w:val="6"/>
              <w:spacing w:line="280" w:lineRule="exact"/>
              <w:jc w:val="center"/>
              <w:rPr>
                <w:color w:val="auto"/>
                <w:kern w:val="2"/>
                <w:sz w:val="21"/>
                <w:szCs w:val="21"/>
              </w:rPr>
            </w:pPr>
            <w:r>
              <w:rPr>
                <w:rFonts w:hint="eastAsia"/>
                <w:color w:val="auto"/>
                <w:kern w:val="2"/>
                <w:sz w:val="21"/>
                <w:szCs w:val="21"/>
              </w:rPr>
              <w:t>发现项目回收的覆铜板上覆盖有一层塑料薄膜，项目未对其进行处理即将覆铜板直接破碎。塑料膜随即转移至废树脂粉中，在项目对废树脂粉烘干脱水时，塑料膜受热缩卷并产生</w:t>
            </w:r>
            <w:r>
              <w:rPr>
                <w:rFonts w:hint="eastAsia"/>
                <w:color w:val="auto"/>
                <w:kern w:val="2"/>
                <w:sz w:val="21"/>
                <w:szCs w:val="21"/>
                <w:lang w:val="en-US" w:eastAsia="zh-CN"/>
              </w:rPr>
              <w:t>非甲烷总烃</w:t>
            </w:r>
            <w:r>
              <w:rPr>
                <w:rFonts w:hint="eastAsia"/>
                <w:color w:val="auto"/>
                <w:kern w:val="2"/>
                <w:sz w:val="21"/>
                <w:szCs w:val="21"/>
              </w:rPr>
              <w:t>。现有项目未对其进行收集和处理，</w:t>
            </w:r>
            <w:r>
              <w:rPr>
                <w:rFonts w:hint="eastAsia"/>
                <w:color w:val="auto"/>
                <w:kern w:val="2"/>
                <w:sz w:val="21"/>
                <w:szCs w:val="21"/>
                <w:lang w:val="en-US" w:eastAsia="zh-CN"/>
              </w:rPr>
              <w:t>非甲烷总烃</w:t>
            </w:r>
            <w:r>
              <w:rPr>
                <w:rFonts w:hint="eastAsia"/>
                <w:color w:val="auto"/>
                <w:kern w:val="2"/>
                <w:sz w:val="21"/>
                <w:szCs w:val="21"/>
              </w:rPr>
              <w:t>以无组织形式排放。建议项目在破碎前将覆盖在覆铜板上的塑料膜撕下，以免混入废树脂粉中。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vAlign w:val="center"/>
          </w:tcPr>
          <w:p>
            <w:pPr>
              <w:pStyle w:val="6"/>
              <w:spacing w:line="280" w:lineRule="exact"/>
              <w:jc w:val="center"/>
              <w:rPr>
                <w:color w:val="auto"/>
                <w:kern w:val="2"/>
                <w:sz w:val="21"/>
                <w:szCs w:val="21"/>
              </w:rPr>
            </w:pPr>
            <w:r>
              <w:rPr>
                <w:rFonts w:hint="eastAsia"/>
                <w:color w:val="auto"/>
                <w:kern w:val="2"/>
                <w:sz w:val="21"/>
                <w:szCs w:val="21"/>
              </w:rPr>
              <w:t>噪声</w:t>
            </w:r>
          </w:p>
        </w:tc>
        <w:tc>
          <w:tcPr>
            <w:tcW w:w="2708" w:type="dxa"/>
            <w:vAlign w:val="center"/>
          </w:tcPr>
          <w:p>
            <w:pPr>
              <w:pStyle w:val="6"/>
              <w:spacing w:line="280" w:lineRule="exact"/>
              <w:jc w:val="center"/>
              <w:rPr>
                <w:color w:val="auto"/>
                <w:kern w:val="2"/>
                <w:sz w:val="21"/>
                <w:szCs w:val="21"/>
              </w:rPr>
            </w:pPr>
            <w:r>
              <w:rPr>
                <w:rFonts w:hint="eastAsia"/>
                <w:color w:val="auto"/>
                <w:kern w:val="2"/>
                <w:sz w:val="21"/>
                <w:szCs w:val="21"/>
              </w:rPr>
              <w:t>做好噪声防治工作，机械噪声源要有隔音、消声、减震、降噪等治理措施，</w:t>
            </w:r>
            <w:r>
              <w:rPr>
                <w:color w:val="auto"/>
                <w:kern w:val="2"/>
                <w:sz w:val="21"/>
                <w:szCs w:val="21"/>
              </w:rPr>
              <w:t>达到《工业企业厂界环境噪声排放标准》（GB12348-2008）</w:t>
            </w:r>
            <w:r>
              <w:rPr>
                <w:rFonts w:hint="eastAsia"/>
                <w:color w:val="auto"/>
                <w:kern w:val="2"/>
                <w:sz w:val="21"/>
                <w:szCs w:val="21"/>
              </w:rPr>
              <w:t>2</w:t>
            </w:r>
            <w:r>
              <w:rPr>
                <w:color w:val="auto"/>
                <w:kern w:val="2"/>
                <w:sz w:val="21"/>
                <w:szCs w:val="21"/>
              </w:rPr>
              <w:t>类标准</w:t>
            </w:r>
            <w:r>
              <w:rPr>
                <w:rFonts w:hint="eastAsia"/>
                <w:color w:val="auto"/>
                <w:kern w:val="2"/>
                <w:sz w:val="21"/>
                <w:szCs w:val="21"/>
              </w:rPr>
              <w:t>。</w:t>
            </w:r>
          </w:p>
        </w:tc>
        <w:tc>
          <w:tcPr>
            <w:tcW w:w="2040" w:type="dxa"/>
            <w:vAlign w:val="center"/>
          </w:tcPr>
          <w:p>
            <w:pPr>
              <w:pStyle w:val="6"/>
              <w:spacing w:line="280" w:lineRule="exact"/>
              <w:jc w:val="center"/>
              <w:rPr>
                <w:color w:val="auto"/>
                <w:kern w:val="2"/>
                <w:sz w:val="21"/>
                <w:szCs w:val="21"/>
              </w:rPr>
            </w:pPr>
            <w:r>
              <w:rPr>
                <w:rFonts w:hint="eastAsia"/>
                <w:color w:val="auto"/>
                <w:kern w:val="2"/>
                <w:sz w:val="21"/>
                <w:szCs w:val="21"/>
              </w:rPr>
              <w:t>设备采用减振、隔声等设施降噪，</w:t>
            </w:r>
            <w:r>
              <w:rPr>
                <w:color w:val="auto"/>
                <w:kern w:val="2"/>
                <w:sz w:val="21"/>
                <w:szCs w:val="21"/>
              </w:rPr>
              <w:t>达到《工业企业厂界环境噪声排放标准》（GB12348-2008）</w:t>
            </w:r>
            <w:r>
              <w:rPr>
                <w:rFonts w:hint="eastAsia"/>
                <w:color w:val="auto"/>
                <w:kern w:val="2"/>
                <w:sz w:val="21"/>
                <w:szCs w:val="21"/>
              </w:rPr>
              <w:t>2</w:t>
            </w:r>
            <w:r>
              <w:rPr>
                <w:color w:val="auto"/>
                <w:kern w:val="2"/>
                <w:sz w:val="21"/>
                <w:szCs w:val="21"/>
              </w:rPr>
              <w:t>类标准</w:t>
            </w:r>
            <w:r>
              <w:rPr>
                <w:rFonts w:hint="eastAsia"/>
                <w:color w:val="auto"/>
                <w:kern w:val="2"/>
                <w:sz w:val="21"/>
                <w:szCs w:val="21"/>
              </w:rPr>
              <w:t>。</w:t>
            </w:r>
          </w:p>
        </w:tc>
        <w:tc>
          <w:tcPr>
            <w:tcW w:w="3442" w:type="dxa"/>
            <w:vAlign w:val="center"/>
          </w:tcPr>
          <w:p>
            <w:pPr>
              <w:pStyle w:val="6"/>
              <w:spacing w:line="280" w:lineRule="exact"/>
              <w:jc w:val="center"/>
              <w:rPr>
                <w:color w:val="auto"/>
                <w:kern w:val="2"/>
                <w:sz w:val="21"/>
                <w:szCs w:val="21"/>
              </w:rPr>
            </w:pPr>
            <w:r>
              <w:rPr>
                <w:rFonts w:hint="eastAsia"/>
                <w:color w:val="auto"/>
                <w:kern w:val="2"/>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vAlign w:val="center"/>
          </w:tcPr>
          <w:p>
            <w:pPr>
              <w:pStyle w:val="6"/>
              <w:spacing w:line="280" w:lineRule="exact"/>
              <w:jc w:val="center"/>
              <w:rPr>
                <w:color w:val="auto"/>
                <w:kern w:val="2"/>
                <w:sz w:val="21"/>
                <w:szCs w:val="21"/>
              </w:rPr>
            </w:pPr>
            <w:r>
              <w:rPr>
                <w:rFonts w:hint="eastAsia"/>
                <w:color w:val="auto"/>
                <w:kern w:val="2"/>
                <w:sz w:val="21"/>
                <w:szCs w:val="21"/>
              </w:rPr>
              <w:t>固废</w:t>
            </w:r>
          </w:p>
        </w:tc>
        <w:tc>
          <w:tcPr>
            <w:tcW w:w="2708" w:type="dxa"/>
            <w:vAlign w:val="center"/>
          </w:tcPr>
          <w:p>
            <w:pPr>
              <w:pStyle w:val="6"/>
              <w:spacing w:line="280" w:lineRule="exact"/>
              <w:jc w:val="center"/>
              <w:rPr>
                <w:color w:val="auto"/>
                <w:kern w:val="2"/>
                <w:sz w:val="21"/>
                <w:szCs w:val="21"/>
              </w:rPr>
            </w:pPr>
            <w:r>
              <w:rPr>
                <w:rFonts w:hint="eastAsia"/>
                <w:color w:val="auto"/>
                <w:kern w:val="2"/>
                <w:sz w:val="21"/>
                <w:szCs w:val="21"/>
              </w:rPr>
              <w:t>固体废物及时清运，不得随意堆放或随处丢弃，临时堆放场所必须硬底，并有防止渗漏、雨淋流失的措施</w:t>
            </w:r>
          </w:p>
        </w:tc>
        <w:tc>
          <w:tcPr>
            <w:tcW w:w="2040" w:type="dxa"/>
            <w:vAlign w:val="center"/>
          </w:tcPr>
          <w:p>
            <w:pPr>
              <w:pStyle w:val="6"/>
              <w:spacing w:line="280" w:lineRule="exact"/>
              <w:jc w:val="center"/>
              <w:rPr>
                <w:color w:val="auto"/>
                <w:kern w:val="2"/>
                <w:sz w:val="21"/>
                <w:szCs w:val="21"/>
              </w:rPr>
            </w:pPr>
            <w:r>
              <w:rPr>
                <w:rFonts w:hint="eastAsia"/>
                <w:color w:val="auto"/>
                <w:kern w:val="2"/>
                <w:sz w:val="21"/>
                <w:szCs w:val="21"/>
              </w:rPr>
              <w:t>厂区内地面均已做硬化处理，且搭有雨棚，不露天堆放。</w:t>
            </w:r>
          </w:p>
        </w:tc>
        <w:tc>
          <w:tcPr>
            <w:tcW w:w="3442" w:type="dxa"/>
            <w:vAlign w:val="center"/>
          </w:tcPr>
          <w:p>
            <w:pPr>
              <w:pStyle w:val="6"/>
              <w:spacing w:line="280" w:lineRule="exact"/>
              <w:jc w:val="center"/>
              <w:rPr>
                <w:color w:val="auto"/>
                <w:kern w:val="2"/>
                <w:sz w:val="21"/>
                <w:szCs w:val="21"/>
              </w:rPr>
            </w:pPr>
            <w:r>
              <w:rPr>
                <w:rFonts w:hint="eastAsia"/>
                <w:color w:val="auto"/>
                <w:kern w:val="2"/>
                <w:sz w:val="21"/>
                <w:szCs w:val="21"/>
              </w:rPr>
              <w:t>无</w:t>
            </w:r>
          </w:p>
        </w:tc>
      </w:tr>
    </w:tbl>
    <w:p>
      <w:pPr>
        <w:pStyle w:val="6"/>
        <w:spacing w:line="360" w:lineRule="auto"/>
        <w:ind w:firstLine="880" w:firstLineChars="200"/>
        <w:rPr>
          <w:color w:val="auto"/>
          <w:sz w:val="44"/>
          <w:szCs w:val="4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4"/>
        <w:numPr>
          <w:ilvl w:val="0"/>
          <w:numId w:val="0"/>
        </w:numPr>
        <w:spacing w:before="159" w:after="159"/>
        <w:ind w:left="568"/>
        <w:rPr>
          <w:color w:val="auto"/>
        </w:rPr>
      </w:pPr>
      <w:bookmarkStart w:id="297" w:name="_Toc13315"/>
      <w:bookmarkStart w:id="298" w:name="_Toc28201"/>
      <w:bookmarkStart w:id="299" w:name="_Toc24469"/>
      <w:r>
        <w:rPr>
          <w:rFonts w:hint="eastAsia"/>
          <w:color w:val="auto"/>
          <w:sz w:val="44"/>
          <w:szCs w:val="44"/>
        </w:rPr>
        <w:t>4  迁改扩建项目概况及工程分析</w:t>
      </w:r>
      <w:bookmarkEnd w:id="295"/>
      <w:bookmarkEnd w:id="296"/>
      <w:bookmarkEnd w:id="297"/>
      <w:bookmarkEnd w:id="298"/>
      <w:bookmarkEnd w:id="299"/>
    </w:p>
    <w:p>
      <w:pPr>
        <w:pStyle w:val="5"/>
        <w:numPr>
          <w:ilvl w:val="1"/>
          <w:numId w:val="0"/>
        </w:numPr>
        <w:tabs>
          <w:tab w:val="clear" w:pos="720"/>
        </w:tabs>
        <w:spacing w:before="159" w:after="159"/>
        <w:rPr>
          <w:color w:val="auto"/>
          <w:sz w:val="32"/>
          <w:szCs w:val="32"/>
        </w:rPr>
      </w:pPr>
      <w:bookmarkStart w:id="300" w:name="_Toc31819"/>
      <w:bookmarkStart w:id="301" w:name="_Toc22028"/>
      <w:bookmarkStart w:id="302" w:name="_Toc2982"/>
      <w:bookmarkStart w:id="303" w:name="_Toc22115"/>
      <w:bookmarkStart w:id="304" w:name="_Toc20066"/>
      <w:r>
        <w:rPr>
          <w:rFonts w:hint="eastAsia"/>
          <w:color w:val="auto"/>
          <w:sz w:val="32"/>
          <w:szCs w:val="32"/>
        </w:rPr>
        <w:t xml:space="preserve">4.1  </w:t>
      </w:r>
      <w:r>
        <w:rPr>
          <w:color w:val="auto"/>
          <w:sz w:val="32"/>
          <w:szCs w:val="32"/>
        </w:rPr>
        <w:t>基本概况</w:t>
      </w:r>
      <w:bookmarkEnd w:id="300"/>
      <w:bookmarkEnd w:id="301"/>
      <w:bookmarkEnd w:id="302"/>
      <w:bookmarkEnd w:id="303"/>
      <w:bookmarkEnd w:id="304"/>
    </w:p>
    <w:p>
      <w:pPr>
        <w:pStyle w:val="7"/>
        <w:numPr>
          <w:ilvl w:val="2"/>
          <w:numId w:val="0"/>
        </w:numPr>
        <w:tabs>
          <w:tab w:val="clear" w:pos="720"/>
        </w:tabs>
        <w:spacing w:before="159" w:after="159"/>
        <w:rPr>
          <w:color w:val="auto"/>
        </w:rPr>
      </w:pPr>
      <w:bookmarkStart w:id="305" w:name="_Toc2839"/>
      <w:bookmarkStart w:id="306" w:name="_Toc21588"/>
      <w:r>
        <w:rPr>
          <w:rFonts w:hint="eastAsia"/>
          <w:color w:val="auto"/>
        </w:rPr>
        <w:t xml:space="preserve">4.1.1  </w:t>
      </w:r>
      <w:r>
        <w:rPr>
          <w:color w:val="auto"/>
        </w:rPr>
        <w:t>项目基本情况</w:t>
      </w:r>
      <w:bookmarkEnd w:id="305"/>
      <w:bookmarkEnd w:id="306"/>
    </w:p>
    <w:p>
      <w:pPr>
        <w:autoSpaceDE w:val="0"/>
        <w:autoSpaceDN w:val="0"/>
        <w:adjustRightInd w:val="0"/>
        <w:spacing w:line="360" w:lineRule="auto"/>
        <w:ind w:firstLine="480" w:firstLineChars="200"/>
        <w:jc w:val="left"/>
        <w:rPr>
          <w:bCs/>
          <w:color w:val="auto"/>
          <w:sz w:val="24"/>
        </w:rPr>
      </w:pPr>
      <w:bookmarkStart w:id="307" w:name="_Toc19605"/>
      <w:r>
        <w:rPr>
          <w:rFonts w:hint="eastAsia"/>
          <w:bCs/>
          <w:snapToGrid w:val="0"/>
          <w:color w:val="auto"/>
          <w:sz w:val="24"/>
        </w:rPr>
        <w:t>（1</w:t>
      </w:r>
      <w:r>
        <w:rPr>
          <w:bCs/>
          <w:snapToGrid w:val="0"/>
          <w:color w:val="auto"/>
          <w:sz w:val="24"/>
        </w:rPr>
        <w:t>）项目名称：</w:t>
      </w:r>
      <w:r>
        <w:rPr>
          <w:bCs/>
          <w:color w:val="auto"/>
          <w:sz w:val="24"/>
        </w:rPr>
        <w:t>清远市清城区信兴金属回收加工有限公司工业固体废弃物综合利用</w:t>
      </w:r>
      <w:r>
        <w:rPr>
          <w:rFonts w:hint="eastAsia"/>
          <w:bCs/>
          <w:color w:val="auto"/>
          <w:sz w:val="24"/>
        </w:rPr>
        <w:t>迁改扩建</w:t>
      </w:r>
      <w:r>
        <w:rPr>
          <w:bCs/>
          <w:color w:val="auto"/>
          <w:sz w:val="24"/>
        </w:rPr>
        <w:t>项目</w:t>
      </w:r>
    </w:p>
    <w:p>
      <w:pPr>
        <w:spacing w:line="360" w:lineRule="auto"/>
        <w:ind w:firstLine="480" w:firstLineChars="200"/>
        <w:rPr>
          <w:bCs/>
          <w:color w:val="auto"/>
          <w:sz w:val="24"/>
        </w:rPr>
      </w:pPr>
      <w:r>
        <w:rPr>
          <w:bCs/>
          <w:snapToGrid w:val="0"/>
          <w:color w:val="auto"/>
          <w:sz w:val="24"/>
        </w:rPr>
        <w:t>（2）建设单位：</w:t>
      </w:r>
      <w:r>
        <w:rPr>
          <w:bCs/>
          <w:color w:val="auto"/>
          <w:sz w:val="24"/>
        </w:rPr>
        <w:t>清远市清城区信兴金属回收加工有限公司</w:t>
      </w:r>
    </w:p>
    <w:p>
      <w:pPr>
        <w:pStyle w:val="2"/>
        <w:ind w:left="0" w:leftChars="0" w:firstLine="480"/>
        <w:rPr>
          <w:rFonts w:ascii="Times New Roman"/>
          <w:color w:val="auto"/>
        </w:rPr>
      </w:pPr>
      <w:r>
        <w:rPr>
          <w:rFonts w:ascii="Times New Roman"/>
          <w:bCs/>
          <w:color w:val="auto"/>
          <w:sz w:val="24"/>
        </w:rPr>
        <w:t>（3）项目投资：</w:t>
      </w:r>
      <w:r>
        <w:rPr>
          <w:rFonts w:ascii="Times New Roman"/>
          <w:color w:val="auto"/>
          <w:sz w:val="24"/>
        </w:rPr>
        <w:t>总投资约300万元，其中环保投资50万元</w:t>
      </w:r>
    </w:p>
    <w:p>
      <w:pPr>
        <w:spacing w:line="360" w:lineRule="auto"/>
        <w:ind w:firstLine="480" w:firstLineChars="200"/>
        <w:rPr>
          <w:bCs/>
          <w:snapToGrid w:val="0"/>
          <w:color w:val="auto"/>
          <w:sz w:val="24"/>
        </w:rPr>
      </w:pPr>
      <w:r>
        <w:rPr>
          <w:bCs/>
          <w:snapToGrid w:val="0"/>
          <w:color w:val="auto"/>
          <w:sz w:val="24"/>
        </w:rPr>
        <w:t>（4）建设内容：扩大生产规模，增购设备</w:t>
      </w:r>
      <w:r>
        <w:rPr>
          <w:rFonts w:hint="eastAsia"/>
          <w:bCs/>
          <w:snapToGrid w:val="0"/>
          <w:color w:val="auto"/>
          <w:sz w:val="24"/>
        </w:rPr>
        <w:t>，</w:t>
      </w:r>
      <w:r>
        <w:rPr>
          <w:bCs/>
          <w:snapToGrid w:val="0"/>
          <w:color w:val="auto"/>
          <w:sz w:val="24"/>
        </w:rPr>
        <w:t>同时引入防水卷材生产工艺和技术，使</w:t>
      </w:r>
      <w:r>
        <w:rPr>
          <w:rFonts w:hint="eastAsia"/>
          <w:bCs/>
          <w:snapToGrid w:val="0"/>
          <w:color w:val="auto"/>
          <w:sz w:val="24"/>
          <w:lang w:val="en-US" w:eastAsia="zh-CN"/>
        </w:rPr>
        <w:t>废树脂粉</w:t>
      </w:r>
      <w:r>
        <w:rPr>
          <w:bCs/>
          <w:color w:val="auto"/>
          <w:sz w:val="24"/>
        </w:rPr>
        <w:t>资源化利用，</w:t>
      </w:r>
      <w:r>
        <w:rPr>
          <w:bCs/>
          <w:snapToGrid w:val="0"/>
          <w:color w:val="auto"/>
          <w:sz w:val="24"/>
        </w:rPr>
        <w:t>提升产品的价值。</w:t>
      </w:r>
      <w:r>
        <w:rPr>
          <w:rFonts w:hint="eastAsia"/>
          <w:bCs/>
          <w:snapToGrid w:val="0"/>
          <w:color w:val="auto"/>
          <w:sz w:val="24"/>
        </w:rPr>
        <w:t>具体建设内容为湿式破碎生产线8条，卷材生产线1条。</w:t>
      </w:r>
    </w:p>
    <w:p>
      <w:pPr>
        <w:spacing w:line="360" w:lineRule="auto"/>
        <w:ind w:firstLine="480" w:firstLineChars="200"/>
        <w:rPr>
          <w:bCs/>
          <w:snapToGrid w:val="0"/>
          <w:color w:val="auto"/>
          <w:sz w:val="24"/>
        </w:rPr>
      </w:pPr>
      <w:r>
        <w:rPr>
          <w:bCs/>
          <w:snapToGrid w:val="0"/>
          <w:color w:val="auto"/>
          <w:sz w:val="24"/>
        </w:rPr>
        <w:t>（5）建设规模：</w:t>
      </w:r>
      <w:r>
        <w:rPr>
          <w:bCs/>
          <w:color w:val="auto"/>
          <w:sz w:val="24"/>
        </w:rPr>
        <w:t>资源化利用</w:t>
      </w:r>
      <w:r>
        <w:rPr>
          <w:bCs/>
          <w:snapToGrid w:val="0"/>
          <w:color w:val="auto"/>
          <w:sz w:val="24"/>
        </w:rPr>
        <w:t>覆铜板</w:t>
      </w:r>
      <w:r>
        <w:rPr>
          <w:rFonts w:hint="eastAsia"/>
          <w:bCs/>
          <w:snapToGrid w:val="0"/>
          <w:color w:val="auto"/>
          <w:sz w:val="24"/>
        </w:rPr>
        <w:t>3万</w:t>
      </w:r>
      <w:r>
        <w:rPr>
          <w:bCs/>
          <w:snapToGrid w:val="0"/>
          <w:color w:val="auto"/>
          <w:sz w:val="24"/>
        </w:rPr>
        <w:t>t/a，</w:t>
      </w:r>
      <w:r>
        <w:rPr>
          <w:rFonts w:hint="eastAsia"/>
          <w:bCs/>
          <w:snapToGrid w:val="0"/>
          <w:color w:val="auto"/>
          <w:sz w:val="24"/>
          <w:lang w:eastAsia="zh-CN"/>
        </w:rPr>
        <w:t>产出</w:t>
      </w:r>
      <w:r>
        <w:rPr>
          <w:rFonts w:hint="eastAsia"/>
          <w:bCs/>
          <w:snapToGrid w:val="0"/>
          <w:color w:val="auto"/>
          <w:sz w:val="24"/>
          <w:lang w:val="en-US" w:eastAsia="zh-CN"/>
        </w:rPr>
        <w:t>铜粉23574t/a、</w:t>
      </w:r>
      <w:r>
        <w:rPr>
          <w:bCs/>
          <w:snapToGrid w:val="0"/>
          <w:color w:val="auto"/>
          <w:sz w:val="24"/>
        </w:rPr>
        <w:t>防水卷材</w:t>
      </w:r>
      <w:r>
        <w:rPr>
          <w:rFonts w:hint="eastAsia"/>
          <w:bCs/>
          <w:snapToGrid w:val="0"/>
          <w:color w:val="auto"/>
          <w:sz w:val="24"/>
        </w:rPr>
        <w:t>2.3万t/a（折合1000</w:t>
      </w:r>
      <w:r>
        <w:rPr>
          <w:bCs/>
          <w:snapToGrid w:val="0"/>
          <w:color w:val="auto"/>
          <w:sz w:val="24"/>
        </w:rPr>
        <w:t>万</w:t>
      </w:r>
      <w:r>
        <w:rPr>
          <w:rFonts w:hint="eastAsia"/>
          <w:bCs/>
          <w:snapToGrid w:val="0"/>
          <w:color w:val="auto"/>
          <w:sz w:val="24"/>
        </w:rPr>
        <w:t>m</w:t>
      </w:r>
      <w:r>
        <w:rPr>
          <w:rFonts w:hint="eastAsia"/>
          <w:bCs/>
          <w:snapToGrid w:val="0"/>
          <w:color w:val="auto"/>
          <w:sz w:val="24"/>
          <w:vertAlign w:val="superscript"/>
        </w:rPr>
        <w:t>2</w:t>
      </w:r>
      <w:r>
        <w:rPr>
          <w:bCs/>
          <w:snapToGrid w:val="0"/>
          <w:color w:val="auto"/>
          <w:sz w:val="24"/>
        </w:rPr>
        <w:t>/</w:t>
      </w:r>
      <w:r>
        <w:rPr>
          <w:rFonts w:hint="eastAsia"/>
          <w:bCs/>
          <w:snapToGrid w:val="0"/>
          <w:color w:val="auto"/>
          <w:sz w:val="24"/>
        </w:rPr>
        <w:t>a）</w:t>
      </w:r>
      <w:r>
        <w:rPr>
          <w:bCs/>
          <w:snapToGrid w:val="0"/>
          <w:color w:val="auto"/>
          <w:sz w:val="24"/>
        </w:rPr>
        <w:t>。</w:t>
      </w:r>
    </w:p>
    <w:p>
      <w:pPr>
        <w:spacing w:line="360" w:lineRule="auto"/>
        <w:ind w:firstLine="480"/>
        <w:rPr>
          <w:bCs/>
          <w:color w:val="auto"/>
          <w:sz w:val="24"/>
        </w:rPr>
      </w:pPr>
      <w:r>
        <w:rPr>
          <w:bCs/>
          <w:color w:val="auto"/>
          <w:sz w:val="24"/>
        </w:rPr>
        <w:t>（6）工作制度和劳动定员：年工作</w:t>
      </w:r>
      <w:r>
        <w:rPr>
          <w:rFonts w:hint="eastAsia"/>
          <w:bCs/>
          <w:color w:val="auto"/>
          <w:sz w:val="24"/>
        </w:rPr>
        <w:t>330天</w:t>
      </w:r>
      <w:r>
        <w:rPr>
          <w:bCs/>
          <w:color w:val="auto"/>
          <w:sz w:val="24"/>
        </w:rPr>
        <w:t>。其中卷材生产线每天3班，每班8h，间断工作制。其他</w:t>
      </w:r>
      <w:r>
        <w:rPr>
          <w:rFonts w:hint="eastAsia"/>
          <w:bCs/>
          <w:color w:val="auto"/>
          <w:sz w:val="24"/>
          <w:lang w:val="en-US" w:eastAsia="zh-CN"/>
        </w:rPr>
        <w:t>岗位</w:t>
      </w:r>
      <w:r>
        <w:rPr>
          <w:bCs/>
          <w:color w:val="auto"/>
          <w:sz w:val="24"/>
        </w:rPr>
        <w:t>每天1班，每班8h。本</w:t>
      </w:r>
      <w:r>
        <w:rPr>
          <w:rFonts w:hint="eastAsia"/>
          <w:bCs/>
          <w:color w:val="auto"/>
          <w:sz w:val="24"/>
        </w:rPr>
        <w:t>次迁改扩建</w:t>
      </w:r>
      <w:r>
        <w:rPr>
          <w:bCs/>
          <w:color w:val="auto"/>
          <w:sz w:val="24"/>
        </w:rPr>
        <w:t>需要</w:t>
      </w:r>
      <w:r>
        <w:rPr>
          <w:rFonts w:hint="eastAsia"/>
          <w:bCs/>
          <w:color w:val="auto"/>
          <w:sz w:val="24"/>
        </w:rPr>
        <w:t>增加</w:t>
      </w:r>
      <w:r>
        <w:rPr>
          <w:bCs/>
          <w:color w:val="auto"/>
          <w:sz w:val="24"/>
        </w:rPr>
        <w:t>员工15人，</w:t>
      </w:r>
      <w:r>
        <w:rPr>
          <w:rFonts w:hint="eastAsia"/>
          <w:bCs/>
          <w:color w:val="auto"/>
          <w:sz w:val="24"/>
        </w:rPr>
        <w:t>迁改扩建</w:t>
      </w:r>
      <w:r>
        <w:rPr>
          <w:bCs/>
          <w:color w:val="auto"/>
          <w:sz w:val="24"/>
        </w:rPr>
        <w:t>后公司职工总人数为</w:t>
      </w:r>
      <w:r>
        <w:rPr>
          <w:rFonts w:hint="eastAsia"/>
          <w:bCs/>
          <w:color w:val="auto"/>
          <w:sz w:val="24"/>
        </w:rPr>
        <w:t>60</w:t>
      </w:r>
      <w:r>
        <w:rPr>
          <w:bCs/>
          <w:color w:val="auto"/>
          <w:sz w:val="24"/>
        </w:rPr>
        <w:t>人，均不在厂区内食宿。</w:t>
      </w:r>
    </w:p>
    <w:p>
      <w:pPr>
        <w:spacing w:line="360" w:lineRule="auto"/>
        <w:ind w:firstLine="480"/>
        <w:rPr>
          <w:bCs/>
          <w:color w:val="auto"/>
          <w:sz w:val="24"/>
        </w:rPr>
      </w:pPr>
      <w:r>
        <w:rPr>
          <w:bCs/>
          <w:snapToGrid w:val="0"/>
          <w:color w:val="auto"/>
          <w:sz w:val="24"/>
        </w:rPr>
        <w:t>（7）项目类别及属性：本项目</w:t>
      </w:r>
      <w:r>
        <w:rPr>
          <w:rFonts w:hint="eastAsia"/>
          <w:bCs/>
          <w:snapToGrid w:val="0"/>
          <w:color w:val="auto"/>
          <w:sz w:val="24"/>
        </w:rPr>
        <w:t>主要涉及废覆铜板（一般固体废物）的回收和综合利用两</w:t>
      </w:r>
      <w:r>
        <w:rPr>
          <w:rFonts w:hint="eastAsia"/>
          <w:bCs/>
          <w:color w:val="auto"/>
          <w:sz w:val="24"/>
        </w:rPr>
        <w:t>方面。</w:t>
      </w:r>
    </w:p>
    <w:p>
      <w:pPr>
        <w:spacing w:line="360" w:lineRule="auto"/>
        <w:ind w:firstLine="480"/>
        <w:rPr>
          <w:bCs/>
          <w:snapToGrid w:val="0"/>
          <w:color w:val="auto"/>
          <w:sz w:val="24"/>
        </w:rPr>
      </w:pPr>
      <w:r>
        <w:rPr>
          <w:bCs/>
          <w:color w:val="auto"/>
          <w:sz w:val="24"/>
        </w:rPr>
        <w:t>对照《国民经济行业分类》（GB/T4754-2017），本项目应属于“</w:t>
      </w:r>
      <w:r>
        <w:rPr>
          <w:rFonts w:hint="eastAsia"/>
          <w:bCs/>
          <w:color w:val="auto"/>
          <w:sz w:val="24"/>
        </w:rPr>
        <w:t>N7724</w:t>
      </w:r>
      <w:r>
        <w:rPr>
          <w:bCs/>
          <w:color w:val="auto"/>
          <w:sz w:val="24"/>
        </w:rPr>
        <w:t xml:space="preserve"> </w:t>
      </w:r>
      <w:r>
        <w:rPr>
          <w:rFonts w:hint="eastAsia"/>
          <w:bCs/>
          <w:color w:val="auto"/>
          <w:sz w:val="24"/>
        </w:rPr>
        <w:t>固体</w:t>
      </w:r>
      <w:r>
        <w:rPr>
          <w:bCs/>
          <w:color w:val="auto"/>
          <w:sz w:val="24"/>
        </w:rPr>
        <w:t>废物治理”类项目。对照《建设项目环境影响评价分类管理名录》（2017年9月1日实行）及《关于修改&lt;建设项目环境影响评价分类管理名录&gt;部分内容的决定》（生态环境部令第1号，2018年4月28日起施行），确定本项目环境影响评价类别为“十</w:t>
      </w:r>
      <w:r>
        <w:rPr>
          <w:rFonts w:hint="eastAsia"/>
          <w:bCs/>
          <w:color w:val="auto"/>
          <w:sz w:val="24"/>
        </w:rPr>
        <w:t>三</w:t>
      </w:r>
      <w:r>
        <w:rPr>
          <w:bCs/>
          <w:color w:val="auto"/>
          <w:sz w:val="24"/>
        </w:rPr>
        <w:t>、</w:t>
      </w:r>
      <w:r>
        <w:rPr>
          <w:rFonts w:hint="eastAsia"/>
          <w:bCs/>
          <w:color w:val="auto"/>
          <w:sz w:val="24"/>
        </w:rPr>
        <w:t>废弃资源综合利用</w:t>
      </w:r>
      <w:r>
        <w:rPr>
          <w:bCs/>
          <w:color w:val="auto"/>
          <w:sz w:val="24"/>
        </w:rPr>
        <w:t>-</w:t>
      </w:r>
      <w:r>
        <w:rPr>
          <w:rFonts w:hint="eastAsia"/>
          <w:bCs/>
          <w:color w:val="auto"/>
          <w:sz w:val="24"/>
        </w:rPr>
        <w:t>86</w:t>
      </w:r>
      <w:r>
        <w:rPr>
          <w:bCs/>
          <w:color w:val="auto"/>
          <w:sz w:val="24"/>
        </w:rPr>
        <w:t>、</w:t>
      </w:r>
      <w:r>
        <w:rPr>
          <w:rFonts w:hint="eastAsia"/>
          <w:bCs/>
          <w:color w:val="auto"/>
          <w:sz w:val="24"/>
        </w:rPr>
        <w:t>废旧资源（含生物质）加工、再生利用</w:t>
      </w:r>
      <w:r>
        <w:rPr>
          <w:bCs/>
          <w:color w:val="auto"/>
          <w:sz w:val="24"/>
        </w:rPr>
        <w:t>-</w:t>
      </w:r>
      <w:r>
        <w:rPr>
          <w:rFonts w:hint="eastAsia"/>
          <w:bCs/>
          <w:color w:val="auto"/>
          <w:sz w:val="24"/>
        </w:rPr>
        <w:t>废电子电器产品、废电池、废汽车、废电机、废五金、废塑料（除分拣清洗工艺的）、废油、废船、废轮胎等加工、再生利用</w:t>
      </w:r>
      <w:r>
        <w:rPr>
          <w:bCs/>
          <w:color w:val="auto"/>
          <w:sz w:val="24"/>
        </w:rPr>
        <w:t>”</w:t>
      </w:r>
      <w:r>
        <w:rPr>
          <w:rFonts w:hint="eastAsia"/>
          <w:bCs/>
          <w:color w:val="auto"/>
          <w:sz w:val="24"/>
        </w:rPr>
        <w:t>。</w:t>
      </w:r>
      <w:r>
        <w:rPr>
          <w:bCs/>
          <w:snapToGrid w:val="0"/>
          <w:color w:val="auto"/>
          <w:sz w:val="24"/>
        </w:rPr>
        <w:t>在《产业结构调整指导目录》(201</w:t>
      </w:r>
      <w:r>
        <w:rPr>
          <w:rFonts w:hint="eastAsia"/>
          <w:bCs/>
          <w:snapToGrid w:val="0"/>
          <w:color w:val="auto"/>
          <w:sz w:val="24"/>
        </w:rPr>
        <w:t>9</w:t>
      </w:r>
      <w:r>
        <w:rPr>
          <w:bCs/>
          <w:snapToGrid w:val="0"/>
          <w:color w:val="auto"/>
          <w:sz w:val="24"/>
        </w:rPr>
        <w:t>年本)中，属于鼓励类中</w:t>
      </w:r>
      <w:r>
        <w:rPr>
          <w:rFonts w:hint="eastAsia"/>
          <w:bCs/>
          <w:snapToGrid w:val="0"/>
          <w:color w:val="auto"/>
          <w:sz w:val="24"/>
        </w:rPr>
        <w:t>“四十三、</w:t>
      </w:r>
      <w:r>
        <w:rPr>
          <w:bCs/>
          <w:snapToGrid w:val="0"/>
          <w:color w:val="auto"/>
          <w:sz w:val="24"/>
        </w:rPr>
        <w:t>环境保护与资源节约综合利用</w:t>
      </w:r>
      <w:r>
        <w:rPr>
          <w:rFonts w:hint="eastAsia"/>
          <w:bCs/>
          <w:snapToGrid w:val="0"/>
          <w:color w:val="auto"/>
          <w:sz w:val="24"/>
        </w:rPr>
        <w:t>-15、‘三废’</w:t>
      </w:r>
      <w:r>
        <w:rPr>
          <w:bCs/>
          <w:snapToGrid w:val="0"/>
          <w:color w:val="auto"/>
          <w:sz w:val="24"/>
        </w:rPr>
        <w:t>综合利用</w:t>
      </w:r>
      <w:r>
        <w:rPr>
          <w:rFonts w:hint="eastAsia"/>
          <w:bCs/>
          <w:snapToGrid w:val="0"/>
          <w:color w:val="auto"/>
          <w:sz w:val="24"/>
        </w:rPr>
        <w:t>与</w:t>
      </w:r>
      <w:r>
        <w:rPr>
          <w:bCs/>
          <w:snapToGrid w:val="0"/>
          <w:color w:val="auto"/>
          <w:sz w:val="24"/>
        </w:rPr>
        <w:t>治理</w:t>
      </w:r>
      <w:r>
        <w:rPr>
          <w:rFonts w:hint="eastAsia"/>
          <w:bCs/>
          <w:snapToGrid w:val="0"/>
          <w:color w:val="auto"/>
          <w:sz w:val="24"/>
        </w:rPr>
        <w:t>技术、装备和工程</w:t>
      </w:r>
      <w:r>
        <w:rPr>
          <w:bCs/>
          <w:snapToGrid w:val="0"/>
          <w:color w:val="auto"/>
          <w:sz w:val="24"/>
        </w:rPr>
        <w:t>”。</w:t>
      </w:r>
    </w:p>
    <w:p>
      <w:pPr>
        <w:pStyle w:val="7"/>
        <w:numPr>
          <w:ilvl w:val="2"/>
          <w:numId w:val="0"/>
        </w:numPr>
        <w:tabs>
          <w:tab w:val="clear" w:pos="720"/>
        </w:tabs>
        <w:spacing w:before="159" w:after="159"/>
        <w:rPr>
          <w:color w:val="auto"/>
        </w:rPr>
      </w:pPr>
      <w:bookmarkStart w:id="308" w:name="_Toc4565"/>
      <w:r>
        <w:rPr>
          <w:rFonts w:hint="eastAsia"/>
          <w:color w:val="auto"/>
        </w:rPr>
        <w:t xml:space="preserve">4.1.2  </w:t>
      </w:r>
      <w:r>
        <w:rPr>
          <w:color w:val="auto"/>
        </w:rPr>
        <w:t>项目所在位置及四至情况</w:t>
      </w:r>
      <w:bookmarkEnd w:id="307"/>
      <w:bookmarkEnd w:id="308"/>
    </w:p>
    <w:p>
      <w:pPr>
        <w:spacing w:line="360" w:lineRule="auto"/>
        <w:ind w:firstLine="480"/>
        <w:rPr>
          <w:color w:val="auto"/>
          <w:sz w:val="24"/>
        </w:rPr>
      </w:pPr>
      <w:r>
        <w:rPr>
          <w:color w:val="auto"/>
          <w:sz w:val="24"/>
        </w:rPr>
        <w:t>项目位于</w:t>
      </w:r>
      <w:r>
        <w:rPr>
          <w:bCs/>
          <w:snapToGrid w:val="0"/>
          <w:color w:val="auto"/>
          <w:sz w:val="24"/>
        </w:rPr>
        <w:t>清远市清城区石角镇界牌北江工业园内厂房B</w:t>
      </w:r>
      <w:r>
        <w:rPr>
          <w:bCs/>
          <w:color w:val="auto"/>
          <w:sz w:val="24"/>
        </w:rPr>
        <w:t>（中心地理坐标：北纬23.502176°，东经112.950939°），</w:t>
      </w:r>
      <w:r>
        <w:rPr>
          <w:color w:val="auto"/>
          <w:sz w:val="24"/>
        </w:rPr>
        <w:t>属于石角工业园范围内。石角工业园位于清远市石角镇区以南，广清产业转移园和美林湖社区以西</w:t>
      </w:r>
      <w:r>
        <w:rPr>
          <w:rFonts w:hint="eastAsia"/>
          <w:color w:val="auto"/>
          <w:sz w:val="24"/>
        </w:rPr>
        <w:t>。</w:t>
      </w:r>
      <w:r>
        <w:rPr>
          <w:color w:val="auto"/>
          <w:sz w:val="24"/>
        </w:rPr>
        <w:t>该工业区用地性质属于</w:t>
      </w:r>
      <w:r>
        <w:rPr>
          <w:rFonts w:hint="eastAsia"/>
          <w:color w:val="auto"/>
          <w:sz w:val="24"/>
        </w:rPr>
        <w:t>清远市</w:t>
      </w:r>
      <w:r>
        <w:rPr>
          <w:color w:val="auto"/>
          <w:sz w:val="24"/>
        </w:rPr>
        <w:t>规划的工业用地</w:t>
      </w:r>
      <w:r>
        <w:rPr>
          <w:rFonts w:hint="eastAsia"/>
          <w:color w:val="auto"/>
          <w:sz w:val="24"/>
        </w:rPr>
        <w:t>，为</w:t>
      </w:r>
      <w:r>
        <w:rPr>
          <w:color w:val="auto"/>
          <w:sz w:val="24"/>
        </w:rPr>
        <w:t>集约工业区。经长期的发展，该工业区已经形成一定的规模，园区的基础设施配套已逐渐完善。园区已接通市政电网</w:t>
      </w:r>
      <w:r>
        <w:rPr>
          <w:rFonts w:hint="eastAsia"/>
          <w:color w:val="auto"/>
          <w:sz w:val="24"/>
        </w:rPr>
        <w:t>、</w:t>
      </w:r>
      <w:r>
        <w:rPr>
          <w:color w:val="auto"/>
          <w:sz w:val="24"/>
        </w:rPr>
        <w:t>自来水管网</w:t>
      </w:r>
      <w:r>
        <w:rPr>
          <w:rFonts w:hint="eastAsia"/>
          <w:color w:val="auto"/>
          <w:sz w:val="24"/>
        </w:rPr>
        <w:t>和市政污水管网</w:t>
      </w:r>
      <w:r>
        <w:rPr>
          <w:color w:val="auto"/>
          <w:sz w:val="24"/>
        </w:rPr>
        <w:t>，道路浇筑水泥，做好硬化处理，可满足一般企业的建设和生产需求。</w:t>
      </w:r>
    </w:p>
    <w:p>
      <w:pPr>
        <w:spacing w:line="360" w:lineRule="auto"/>
        <w:ind w:firstLine="480"/>
        <w:rPr>
          <w:color w:val="auto"/>
          <w:sz w:val="24"/>
        </w:rPr>
      </w:pPr>
      <w:r>
        <w:rPr>
          <w:color w:val="auto"/>
          <w:sz w:val="24"/>
        </w:rPr>
        <w:t>项目所在的厂房仅一层。项目东面为空置厂房和空地，</w:t>
      </w:r>
      <w:r>
        <w:rPr>
          <w:rFonts w:hint="eastAsia"/>
          <w:color w:val="auto"/>
          <w:sz w:val="24"/>
        </w:rPr>
        <w:t>东南面为清远市兴丰五金加工有限公司，</w:t>
      </w:r>
      <w:r>
        <w:rPr>
          <w:color w:val="auto"/>
          <w:sz w:val="24"/>
        </w:rPr>
        <w:t>南面为兴域铝业五金辅料仓，西面为兴域铝业厂房；</w:t>
      </w:r>
      <w:r>
        <w:rPr>
          <w:rFonts w:hint="eastAsia"/>
          <w:color w:val="auto"/>
          <w:sz w:val="24"/>
        </w:rPr>
        <w:t>西</w:t>
      </w:r>
      <w:r>
        <w:rPr>
          <w:color w:val="auto"/>
          <w:sz w:val="24"/>
        </w:rPr>
        <w:t>北面为</w:t>
      </w:r>
      <w:r>
        <w:rPr>
          <w:rFonts w:hint="eastAsia"/>
          <w:color w:val="auto"/>
          <w:sz w:val="24"/>
        </w:rPr>
        <w:t>清远市承兴塑料有限公司，北面为清远市金洋铝业有限公司</w:t>
      </w:r>
      <w:r>
        <w:rPr>
          <w:color w:val="auto"/>
          <w:sz w:val="24"/>
        </w:rPr>
        <w:t>。本项目地理位置见图1.1-1，项目四至情况见图</w:t>
      </w:r>
      <w:r>
        <w:rPr>
          <w:rFonts w:hint="eastAsia"/>
          <w:color w:val="auto"/>
          <w:sz w:val="24"/>
        </w:rPr>
        <w:t>4</w:t>
      </w:r>
      <w:r>
        <w:rPr>
          <w:color w:val="auto"/>
          <w:sz w:val="24"/>
        </w:rPr>
        <w:t>.1-1，项目现状四至实拍情况见图</w:t>
      </w:r>
      <w:r>
        <w:rPr>
          <w:rFonts w:hint="eastAsia"/>
          <w:color w:val="auto"/>
          <w:sz w:val="24"/>
        </w:rPr>
        <w:t>4</w:t>
      </w:r>
      <w:r>
        <w:rPr>
          <w:color w:val="auto"/>
          <w:sz w:val="24"/>
        </w:rPr>
        <w:t>.1-2。</w:t>
      </w:r>
    </w:p>
    <w:p>
      <w:pPr>
        <w:pStyle w:val="32"/>
        <w:ind w:leftChars="-95" w:hanging="199" w:hangingChars="83"/>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ind w:left="2" w:leftChars="-200" w:right="-512" w:rightChars="-244" w:hanging="422" w:hangingChars="175"/>
        <w:jc w:val="center"/>
        <w:outlineLvl w:val="9"/>
        <w:rPr>
          <w:b/>
          <w:color w:val="auto"/>
          <w:sz w:val="24"/>
        </w:rPr>
      </w:pPr>
    </w:p>
    <w:p>
      <w:pPr>
        <w:ind w:left="2" w:leftChars="-200" w:right="-512" w:rightChars="-244" w:hanging="422" w:hangingChars="175"/>
        <w:jc w:val="center"/>
        <w:outlineLvl w:val="9"/>
        <w:rPr>
          <w:color w:val="auto"/>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kern w:val="0"/>
          <w:sz w:val="24"/>
        </w:rPr>
        <w:drawing>
          <wp:inline distT="0" distB="0" distL="114300" distR="114300">
            <wp:extent cx="9456420" cy="4804410"/>
            <wp:effectExtent l="0" t="0" r="11430" b="15240"/>
            <wp:docPr id="54" name="图片 54" descr="四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四至"/>
                    <pic:cNvPicPr>
                      <a:picLocks noChangeAspect="1"/>
                    </pic:cNvPicPr>
                  </pic:nvPicPr>
                  <pic:blipFill>
                    <a:blip r:embed="rId43"/>
                    <a:stretch>
                      <a:fillRect/>
                    </a:stretch>
                  </pic:blipFill>
                  <pic:spPr>
                    <a:xfrm>
                      <a:off x="0" y="0"/>
                      <a:ext cx="9456420" cy="4804410"/>
                    </a:xfrm>
                    <a:prstGeom prst="rect">
                      <a:avLst/>
                    </a:prstGeom>
                  </pic:spPr>
                </pic:pic>
              </a:graphicData>
            </a:graphic>
          </wp:inline>
        </w:drawing>
      </w:r>
      <w:r>
        <w:rPr>
          <w:b/>
          <w:bCs/>
          <w:color w:val="auto"/>
          <w:kern w:val="0"/>
          <w:sz w:val="24"/>
        </w:rPr>
        <w:t>图</w:t>
      </w:r>
      <w:r>
        <w:rPr>
          <w:rFonts w:hint="eastAsia"/>
          <w:b/>
          <w:bCs/>
          <w:color w:val="auto"/>
          <w:kern w:val="0"/>
          <w:sz w:val="24"/>
        </w:rPr>
        <w:t>4</w:t>
      </w:r>
      <w:r>
        <w:rPr>
          <w:b/>
          <w:bCs/>
          <w:color w:val="auto"/>
          <w:kern w:val="0"/>
          <w:sz w:val="24"/>
        </w:rPr>
        <w:t>.1-1</w:t>
      </w:r>
      <w:r>
        <w:rPr>
          <w:rFonts w:hint="eastAsia"/>
          <w:b/>
          <w:bCs/>
          <w:color w:val="auto"/>
          <w:kern w:val="0"/>
          <w:sz w:val="24"/>
        </w:rPr>
        <w:t xml:space="preserve">  项目四至情况示意图</w:t>
      </w:r>
    </w:p>
    <w:p>
      <w:pPr>
        <w:pStyle w:val="32"/>
        <w:ind w:leftChars="-95" w:hanging="199" w:hangingChars="83"/>
        <w:outlineLvl w:val="9"/>
        <w:rPr>
          <w:color w:val="auto"/>
        </w:rPr>
      </w:pPr>
    </w:p>
    <w:p>
      <w:pPr>
        <w:pStyle w:val="32"/>
        <w:outlineLvl w:val="9"/>
        <w:rPr>
          <w:color w:val="auto"/>
        </w:rPr>
      </w:pPr>
    </w:p>
    <w:tbl>
      <w:tblPr>
        <w:tblStyle w:val="23"/>
        <w:tblpPr w:leftFromText="180" w:rightFromText="180" w:vertAnchor="text" w:horzAnchor="margin" w:tblpX="-477" w:tblpY="24"/>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7"/>
        <w:gridCol w:w="4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5"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09" w:name="_Toc32362"/>
            <w:bookmarkStart w:id="310" w:name="_Toc23282"/>
            <w:bookmarkStart w:id="311" w:name="_Toc23519"/>
            <w:bookmarkStart w:id="312" w:name="_Toc23919"/>
            <w:r>
              <w:rPr>
                <w:rFonts w:hint="eastAsia" w:ascii="Times New Roman" w:hAnsi="Times New Roman"/>
                <w:b w:val="0"/>
                <w:color w:val="auto"/>
                <w:sz w:val="21"/>
                <w:szCs w:val="21"/>
              </w:rPr>
              <w:drawing>
                <wp:inline distT="0" distB="0" distL="114300" distR="114300">
                  <wp:extent cx="2918460" cy="2183130"/>
                  <wp:effectExtent l="0" t="0" r="7620" b="11430"/>
                  <wp:docPr id="32" name="图片 32" descr="东面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东面空地‘"/>
                          <pic:cNvPicPr>
                            <a:picLocks noChangeAspect="1"/>
                          </pic:cNvPicPr>
                        </pic:nvPicPr>
                        <pic:blipFill>
                          <a:blip r:embed="rId44"/>
                          <a:stretch>
                            <a:fillRect/>
                          </a:stretch>
                        </pic:blipFill>
                        <pic:spPr>
                          <a:xfrm>
                            <a:off x="0" y="0"/>
                            <a:ext cx="2918460" cy="2183130"/>
                          </a:xfrm>
                          <a:prstGeom prst="rect">
                            <a:avLst/>
                          </a:prstGeom>
                        </pic:spPr>
                      </pic:pic>
                    </a:graphicData>
                  </a:graphic>
                </wp:inline>
              </w:drawing>
            </w:r>
            <w:bookmarkEnd w:id="309"/>
            <w:bookmarkEnd w:id="310"/>
            <w:bookmarkEnd w:id="311"/>
            <w:bookmarkEnd w:id="312"/>
          </w:p>
        </w:tc>
        <w:tc>
          <w:tcPr>
            <w:tcW w:w="4633" w:type="dxa"/>
          </w:tcPr>
          <w:p>
            <w:pPr>
              <w:pStyle w:val="21"/>
              <w:spacing w:before="0" w:after="0" w:line="360" w:lineRule="auto"/>
              <w:outlineLvl w:val="9"/>
              <w:rPr>
                <w:rFonts w:ascii="Times New Roman" w:hAnsi="Times New Roman"/>
                <w:b w:val="0"/>
                <w:color w:val="auto"/>
                <w:sz w:val="21"/>
                <w:szCs w:val="21"/>
              </w:rPr>
            </w:pPr>
            <w:bookmarkStart w:id="313" w:name="_Toc4583"/>
            <w:bookmarkStart w:id="314" w:name="_Toc13092"/>
            <w:bookmarkStart w:id="315" w:name="_Toc10160"/>
            <w:bookmarkStart w:id="316" w:name="_Toc27599"/>
            <w:r>
              <w:rPr>
                <w:rFonts w:hint="eastAsia" w:ascii="Times New Roman" w:hAnsi="Times New Roman"/>
                <w:color w:val="auto"/>
                <w:sz w:val="21"/>
                <w:szCs w:val="21"/>
              </w:rPr>
              <w:drawing>
                <wp:inline distT="0" distB="0" distL="114300" distR="114300">
                  <wp:extent cx="2918460" cy="2183130"/>
                  <wp:effectExtent l="0" t="0" r="7620" b="11430"/>
                  <wp:docPr id="33" name="图片 33" descr="IMG_20200427_16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0427_164029"/>
                          <pic:cNvPicPr>
                            <a:picLocks noChangeAspect="1"/>
                          </pic:cNvPicPr>
                        </pic:nvPicPr>
                        <pic:blipFill>
                          <a:blip r:embed="rId45"/>
                          <a:stretch>
                            <a:fillRect/>
                          </a:stretch>
                        </pic:blipFill>
                        <pic:spPr>
                          <a:xfrm>
                            <a:off x="0" y="0"/>
                            <a:ext cx="2918460" cy="2183130"/>
                          </a:xfrm>
                          <a:prstGeom prst="rect">
                            <a:avLst/>
                          </a:prstGeom>
                        </pic:spPr>
                      </pic:pic>
                    </a:graphicData>
                  </a:graphic>
                </wp:inline>
              </w:drawing>
            </w:r>
            <w:bookmarkEnd w:id="313"/>
            <w:bookmarkEnd w:id="314"/>
            <w:bookmarkEnd w:id="315"/>
            <w:bookmarkEnd w:id="31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17" w:name="_Toc29562"/>
            <w:bookmarkStart w:id="318" w:name="_Toc8904"/>
            <w:bookmarkStart w:id="319" w:name="_Toc14583"/>
            <w:bookmarkStart w:id="320" w:name="_Toc26199"/>
            <w:bookmarkStart w:id="321" w:name="_Toc12506"/>
            <w:bookmarkStart w:id="322" w:name="_Toc28161"/>
            <w:bookmarkStart w:id="323" w:name="_Toc15899"/>
            <w:bookmarkStart w:id="324" w:name="_Toc17528"/>
            <w:bookmarkStart w:id="325" w:name="_Toc19066"/>
            <w:r>
              <w:rPr>
                <w:rFonts w:ascii="Times New Roman" w:hAnsi="Times New Roman"/>
                <w:b w:val="0"/>
                <w:color w:val="auto"/>
                <w:sz w:val="21"/>
                <w:szCs w:val="21"/>
              </w:rPr>
              <w:t>项目东面：</w:t>
            </w:r>
            <w:bookmarkEnd w:id="317"/>
            <w:bookmarkEnd w:id="318"/>
            <w:bookmarkEnd w:id="319"/>
            <w:bookmarkEnd w:id="320"/>
            <w:bookmarkEnd w:id="321"/>
            <w:r>
              <w:rPr>
                <w:rFonts w:hint="eastAsia" w:ascii="Times New Roman" w:hAnsi="Times New Roman"/>
                <w:b w:val="0"/>
                <w:color w:val="auto"/>
                <w:sz w:val="21"/>
                <w:szCs w:val="21"/>
              </w:rPr>
              <w:t>空地</w:t>
            </w:r>
            <w:bookmarkEnd w:id="322"/>
            <w:bookmarkEnd w:id="323"/>
            <w:bookmarkEnd w:id="324"/>
            <w:bookmarkEnd w:id="325"/>
          </w:p>
        </w:tc>
        <w:tc>
          <w:tcPr>
            <w:tcW w:w="4633" w:type="dxa"/>
          </w:tcPr>
          <w:p>
            <w:pPr>
              <w:pStyle w:val="21"/>
              <w:spacing w:before="0" w:after="0" w:line="360" w:lineRule="auto"/>
              <w:outlineLvl w:val="9"/>
              <w:rPr>
                <w:rFonts w:ascii="Times New Roman" w:hAnsi="Times New Roman"/>
                <w:b w:val="0"/>
                <w:color w:val="auto"/>
                <w:sz w:val="21"/>
                <w:szCs w:val="21"/>
              </w:rPr>
            </w:pPr>
            <w:bookmarkStart w:id="326" w:name="_Toc18876"/>
            <w:bookmarkStart w:id="327" w:name="_Toc18678"/>
            <w:bookmarkStart w:id="328" w:name="_Toc31491"/>
            <w:bookmarkStart w:id="329" w:name="_Toc829"/>
            <w:bookmarkStart w:id="330" w:name="_Toc20134"/>
            <w:bookmarkStart w:id="331" w:name="_Toc10811"/>
            <w:r>
              <w:rPr>
                <w:rFonts w:ascii="Times New Roman" w:hAnsi="Times New Roman"/>
                <w:b w:val="0"/>
                <w:color w:val="auto"/>
                <w:sz w:val="21"/>
                <w:szCs w:val="21"/>
              </w:rPr>
              <w:t>项目东面：</w:t>
            </w:r>
            <w:bookmarkEnd w:id="326"/>
            <w:bookmarkEnd w:id="327"/>
            <w:r>
              <w:rPr>
                <w:rFonts w:hint="eastAsia" w:ascii="Times New Roman" w:hAnsi="Times New Roman"/>
                <w:b w:val="0"/>
                <w:color w:val="auto"/>
                <w:sz w:val="21"/>
                <w:szCs w:val="21"/>
              </w:rPr>
              <w:t>空置厂房</w:t>
            </w:r>
            <w:bookmarkEnd w:id="328"/>
            <w:bookmarkEnd w:id="329"/>
            <w:bookmarkEnd w:id="330"/>
            <w:bookmarkEnd w:id="33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5"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32" w:name="_Toc19308"/>
            <w:bookmarkStart w:id="333" w:name="_Toc8594"/>
            <w:bookmarkStart w:id="334" w:name="_Toc20028"/>
            <w:bookmarkStart w:id="335" w:name="_Toc16066"/>
            <w:r>
              <w:rPr>
                <w:rFonts w:hint="eastAsia" w:ascii="Times New Roman" w:hAnsi="Times New Roman"/>
                <w:b w:val="0"/>
                <w:color w:val="auto"/>
                <w:sz w:val="21"/>
                <w:szCs w:val="21"/>
              </w:rPr>
              <w:drawing>
                <wp:inline distT="0" distB="0" distL="114300" distR="114300">
                  <wp:extent cx="2918460" cy="2183130"/>
                  <wp:effectExtent l="0" t="0" r="15240" b="7620"/>
                  <wp:docPr id="34" name="图片 34" descr="IMG_20200519_10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0519_105208"/>
                          <pic:cNvPicPr>
                            <a:picLocks noChangeAspect="1"/>
                          </pic:cNvPicPr>
                        </pic:nvPicPr>
                        <pic:blipFill>
                          <a:blip r:embed="rId46"/>
                          <a:stretch>
                            <a:fillRect/>
                          </a:stretch>
                        </pic:blipFill>
                        <pic:spPr>
                          <a:xfrm>
                            <a:off x="0" y="0"/>
                            <a:ext cx="2918460" cy="2183130"/>
                          </a:xfrm>
                          <a:prstGeom prst="rect">
                            <a:avLst/>
                          </a:prstGeom>
                        </pic:spPr>
                      </pic:pic>
                    </a:graphicData>
                  </a:graphic>
                </wp:inline>
              </w:drawing>
            </w:r>
            <w:bookmarkEnd w:id="332"/>
            <w:bookmarkEnd w:id="333"/>
            <w:bookmarkEnd w:id="334"/>
            <w:bookmarkEnd w:id="335"/>
          </w:p>
        </w:tc>
        <w:tc>
          <w:tcPr>
            <w:tcW w:w="4633" w:type="dxa"/>
          </w:tcPr>
          <w:p>
            <w:pPr>
              <w:pStyle w:val="21"/>
              <w:spacing w:before="0" w:after="0" w:line="360" w:lineRule="auto"/>
              <w:outlineLvl w:val="9"/>
              <w:rPr>
                <w:rFonts w:ascii="Times New Roman" w:hAnsi="Times New Roman"/>
                <w:b w:val="0"/>
                <w:color w:val="auto"/>
                <w:sz w:val="21"/>
                <w:szCs w:val="21"/>
              </w:rPr>
            </w:pPr>
            <w:bookmarkStart w:id="336" w:name="_Toc29186"/>
            <w:bookmarkStart w:id="337" w:name="_Toc5190"/>
            <w:bookmarkStart w:id="338" w:name="_Toc16183"/>
            <w:bookmarkStart w:id="339" w:name="_Toc14668"/>
            <w:r>
              <w:rPr>
                <w:rFonts w:hint="eastAsia" w:ascii="Times New Roman" w:hAnsi="Times New Roman"/>
                <w:b w:val="0"/>
                <w:color w:val="auto"/>
                <w:sz w:val="21"/>
                <w:szCs w:val="21"/>
              </w:rPr>
              <w:drawing>
                <wp:inline distT="0" distB="0" distL="114300" distR="114300">
                  <wp:extent cx="2918460" cy="2183130"/>
                  <wp:effectExtent l="0" t="0" r="15240" b="7620"/>
                  <wp:docPr id="36" name="图片 36" descr="IMG_20200519_10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00519_104012"/>
                          <pic:cNvPicPr>
                            <a:picLocks noChangeAspect="1"/>
                          </pic:cNvPicPr>
                        </pic:nvPicPr>
                        <pic:blipFill>
                          <a:blip r:embed="rId47"/>
                          <a:stretch>
                            <a:fillRect/>
                          </a:stretch>
                        </pic:blipFill>
                        <pic:spPr>
                          <a:xfrm>
                            <a:off x="0" y="0"/>
                            <a:ext cx="2918460" cy="2183130"/>
                          </a:xfrm>
                          <a:prstGeom prst="rect">
                            <a:avLst/>
                          </a:prstGeom>
                        </pic:spPr>
                      </pic:pic>
                    </a:graphicData>
                  </a:graphic>
                </wp:inline>
              </w:drawing>
            </w:r>
            <w:bookmarkEnd w:id="336"/>
            <w:bookmarkEnd w:id="337"/>
            <w:bookmarkEnd w:id="338"/>
            <w:bookmarkEnd w:id="33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40" w:name="_Toc22436"/>
            <w:bookmarkStart w:id="341" w:name="_Toc3882"/>
            <w:bookmarkStart w:id="342" w:name="_Toc5053"/>
            <w:bookmarkStart w:id="343" w:name="_Toc5855"/>
            <w:bookmarkStart w:id="344" w:name="_Toc11631"/>
            <w:bookmarkStart w:id="345" w:name="_Toc14201"/>
            <w:bookmarkStart w:id="346" w:name="_Toc7109"/>
            <w:bookmarkStart w:id="347" w:name="_Toc11790"/>
            <w:bookmarkStart w:id="348" w:name="_Toc24713"/>
            <w:r>
              <w:rPr>
                <w:rFonts w:ascii="Times New Roman" w:hAnsi="Times New Roman"/>
                <w:b w:val="0"/>
                <w:color w:val="auto"/>
                <w:sz w:val="21"/>
                <w:szCs w:val="21"/>
              </w:rPr>
              <w:t>项目</w:t>
            </w:r>
            <w:r>
              <w:rPr>
                <w:rFonts w:hint="eastAsia" w:ascii="Times New Roman" w:hAnsi="Times New Roman"/>
                <w:b w:val="0"/>
                <w:color w:val="auto"/>
                <w:sz w:val="21"/>
                <w:szCs w:val="21"/>
              </w:rPr>
              <w:t>东南面</w:t>
            </w:r>
            <w:r>
              <w:rPr>
                <w:rFonts w:ascii="Times New Roman" w:hAnsi="Times New Roman"/>
                <w:b w:val="0"/>
                <w:color w:val="auto"/>
                <w:sz w:val="21"/>
                <w:szCs w:val="21"/>
              </w:rPr>
              <w:t>：</w:t>
            </w:r>
            <w:bookmarkEnd w:id="340"/>
            <w:bookmarkEnd w:id="341"/>
            <w:bookmarkEnd w:id="342"/>
            <w:bookmarkEnd w:id="343"/>
            <w:bookmarkEnd w:id="344"/>
            <w:r>
              <w:rPr>
                <w:rFonts w:hint="eastAsia" w:ascii="Times New Roman" w:hAnsi="Times New Roman"/>
                <w:b w:val="0"/>
                <w:color w:val="auto"/>
                <w:sz w:val="21"/>
                <w:szCs w:val="21"/>
              </w:rPr>
              <w:t>清远市兴丰五金加工有限公司</w:t>
            </w:r>
            <w:bookmarkEnd w:id="345"/>
            <w:bookmarkEnd w:id="346"/>
            <w:bookmarkEnd w:id="347"/>
            <w:bookmarkEnd w:id="348"/>
          </w:p>
        </w:tc>
        <w:tc>
          <w:tcPr>
            <w:tcW w:w="4633" w:type="dxa"/>
          </w:tcPr>
          <w:p>
            <w:pPr>
              <w:pStyle w:val="21"/>
              <w:spacing w:before="0" w:after="0" w:line="360" w:lineRule="auto"/>
              <w:outlineLvl w:val="9"/>
              <w:rPr>
                <w:rFonts w:ascii="Times New Roman" w:hAnsi="Times New Roman"/>
                <w:b w:val="0"/>
                <w:color w:val="auto"/>
                <w:sz w:val="21"/>
                <w:szCs w:val="21"/>
              </w:rPr>
            </w:pPr>
            <w:bookmarkStart w:id="349" w:name="_Toc27072"/>
            <w:bookmarkStart w:id="350" w:name="_Toc12509"/>
            <w:bookmarkStart w:id="351" w:name="_Toc5261"/>
            <w:bookmarkStart w:id="352" w:name="_Toc15462"/>
            <w:r>
              <w:rPr>
                <w:rFonts w:ascii="Times New Roman" w:hAnsi="Times New Roman"/>
                <w:b w:val="0"/>
                <w:color w:val="auto"/>
                <w:sz w:val="21"/>
                <w:szCs w:val="21"/>
              </w:rPr>
              <w:t>项目南面</w:t>
            </w:r>
            <w:r>
              <w:rPr>
                <w:rFonts w:hint="eastAsia" w:ascii="Times New Roman" w:hAnsi="Times New Roman"/>
                <w:b w:val="0"/>
                <w:color w:val="auto"/>
                <w:sz w:val="21"/>
                <w:szCs w:val="21"/>
              </w:rPr>
              <w:t>：</w:t>
            </w:r>
            <w:r>
              <w:rPr>
                <w:rFonts w:ascii="Times New Roman" w:hAnsi="Times New Roman"/>
                <w:b w:val="0"/>
                <w:color w:val="auto"/>
                <w:sz w:val="21"/>
                <w:szCs w:val="21"/>
              </w:rPr>
              <w:t>兴域铝业五金辅料仓</w:t>
            </w:r>
            <w:bookmarkEnd w:id="349"/>
            <w:bookmarkEnd w:id="350"/>
            <w:bookmarkEnd w:id="351"/>
            <w:bookmarkEnd w:id="35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5"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53" w:name="_Toc24630"/>
            <w:bookmarkStart w:id="354" w:name="_Toc10743"/>
            <w:bookmarkStart w:id="355" w:name="_Toc7193"/>
            <w:bookmarkStart w:id="356" w:name="_Toc31194"/>
            <w:r>
              <w:rPr>
                <w:rFonts w:hint="eastAsia" w:ascii="Times New Roman" w:hAnsi="Times New Roman"/>
                <w:b w:val="0"/>
                <w:color w:val="auto"/>
                <w:sz w:val="21"/>
                <w:szCs w:val="21"/>
              </w:rPr>
              <w:drawing>
                <wp:inline distT="0" distB="0" distL="114300" distR="114300">
                  <wp:extent cx="2918460" cy="2183130"/>
                  <wp:effectExtent l="0" t="0" r="7620" b="11430"/>
                  <wp:docPr id="39" name="图片 39" descr="IMG_20200427_16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00427_164758"/>
                          <pic:cNvPicPr>
                            <a:picLocks noChangeAspect="1"/>
                          </pic:cNvPicPr>
                        </pic:nvPicPr>
                        <pic:blipFill>
                          <a:blip r:embed="rId48"/>
                          <a:stretch>
                            <a:fillRect/>
                          </a:stretch>
                        </pic:blipFill>
                        <pic:spPr>
                          <a:xfrm>
                            <a:off x="0" y="0"/>
                            <a:ext cx="2918460" cy="2183130"/>
                          </a:xfrm>
                          <a:prstGeom prst="rect">
                            <a:avLst/>
                          </a:prstGeom>
                        </pic:spPr>
                      </pic:pic>
                    </a:graphicData>
                  </a:graphic>
                </wp:inline>
              </w:drawing>
            </w:r>
            <w:bookmarkEnd w:id="353"/>
            <w:bookmarkEnd w:id="354"/>
            <w:bookmarkEnd w:id="355"/>
            <w:bookmarkEnd w:id="356"/>
          </w:p>
        </w:tc>
        <w:tc>
          <w:tcPr>
            <w:tcW w:w="4633" w:type="dxa"/>
          </w:tcPr>
          <w:p>
            <w:pPr>
              <w:pStyle w:val="21"/>
              <w:spacing w:before="0" w:after="0" w:line="360" w:lineRule="auto"/>
              <w:outlineLvl w:val="9"/>
              <w:rPr>
                <w:rFonts w:ascii="Times New Roman" w:hAnsi="Times New Roman"/>
                <w:b w:val="0"/>
                <w:color w:val="auto"/>
                <w:sz w:val="21"/>
                <w:szCs w:val="21"/>
              </w:rPr>
            </w:pPr>
            <w:bookmarkStart w:id="357" w:name="_Toc11168"/>
            <w:bookmarkStart w:id="358" w:name="_Toc2607"/>
            <w:bookmarkStart w:id="359" w:name="_Toc2023"/>
            <w:bookmarkStart w:id="360" w:name="_Toc4282"/>
            <w:r>
              <w:rPr>
                <w:rFonts w:hint="eastAsia" w:ascii="Times New Roman" w:hAnsi="Times New Roman"/>
                <w:b w:val="0"/>
                <w:color w:val="auto"/>
                <w:sz w:val="21"/>
                <w:szCs w:val="21"/>
              </w:rPr>
              <w:drawing>
                <wp:inline distT="0" distB="0" distL="114300" distR="114300">
                  <wp:extent cx="2918460" cy="2183130"/>
                  <wp:effectExtent l="0" t="0" r="7620" b="11430"/>
                  <wp:docPr id="52" name="图片 52" descr="IMG_20200427_17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0427_170941"/>
                          <pic:cNvPicPr>
                            <a:picLocks noChangeAspect="1"/>
                          </pic:cNvPicPr>
                        </pic:nvPicPr>
                        <pic:blipFill>
                          <a:blip r:embed="rId49"/>
                          <a:stretch>
                            <a:fillRect/>
                          </a:stretch>
                        </pic:blipFill>
                        <pic:spPr>
                          <a:xfrm>
                            <a:off x="0" y="0"/>
                            <a:ext cx="2918460" cy="2183130"/>
                          </a:xfrm>
                          <a:prstGeom prst="rect">
                            <a:avLst/>
                          </a:prstGeom>
                        </pic:spPr>
                      </pic:pic>
                    </a:graphicData>
                  </a:graphic>
                </wp:inline>
              </w:drawing>
            </w:r>
            <w:bookmarkEnd w:id="357"/>
            <w:bookmarkEnd w:id="358"/>
            <w:bookmarkEnd w:id="359"/>
            <w:bookmarkEnd w:id="36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61" w:name="_Toc9041"/>
            <w:bookmarkStart w:id="362" w:name="_Toc25559"/>
            <w:bookmarkStart w:id="363" w:name="_Toc4356"/>
            <w:bookmarkStart w:id="364" w:name="_Toc7292"/>
            <w:bookmarkStart w:id="365" w:name="_Toc28348"/>
            <w:bookmarkStart w:id="366" w:name="_Toc7650"/>
            <w:bookmarkStart w:id="367" w:name="_Toc11830"/>
            <w:bookmarkStart w:id="368" w:name="_Toc18792"/>
            <w:bookmarkStart w:id="369" w:name="_Toc1593"/>
            <w:r>
              <w:rPr>
                <w:rFonts w:ascii="Times New Roman" w:hAnsi="Times New Roman"/>
                <w:b w:val="0"/>
                <w:color w:val="auto"/>
                <w:sz w:val="21"/>
                <w:szCs w:val="21"/>
              </w:rPr>
              <w:t>项目西面：</w:t>
            </w:r>
            <w:bookmarkEnd w:id="361"/>
            <w:bookmarkEnd w:id="362"/>
            <w:bookmarkEnd w:id="363"/>
            <w:bookmarkEnd w:id="364"/>
            <w:bookmarkEnd w:id="365"/>
            <w:r>
              <w:rPr>
                <w:rFonts w:hint="eastAsia" w:ascii="Times New Roman" w:hAnsi="Times New Roman"/>
                <w:b w:val="0"/>
                <w:color w:val="auto"/>
                <w:sz w:val="21"/>
                <w:szCs w:val="21"/>
              </w:rPr>
              <w:t>兴域铝业厂房</w:t>
            </w:r>
            <w:bookmarkEnd w:id="366"/>
            <w:bookmarkEnd w:id="367"/>
            <w:bookmarkEnd w:id="368"/>
            <w:bookmarkEnd w:id="369"/>
          </w:p>
        </w:tc>
        <w:tc>
          <w:tcPr>
            <w:tcW w:w="4633" w:type="dxa"/>
          </w:tcPr>
          <w:p>
            <w:pPr>
              <w:pStyle w:val="21"/>
              <w:spacing w:before="0" w:after="0" w:line="360" w:lineRule="auto"/>
              <w:outlineLvl w:val="9"/>
              <w:rPr>
                <w:rFonts w:ascii="Times New Roman" w:hAnsi="Times New Roman"/>
                <w:b w:val="0"/>
                <w:color w:val="auto"/>
                <w:sz w:val="21"/>
                <w:szCs w:val="21"/>
              </w:rPr>
            </w:pPr>
            <w:bookmarkStart w:id="370" w:name="_Toc12909"/>
            <w:bookmarkStart w:id="371" w:name="_Toc29362"/>
            <w:bookmarkStart w:id="372" w:name="_Toc30274"/>
            <w:bookmarkStart w:id="373" w:name="_Toc20353"/>
            <w:bookmarkStart w:id="374" w:name="_Toc12925"/>
            <w:bookmarkStart w:id="375" w:name="_Toc5391"/>
            <w:bookmarkStart w:id="376" w:name="_Toc26222"/>
            <w:bookmarkStart w:id="377" w:name="_Toc13740"/>
            <w:bookmarkStart w:id="378" w:name="_Toc19477"/>
            <w:bookmarkStart w:id="379" w:name="_Toc2742"/>
            <w:bookmarkStart w:id="380" w:name="_Toc27133"/>
            <w:r>
              <w:rPr>
                <w:rFonts w:hint="eastAsia" w:ascii="Times New Roman" w:hAnsi="Times New Roman"/>
                <w:b w:val="0"/>
                <w:color w:val="auto"/>
                <w:sz w:val="21"/>
                <w:szCs w:val="21"/>
              </w:rPr>
              <w:t>本</w:t>
            </w:r>
            <w:r>
              <w:rPr>
                <w:rFonts w:ascii="Times New Roman" w:hAnsi="Times New Roman"/>
                <w:b w:val="0"/>
                <w:color w:val="auto"/>
                <w:sz w:val="21"/>
                <w:szCs w:val="21"/>
              </w:rPr>
              <w:t>项目</w:t>
            </w:r>
            <w:bookmarkEnd w:id="370"/>
            <w:bookmarkEnd w:id="371"/>
            <w:bookmarkEnd w:id="372"/>
            <w:r>
              <w:rPr>
                <w:rFonts w:hint="eastAsia" w:ascii="Times New Roman" w:hAnsi="Times New Roman"/>
                <w:b w:val="0"/>
                <w:color w:val="auto"/>
                <w:sz w:val="21"/>
                <w:szCs w:val="21"/>
              </w:rPr>
              <w:t>西</w:t>
            </w:r>
            <w:r>
              <w:rPr>
                <w:rFonts w:ascii="Times New Roman" w:hAnsi="Times New Roman"/>
                <w:b w:val="0"/>
                <w:color w:val="auto"/>
                <w:sz w:val="21"/>
                <w:szCs w:val="21"/>
              </w:rPr>
              <w:t>北面：</w:t>
            </w:r>
            <w:bookmarkEnd w:id="373"/>
            <w:bookmarkEnd w:id="374"/>
            <w:bookmarkEnd w:id="375"/>
            <w:bookmarkEnd w:id="376"/>
            <w:r>
              <w:rPr>
                <w:rFonts w:hint="eastAsia" w:ascii="Times New Roman" w:hAnsi="Times New Roman"/>
                <w:b w:val="0"/>
                <w:color w:val="auto"/>
                <w:sz w:val="21"/>
                <w:szCs w:val="21"/>
              </w:rPr>
              <w:t>清远市承兴塑料有限公司</w:t>
            </w:r>
            <w:bookmarkEnd w:id="377"/>
            <w:bookmarkEnd w:id="378"/>
            <w:bookmarkEnd w:id="379"/>
            <w:bookmarkEnd w:id="380"/>
          </w:p>
        </w:tc>
      </w:tr>
    </w:tbl>
    <w:p>
      <w:pPr>
        <w:ind w:right="-512" w:rightChars="-244"/>
        <w:jc w:val="center"/>
        <w:outlineLvl w:val="9"/>
        <w:rPr>
          <w:b/>
          <w:bCs/>
          <w:color w:val="auto"/>
          <w:kern w:val="0"/>
          <w:sz w:val="24"/>
        </w:rPr>
      </w:pPr>
      <w:r>
        <w:rPr>
          <w:b/>
          <w:bCs/>
          <w:color w:val="auto"/>
          <w:kern w:val="0"/>
          <w:sz w:val="24"/>
        </w:rPr>
        <w:t>图</w:t>
      </w:r>
      <w:r>
        <w:rPr>
          <w:rFonts w:hint="eastAsia"/>
          <w:b/>
          <w:bCs/>
          <w:color w:val="auto"/>
          <w:kern w:val="0"/>
          <w:sz w:val="24"/>
        </w:rPr>
        <w:t>4</w:t>
      </w:r>
      <w:r>
        <w:rPr>
          <w:b/>
          <w:bCs/>
          <w:color w:val="auto"/>
          <w:kern w:val="0"/>
          <w:sz w:val="24"/>
        </w:rPr>
        <w:t>.1-2</w:t>
      </w:r>
      <w:r>
        <w:rPr>
          <w:rFonts w:hint="eastAsia"/>
          <w:b/>
          <w:bCs/>
          <w:color w:val="auto"/>
          <w:kern w:val="0"/>
          <w:sz w:val="24"/>
        </w:rPr>
        <w:t xml:space="preserve">  </w:t>
      </w:r>
      <w:r>
        <w:rPr>
          <w:b/>
          <w:bCs/>
          <w:color w:val="auto"/>
          <w:kern w:val="0"/>
          <w:sz w:val="24"/>
        </w:rPr>
        <w:t>现场勘查图</w:t>
      </w:r>
    </w:p>
    <w:tbl>
      <w:tblPr>
        <w:tblStyle w:val="23"/>
        <w:tblpPr w:leftFromText="180" w:rightFromText="180" w:vertAnchor="text" w:horzAnchor="margin" w:tblpX="-477" w:tblpY="24"/>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7"/>
        <w:gridCol w:w="4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9"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81" w:name="_Toc11792"/>
            <w:bookmarkStart w:id="382" w:name="_Toc30875"/>
            <w:bookmarkStart w:id="383" w:name="_Toc18517"/>
            <w:bookmarkStart w:id="384" w:name="_Toc12340"/>
            <w:r>
              <w:rPr>
                <w:rFonts w:hint="eastAsia" w:ascii="Times New Roman" w:hAnsi="Times New Roman"/>
                <w:b w:val="0"/>
                <w:color w:val="auto"/>
                <w:sz w:val="21"/>
                <w:szCs w:val="21"/>
              </w:rPr>
              <w:drawing>
                <wp:inline distT="0" distB="0" distL="114300" distR="114300">
                  <wp:extent cx="3039745" cy="2183130"/>
                  <wp:effectExtent l="0" t="0" r="8255" b="11430"/>
                  <wp:docPr id="53" name="图片 53" descr="IMG_20200519_10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0519_105517"/>
                          <pic:cNvPicPr>
                            <a:picLocks noChangeAspect="1"/>
                          </pic:cNvPicPr>
                        </pic:nvPicPr>
                        <pic:blipFill>
                          <a:blip r:embed="rId50">
                            <a:lum bright="18000"/>
                          </a:blip>
                          <a:stretch>
                            <a:fillRect/>
                          </a:stretch>
                        </pic:blipFill>
                        <pic:spPr>
                          <a:xfrm>
                            <a:off x="0" y="0"/>
                            <a:ext cx="3039745" cy="2183130"/>
                          </a:xfrm>
                          <a:prstGeom prst="rect">
                            <a:avLst/>
                          </a:prstGeom>
                        </pic:spPr>
                      </pic:pic>
                    </a:graphicData>
                  </a:graphic>
                </wp:inline>
              </w:drawing>
            </w:r>
            <w:bookmarkEnd w:id="381"/>
            <w:bookmarkEnd w:id="382"/>
            <w:bookmarkEnd w:id="383"/>
            <w:bookmarkEnd w:id="384"/>
          </w:p>
        </w:tc>
        <w:tc>
          <w:tcPr>
            <w:tcW w:w="4633" w:type="dxa"/>
          </w:tcPr>
          <w:p>
            <w:pPr>
              <w:pStyle w:val="21"/>
              <w:spacing w:before="0" w:after="0" w:line="360" w:lineRule="auto"/>
              <w:outlineLvl w:val="9"/>
              <w:rPr>
                <w:rFonts w:ascii="Times New Roman" w:hAnsi="Times New Roman"/>
                <w:b w:val="0"/>
                <w:color w:val="auto"/>
                <w:sz w:val="21"/>
                <w:szCs w:val="21"/>
              </w:rPr>
            </w:pPr>
            <w:bookmarkStart w:id="385" w:name="_Toc19009"/>
            <w:bookmarkStart w:id="386" w:name="_Toc19279"/>
            <w:bookmarkStart w:id="387" w:name="_Toc10406"/>
            <w:bookmarkStart w:id="388" w:name="_Toc8170"/>
            <w:r>
              <w:rPr>
                <w:rFonts w:hint="eastAsia" w:ascii="Times New Roman" w:hAnsi="Times New Roman"/>
                <w:b w:val="0"/>
                <w:color w:val="auto"/>
                <w:sz w:val="21"/>
                <w:szCs w:val="21"/>
              </w:rPr>
              <w:drawing>
                <wp:inline distT="0" distB="0" distL="114300" distR="114300">
                  <wp:extent cx="3175000" cy="2272030"/>
                  <wp:effectExtent l="0" t="0" r="6350" b="13970"/>
                  <wp:docPr id="57" name="图片 57" descr="项目门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项目门口"/>
                          <pic:cNvPicPr>
                            <a:picLocks noChangeAspect="1"/>
                          </pic:cNvPicPr>
                        </pic:nvPicPr>
                        <pic:blipFill>
                          <a:blip r:embed="rId51"/>
                          <a:srcRect/>
                          <a:stretch>
                            <a:fillRect/>
                          </a:stretch>
                        </pic:blipFill>
                        <pic:spPr>
                          <a:xfrm>
                            <a:off x="0" y="0"/>
                            <a:ext cx="3175000" cy="2272030"/>
                          </a:xfrm>
                          <a:prstGeom prst="rect">
                            <a:avLst/>
                          </a:prstGeom>
                        </pic:spPr>
                      </pic:pic>
                    </a:graphicData>
                  </a:graphic>
                </wp:inline>
              </w:drawing>
            </w:r>
            <w:bookmarkEnd w:id="385"/>
            <w:bookmarkEnd w:id="386"/>
            <w:bookmarkEnd w:id="387"/>
            <w:bookmarkEnd w:id="38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89" w:name="_Toc1005"/>
            <w:bookmarkStart w:id="390" w:name="_Toc31655"/>
            <w:bookmarkStart w:id="391" w:name="_Toc32755"/>
            <w:bookmarkStart w:id="392" w:name="_Toc28894"/>
            <w:r>
              <w:rPr>
                <w:rFonts w:ascii="Times New Roman" w:hAnsi="Times New Roman"/>
                <w:b w:val="0"/>
                <w:color w:val="auto"/>
                <w:sz w:val="21"/>
                <w:szCs w:val="21"/>
              </w:rPr>
              <w:t>项目</w:t>
            </w:r>
            <w:r>
              <w:rPr>
                <w:rFonts w:hint="eastAsia" w:ascii="Times New Roman" w:hAnsi="Times New Roman"/>
                <w:b w:val="0"/>
                <w:color w:val="auto"/>
                <w:sz w:val="21"/>
                <w:szCs w:val="21"/>
              </w:rPr>
              <w:t>北面：清远市金洋铝业有限公司</w:t>
            </w:r>
            <w:r>
              <w:rPr>
                <w:rFonts w:ascii="Times New Roman" w:hAnsi="Times New Roman"/>
                <w:b w:val="0"/>
                <w:color w:val="auto"/>
                <w:sz w:val="21"/>
                <w:szCs w:val="21"/>
              </w:rPr>
              <w:t>。</w:t>
            </w:r>
            <w:bookmarkEnd w:id="389"/>
            <w:bookmarkEnd w:id="390"/>
            <w:bookmarkEnd w:id="391"/>
            <w:bookmarkEnd w:id="392"/>
          </w:p>
        </w:tc>
        <w:tc>
          <w:tcPr>
            <w:tcW w:w="4633" w:type="dxa"/>
          </w:tcPr>
          <w:p>
            <w:pPr>
              <w:pStyle w:val="21"/>
              <w:spacing w:before="0" w:after="0" w:line="360" w:lineRule="auto"/>
              <w:outlineLvl w:val="9"/>
              <w:rPr>
                <w:rFonts w:ascii="Times New Roman" w:hAnsi="Times New Roman"/>
                <w:b w:val="0"/>
                <w:color w:val="auto"/>
                <w:sz w:val="21"/>
                <w:szCs w:val="21"/>
              </w:rPr>
            </w:pPr>
            <w:bookmarkStart w:id="393" w:name="_Toc4065"/>
            <w:bookmarkStart w:id="394" w:name="_Toc10316"/>
            <w:bookmarkStart w:id="395" w:name="_Toc17630"/>
            <w:bookmarkStart w:id="396" w:name="_Toc12523"/>
            <w:r>
              <w:rPr>
                <w:rFonts w:ascii="Times New Roman" w:hAnsi="Times New Roman"/>
                <w:b w:val="0"/>
                <w:color w:val="auto"/>
                <w:sz w:val="21"/>
                <w:szCs w:val="21"/>
              </w:rPr>
              <w:t>项目</w:t>
            </w:r>
            <w:r>
              <w:rPr>
                <w:rFonts w:hint="eastAsia" w:ascii="Times New Roman" w:hAnsi="Times New Roman"/>
                <w:b w:val="0"/>
                <w:color w:val="auto"/>
                <w:sz w:val="21"/>
                <w:szCs w:val="21"/>
              </w:rPr>
              <w:t>门口</w:t>
            </w:r>
            <w:bookmarkEnd w:id="393"/>
            <w:bookmarkEnd w:id="394"/>
            <w:bookmarkEnd w:id="395"/>
            <w:bookmarkEnd w:id="39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4"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397" w:name="_Toc4024"/>
            <w:bookmarkStart w:id="398" w:name="_Toc23178"/>
            <w:bookmarkStart w:id="399" w:name="_Toc10132"/>
            <w:bookmarkStart w:id="400" w:name="_Toc25031"/>
            <w:r>
              <w:rPr>
                <w:rFonts w:hint="eastAsia" w:ascii="Times New Roman" w:hAnsi="Times New Roman"/>
                <w:b w:val="0"/>
                <w:color w:val="auto"/>
                <w:sz w:val="21"/>
                <w:szCs w:val="21"/>
              </w:rPr>
              <w:drawing>
                <wp:inline distT="0" distB="0" distL="114300" distR="114300">
                  <wp:extent cx="2918460" cy="2183130"/>
                  <wp:effectExtent l="0" t="0" r="7620" b="11430"/>
                  <wp:docPr id="58" name="图片 58" descr="IMG_20200427_16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00427_161606"/>
                          <pic:cNvPicPr>
                            <a:picLocks noChangeAspect="1"/>
                          </pic:cNvPicPr>
                        </pic:nvPicPr>
                        <pic:blipFill>
                          <a:blip r:embed="rId52">
                            <a:lum bright="12000"/>
                          </a:blip>
                          <a:stretch>
                            <a:fillRect/>
                          </a:stretch>
                        </pic:blipFill>
                        <pic:spPr>
                          <a:xfrm>
                            <a:off x="0" y="0"/>
                            <a:ext cx="2918460" cy="2183130"/>
                          </a:xfrm>
                          <a:prstGeom prst="rect">
                            <a:avLst/>
                          </a:prstGeom>
                        </pic:spPr>
                      </pic:pic>
                    </a:graphicData>
                  </a:graphic>
                </wp:inline>
              </w:drawing>
            </w:r>
            <w:bookmarkEnd w:id="397"/>
            <w:bookmarkEnd w:id="398"/>
            <w:bookmarkEnd w:id="399"/>
            <w:bookmarkEnd w:id="400"/>
          </w:p>
        </w:tc>
        <w:tc>
          <w:tcPr>
            <w:tcW w:w="4633" w:type="dxa"/>
          </w:tcPr>
          <w:p>
            <w:pPr>
              <w:pStyle w:val="21"/>
              <w:spacing w:before="0" w:after="0" w:line="360" w:lineRule="auto"/>
              <w:outlineLvl w:val="9"/>
              <w:rPr>
                <w:rFonts w:ascii="Times New Roman" w:hAnsi="Times New Roman"/>
                <w:b w:val="0"/>
                <w:color w:val="auto"/>
                <w:sz w:val="21"/>
                <w:szCs w:val="21"/>
              </w:rPr>
            </w:pPr>
            <w:bookmarkStart w:id="401" w:name="_Toc19330"/>
            <w:bookmarkStart w:id="402" w:name="_Toc20482"/>
            <w:bookmarkStart w:id="403" w:name="_Toc525"/>
            <w:bookmarkStart w:id="404" w:name="_Toc30593"/>
            <w:r>
              <w:rPr>
                <w:rFonts w:hint="eastAsia" w:ascii="Times New Roman" w:hAnsi="Times New Roman"/>
                <w:b w:val="0"/>
                <w:color w:val="auto"/>
                <w:sz w:val="21"/>
                <w:szCs w:val="21"/>
              </w:rPr>
              <w:drawing>
                <wp:inline distT="0" distB="0" distL="114300" distR="114300">
                  <wp:extent cx="2918460" cy="2183130"/>
                  <wp:effectExtent l="0" t="0" r="7620" b="11430"/>
                  <wp:docPr id="59" name="图片 59" descr="IMG_20200427_16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00427_161617"/>
                          <pic:cNvPicPr>
                            <a:picLocks noChangeAspect="1"/>
                          </pic:cNvPicPr>
                        </pic:nvPicPr>
                        <pic:blipFill>
                          <a:blip r:embed="rId53">
                            <a:lum bright="12000"/>
                          </a:blip>
                          <a:stretch>
                            <a:fillRect/>
                          </a:stretch>
                        </pic:blipFill>
                        <pic:spPr>
                          <a:xfrm>
                            <a:off x="0" y="0"/>
                            <a:ext cx="2918460" cy="2183130"/>
                          </a:xfrm>
                          <a:prstGeom prst="rect">
                            <a:avLst/>
                          </a:prstGeom>
                        </pic:spPr>
                      </pic:pic>
                    </a:graphicData>
                  </a:graphic>
                </wp:inline>
              </w:drawing>
            </w:r>
            <w:bookmarkEnd w:id="401"/>
            <w:bookmarkEnd w:id="402"/>
            <w:bookmarkEnd w:id="403"/>
            <w:bookmarkEnd w:id="40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405" w:name="_Toc17945"/>
            <w:bookmarkStart w:id="406" w:name="_Toc24783"/>
            <w:bookmarkStart w:id="407" w:name="_Toc32437"/>
            <w:bookmarkStart w:id="408" w:name="_Toc22847"/>
            <w:r>
              <w:rPr>
                <w:rFonts w:ascii="Times New Roman" w:hAnsi="Times New Roman"/>
                <w:b w:val="0"/>
                <w:color w:val="auto"/>
                <w:sz w:val="21"/>
                <w:szCs w:val="21"/>
              </w:rPr>
              <w:t>项目</w:t>
            </w:r>
            <w:r>
              <w:rPr>
                <w:rFonts w:hint="eastAsia" w:ascii="Times New Roman" w:hAnsi="Times New Roman"/>
                <w:b w:val="0"/>
                <w:color w:val="auto"/>
                <w:sz w:val="21"/>
                <w:szCs w:val="21"/>
              </w:rPr>
              <w:t>内部</w:t>
            </w:r>
            <w:bookmarkEnd w:id="405"/>
            <w:bookmarkEnd w:id="406"/>
            <w:bookmarkEnd w:id="407"/>
            <w:bookmarkEnd w:id="408"/>
          </w:p>
        </w:tc>
        <w:tc>
          <w:tcPr>
            <w:tcW w:w="4633" w:type="dxa"/>
          </w:tcPr>
          <w:p>
            <w:pPr>
              <w:pStyle w:val="21"/>
              <w:spacing w:before="0" w:after="0" w:line="360" w:lineRule="auto"/>
              <w:outlineLvl w:val="9"/>
              <w:rPr>
                <w:rFonts w:ascii="Times New Roman" w:hAnsi="Times New Roman"/>
                <w:b w:val="0"/>
                <w:color w:val="auto"/>
                <w:sz w:val="21"/>
                <w:szCs w:val="21"/>
              </w:rPr>
            </w:pPr>
            <w:bookmarkStart w:id="409" w:name="_Toc21048"/>
            <w:bookmarkStart w:id="410" w:name="_Toc16957"/>
            <w:bookmarkStart w:id="411" w:name="_Toc14627"/>
            <w:bookmarkStart w:id="412" w:name="_Toc26665"/>
            <w:r>
              <w:rPr>
                <w:rFonts w:ascii="Times New Roman" w:hAnsi="Times New Roman"/>
                <w:b w:val="0"/>
                <w:color w:val="auto"/>
                <w:sz w:val="21"/>
                <w:szCs w:val="21"/>
              </w:rPr>
              <w:t>项目</w:t>
            </w:r>
            <w:r>
              <w:rPr>
                <w:rFonts w:hint="eastAsia" w:ascii="Times New Roman" w:hAnsi="Times New Roman"/>
                <w:b w:val="0"/>
                <w:color w:val="auto"/>
                <w:sz w:val="21"/>
                <w:szCs w:val="21"/>
              </w:rPr>
              <w:t>内部</w:t>
            </w:r>
            <w:bookmarkEnd w:id="409"/>
            <w:bookmarkEnd w:id="410"/>
            <w:bookmarkEnd w:id="411"/>
            <w:bookmarkEnd w:id="41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4"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413" w:name="_Toc28135"/>
            <w:bookmarkStart w:id="414" w:name="_Toc27681"/>
            <w:bookmarkStart w:id="415" w:name="_Toc15777"/>
            <w:bookmarkStart w:id="416" w:name="_Toc10034"/>
            <w:r>
              <w:rPr>
                <w:rFonts w:hint="eastAsia" w:ascii="Times New Roman" w:hAnsi="Times New Roman"/>
                <w:b w:val="0"/>
                <w:color w:val="auto"/>
                <w:sz w:val="21"/>
                <w:szCs w:val="21"/>
              </w:rPr>
              <w:drawing>
                <wp:inline distT="0" distB="0" distL="114300" distR="114300">
                  <wp:extent cx="2918460" cy="2183130"/>
                  <wp:effectExtent l="0" t="0" r="7620" b="11430"/>
                  <wp:docPr id="60" name="图片 60" descr="IMG_20200427_16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00427_161625"/>
                          <pic:cNvPicPr>
                            <a:picLocks noChangeAspect="1"/>
                          </pic:cNvPicPr>
                        </pic:nvPicPr>
                        <pic:blipFill>
                          <a:blip r:embed="rId54">
                            <a:lum bright="24000" contrast="-6000"/>
                          </a:blip>
                          <a:stretch>
                            <a:fillRect/>
                          </a:stretch>
                        </pic:blipFill>
                        <pic:spPr>
                          <a:xfrm>
                            <a:off x="0" y="0"/>
                            <a:ext cx="2918460" cy="2183130"/>
                          </a:xfrm>
                          <a:prstGeom prst="rect">
                            <a:avLst/>
                          </a:prstGeom>
                        </pic:spPr>
                      </pic:pic>
                    </a:graphicData>
                  </a:graphic>
                </wp:inline>
              </w:drawing>
            </w:r>
            <w:bookmarkEnd w:id="413"/>
            <w:bookmarkEnd w:id="414"/>
            <w:bookmarkEnd w:id="415"/>
            <w:bookmarkEnd w:id="416"/>
          </w:p>
        </w:tc>
        <w:tc>
          <w:tcPr>
            <w:tcW w:w="4633" w:type="dxa"/>
          </w:tcPr>
          <w:p>
            <w:pPr>
              <w:pStyle w:val="21"/>
              <w:spacing w:before="0" w:after="0" w:line="360" w:lineRule="auto"/>
              <w:outlineLvl w:val="9"/>
              <w:rPr>
                <w:rFonts w:ascii="Times New Roman" w:hAnsi="Times New Roman"/>
                <w:b w:val="0"/>
                <w:color w:val="auto"/>
                <w:sz w:val="21"/>
                <w:szCs w:val="21"/>
              </w:rPr>
            </w:pPr>
            <w:bookmarkStart w:id="417" w:name="_Toc21832"/>
            <w:bookmarkStart w:id="418" w:name="_Toc9952"/>
            <w:bookmarkStart w:id="419" w:name="_Toc16415"/>
            <w:bookmarkStart w:id="420" w:name="_Toc6831"/>
            <w:r>
              <w:rPr>
                <w:rFonts w:hint="eastAsia" w:ascii="Times New Roman" w:hAnsi="Times New Roman"/>
                <w:b w:val="0"/>
                <w:color w:val="auto"/>
                <w:sz w:val="21"/>
                <w:szCs w:val="21"/>
              </w:rPr>
              <w:drawing>
                <wp:inline distT="0" distB="0" distL="114300" distR="114300">
                  <wp:extent cx="2918460" cy="2183130"/>
                  <wp:effectExtent l="0" t="0" r="7620" b="11430"/>
                  <wp:docPr id="62" name="图片 62" descr="IMG_20200427_16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0427_164044"/>
                          <pic:cNvPicPr>
                            <a:picLocks noChangeAspect="1"/>
                          </pic:cNvPicPr>
                        </pic:nvPicPr>
                        <pic:blipFill>
                          <a:blip r:embed="rId55">
                            <a:lum bright="6000"/>
                          </a:blip>
                          <a:stretch>
                            <a:fillRect/>
                          </a:stretch>
                        </pic:blipFill>
                        <pic:spPr>
                          <a:xfrm>
                            <a:off x="0" y="0"/>
                            <a:ext cx="2918460" cy="2183130"/>
                          </a:xfrm>
                          <a:prstGeom prst="rect">
                            <a:avLst/>
                          </a:prstGeom>
                        </pic:spPr>
                      </pic:pic>
                    </a:graphicData>
                  </a:graphic>
                </wp:inline>
              </w:drawing>
            </w:r>
            <w:bookmarkEnd w:id="417"/>
            <w:bookmarkEnd w:id="418"/>
            <w:bookmarkEnd w:id="419"/>
            <w:bookmarkEnd w:id="42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4647" w:type="dxa"/>
          </w:tcPr>
          <w:p>
            <w:pPr>
              <w:pStyle w:val="21"/>
              <w:spacing w:before="0" w:after="0" w:line="360" w:lineRule="auto"/>
              <w:outlineLvl w:val="9"/>
              <w:rPr>
                <w:rFonts w:ascii="Times New Roman" w:hAnsi="Times New Roman"/>
                <w:b w:val="0"/>
                <w:color w:val="auto"/>
                <w:sz w:val="21"/>
                <w:szCs w:val="21"/>
              </w:rPr>
            </w:pPr>
            <w:bookmarkStart w:id="421" w:name="_Toc25052"/>
            <w:bookmarkStart w:id="422" w:name="_Toc9358"/>
            <w:bookmarkStart w:id="423" w:name="_Toc15852"/>
            <w:bookmarkStart w:id="424" w:name="_Toc31191"/>
            <w:r>
              <w:rPr>
                <w:rFonts w:ascii="Times New Roman" w:hAnsi="Times New Roman"/>
                <w:b w:val="0"/>
                <w:color w:val="auto"/>
                <w:sz w:val="21"/>
                <w:szCs w:val="21"/>
              </w:rPr>
              <w:t>项目</w:t>
            </w:r>
            <w:r>
              <w:rPr>
                <w:rFonts w:hint="eastAsia" w:ascii="Times New Roman" w:hAnsi="Times New Roman"/>
                <w:b w:val="0"/>
                <w:color w:val="auto"/>
                <w:sz w:val="21"/>
                <w:szCs w:val="21"/>
              </w:rPr>
              <w:t>内部</w:t>
            </w:r>
            <w:bookmarkEnd w:id="421"/>
            <w:bookmarkEnd w:id="422"/>
            <w:bookmarkEnd w:id="423"/>
            <w:bookmarkEnd w:id="424"/>
          </w:p>
        </w:tc>
        <w:tc>
          <w:tcPr>
            <w:tcW w:w="4633" w:type="dxa"/>
          </w:tcPr>
          <w:p>
            <w:pPr>
              <w:pStyle w:val="21"/>
              <w:spacing w:before="0" w:after="0" w:line="360" w:lineRule="auto"/>
              <w:outlineLvl w:val="9"/>
              <w:rPr>
                <w:rFonts w:ascii="Times New Roman" w:hAnsi="Times New Roman"/>
                <w:b w:val="0"/>
                <w:color w:val="auto"/>
                <w:sz w:val="21"/>
                <w:szCs w:val="21"/>
              </w:rPr>
            </w:pPr>
            <w:bookmarkStart w:id="425" w:name="_Toc3410"/>
            <w:bookmarkStart w:id="426" w:name="_Toc23274"/>
            <w:bookmarkStart w:id="427" w:name="_Toc23602"/>
            <w:bookmarkStart w:id="428" w:name="_Toc22588"/>
            <w:r>
              <w:rPr>
                <w:rFonts w:ascii="Times New Roman" w:hAnsi="Times New Roman"/>
                <w:b w:val="0"/>
                <w:color w:val="auto"/>
                <w:sz w:val="21"/>
                <w:szCs w:val="21"/>
              </w:rPr>
              <w:t>项目</w:t>
            </w:r>
            <w:r>
              <w:rPr>
                <w:rFonts w:hint="eastAsia" w:ascii="Times New Roman" w:hAnsi="Times New Roman"/>
                <w:b w:val="0"/>
                <w:color w:val="auto"/>
                <w:sz w:val="21"/>
                <w:szCs w:val="21"/>
              </w:rPr>
              <w:t>内部</w:t>
            </w:r>
            <w:bookmarkEnd w:id="425"/>
            <w:bookmarkEnd w:id="426"/>
            <w:bookmarkEnd w:id="427"/>
            <w:bookmarkEnd w:id="428"/>
          </w:p>
        </w:tc>
      </w:tr>
    </w:tbl>
    <w:p>
      <w:pPr>
        <w:ind w:right="-512" w:rightChars="-244"/>
        <w:jc w:val="center"/>
        <w:outlineLvl w:val="9"/>
        <w:rPr>
          <w:b/>
          <w:bCs/>
          <w:color w:val="auto"/>
          <w:kern w:val="0"/>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kern w:val="0"/>
          <w:sz w:val="24"/>
        </w:rPr>
        <w:t>图</w:t>
      </w:r>
      <w:r>
        <w:rPr>
          <w:rFonts w:hint="eastAsia"/>
          <w:b/>
          <w:bCs/>
          <w:color w:val="auto"/>
          <w:kern w:val="0"/>
          <w:sz w:val="24"/>
        </w:rPr>
        <w:t>4</w:t>
      </w:r>
      <w:r>
        <w:rPr>
          <w:b/>
          <w:bCs/>
          <w:color w:val="auto"/>
          <w:kern w:val="0"/>
          <w:sz w:val="24"/>
        </w:rPr>
        <w:t>.1-2 现场勘查图</w:t>
      </w:r>
    </w:p>
    <w:p>
      <w:pPr>
        <w:pStyle w:val="5"/>
        <w:numPr>
          <w:ilvl w:val="1"/>
          <w:numId w:val="0"/>
        </w:numPr>
        <w:tabs>
          <w:tab w:val="clear" w:pos="720"/>
        </w:tabs>
        <w:spacing w:before="159" w:after="159"/>
        <w:rPr>
          <w:color w:val="auto"/>
          <w:sz w:val="32"/>
          <w:szCs w:val="32"/>
        </w:rPr>
      </w:pPr>
      <w:bookmarkStart w:id="429" w:name="_Toc8578"/>
      <w:bookmarkStart w:id="430" w:name="_Toc32500"/>
      <w:bookmarkStart w:id="431" w:name="_Toc20895"/>
      <w:bookmarkStart w:id="432" w:name="_Toc17860"/>
      <w:r>
        <w:rPr>
          <w:rFonts w:hint="eastAsia"/>
          <w:color w:val="auto"/>
          <w:sz w:val="32"/>
          <w:szCs w:val="32"/>
        </w:rPr>
        <w:t xml:space="preserve">4.2  </w:t>
      </w:r>
      <w:r>
        <w:rPr>
          <w:color w:val="auto"/>
          <w:sz w:val="32"/>
          <w:szCs w:val="32"/>
        </w:rPr>
        <w:t>工程组成</w:t>
      </w:r>
      <w:bookmarkEnd w:id="429"/>
      <w:bookmarkEnd w:id="430"/>
      <w:bookmarkEnd w:id="431"/>
      <w:bookmarkEnd w:id="432"/>
    </w:p>
    <w:p>
      <w:pPr>
        <w:pStyle w:val="7"/>
        <w:numPr>
          <w:ilvl w:val="2"/>
          <w:numId w:val="0"/>
        </w:numPr>
        <w:tabs>
          <w:tab w:val="clear" w:pos="720"/>
        </w:tabs>
        <w:spacing w:before="159" w:after="159"/>
        <w:rPr>
          <w:color w:val="auto"/>
        </w:rPr>
      </w:pPr>
      <w:bookmarkStart w:id="433" w:name="_Toc22054"/>
      <w:bookmarkStart w:id="434" w:name="_Toc17139"/>
      <w:r>
        <w:rPr>
          <w:rFonts w:hint="eastAsia"/>
          <w:color w:val="auto"/>
        </w:rPr>
        <w:t xml:space="preserve">4.2.1  </w:t>
      </w:r>
      <w:r>
        <w:rPr>
          <w:color w:val="auto"/>
        </w:rPr>
        <w:t>项目组成</w:t>
      </w:r>
      <w:bookmarkEnd w:id="433"/>
      <w:bookmarkEnd w:id="434"/>
    </w:p>
    <w:p>
      <w:pPr>
        <w:spacing w:line="360" w:lineRule="auto"/>
        <w:ind w:firstLine="540"/>
        <w:rPr>
          <w:color w:val="auto"/>
          <w:sz w:val="24"/>
        </w:rPr>
      </w:pPr>
      <w:r>
        <w:rPr>
          <w:color w:val="auto"/>
          <w:kern w:val="0"/>
          <w:sz w:val="24"/>
        </w:rPr>
        <w:t>项目总</w:t>
      </w:r>
      <w:r>
        <w:rPr>
          <w:color w:val="auto"/>
          <w:sz w:val="24"/>
        </w:rPr>
        <w:t>占地面积</w:t>
      </w:r>
      <w:r>
        <w:rPr>
          <w:rFonts w:hint="eastAsia"/>
          <w:color w:val="auto"/>
          <w:sz w:val="24"/>
        </w:rPr>
        <w:t>12108</w:t>
      </w:r>
      <w:r>
        <w:rPr>
          <w:color w:val="auto"/>
          <w:sz w:val="24"/>
        </w:rPr>
        <w:t>m</w:t>
      </w:r>
      <w:r>
        <w:rPr>
          <w:color w:val="auto"/>
          <w:sz w:val="24"/>
          <w:vertAlign w:val="superscript"/>
        </w:rPr>
        <w:t>2</w:t>
      </w:r>
      <w:r>
        <w:rPr>
          <w:color w:val="auto"/>
          <w:sz w:val="24"/>
        </w:rPr>
        <w:t>，总建筑面积</w:t>
      </w:r>
      <w:r>
        <w:rPr>
          <w:rFonts w:hint="eastAsia"/>
          <w:color w:val="auto"/>
          <w:sz w:val="24"/>
        </w:rPr>
        <w:t>12108</w:t>
      </w:r>
      <w:r>
        <w:rPr>
          <w:color w:val="auto"/>
          <w:sz w:val="24"/>
        </w:rPr>
        <w:t>m</w:t>
      </w:r>
      <w:r>
        <w:rPr>
          <w:color w:val="auto"/>
          <w:sz w:val="24"/>
          <w:vertAlign w:val="superscript"/>
        </w:rPr>
        <w:t>2</w:t>
      </w:r>
      <w:r>
        <w:rPr>
          <w:color w:val="auto"/>
          <w:sz w:val="24"/>
        </w:rPr>
        <w:t>，主要由</w:t>
      </w:r>
      <w:r>
        <w:rPr>
          <w:rFonts w:hint="eastAsia"/>
          <w:color w:val="auto"/>
          <w:sz w:val="24"/>
        </w:rPr>
        <w:t>办公区</w:t>
      </w:r>
      <w:r>
        <w:rPr>
          <w:color w:val="auto"/>
          <w:sz w:val="24"/>
        </w:rPr>
        <w:t>、</w:t>
      </w:r>
      <w:r>
        <w:rPr>
          <w:rFonts w:hint="eastAsia"/>
          <w:color w:val="auto"/>
          <w:sz w:val="24"/>
        </w:rPr>
        <w:t>树脂粉仓库</w:t>
      </w:r>
      <w:r>
        <w:rPr>
          <w:color w:val="auto"/>
          <w:sz w:val="24"/>
        </w:rPr>
        <w:t>、</w:t>
      </w:r>
      <w:r>
        <w:rPr>
          <w:rFonts w:hint="eastAsia"/>
          <w:color w:val="auto"/>
          <w:sz w:val="24"/>
        </w:rPr>
        <w:t>树脂粉暂存间、卷材生产区、原料堆放区和湿式破碎区</w:t>
      </w:r>
      <w:r>
        <w:rPr>
          <w:color w:val="auto"/>
          <w:sz w:val="24"/>
        </w:rPr>
        <w:t>构成，所有构筑物均为现成建筑，具体如下表。</w:t>
      </w:r>
    </w:p>
    <w:p>
      <w:pPr>
        <w:pStyle w:val="9"/>
        <w:rPr>
          <w:rFonts w:ascii="Times New Roman" w:hAnsi="Times New Roman" w:eastAsia="宋体"/>
          <w:color w:val="auto"/>
          <w:sz w:val="21"/>
        </w:rPr>
      </w:pPr>
      <w:r>
        <w:rPr>
          <w:rFonts w:ascii="Times New Roman" w:hAnsi="Times New Roman" w:eastAsia="宋体"/>
          <w:color w:val="auto"/>
          <w:sz w:val="21"/>
        </w:rPr>
        <w:t>表</w:t>
      </w:r>
      <w:r>
        <w:rPr>
          <w:rFonts w:hint="eastAsia" w:ascii="Times New Roman" w:hAnsi="Times New Roman" w:eastAsia="宋体"/>
          <w:color w:val="auto"/>
          <w:sz w:val="21"/>
        </w:rPr>
        <w:t>4</w:t>
      </w:r>
      <w:r>
        <w:rPr>
          <w:rFonts w:ascii="Times New Roman" w:hAnsi="Times New Roman" w:eastAsia="宋体"/>
          <w:color w:val="auto"/>
          <w:sz w:val="21"/>
        </w:rPr>
        <w:t>.2-1</w:t>
      </w:r>
      <w:r>
        <w:rPr>
          <w:rFonts w:hint="eastAsia" w:ascii="Times New Roman" w:hAnsi="Times New Roman" w:eastAsia="宋体"/>
          <w:color w:val="auto"/>
          <w:sz w:val="21"/>
        </w:rPr>
        <w:t xml:space="preserve">  </w:t>
      </w:r>
      <w:r>
        <w:rPr>
          <w:rFonts w:ascii="Times New Roman" w:hAnsi="Times New Roman" w:eastAsia="宋体"/>
          <w:color w:val="auto"/>
          <w:sz w:val="21"/>
        </w:rPr>
        <w:t>项目组成一览表</w:t>
      </w:r>
    </w:p>
    <w:tbl>
      <w:tblPr>
        <w:tblStyle w:val="23"/>
        <w:tblW w:w="89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095"/>
        <w:gridCol w:w="2167"/>
        <w:gridCol w:w="951"/>
        <w:gridCol w:w="40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l2br w:val="nil"/>
              <w:tr2bl w:val="nil"/>
            </w:tcBorders>
            <w:vAlign w:val="center"/>
          </w:tcPr>
          <w:p>
            <w:pPr>
              <w:jc w:val="center"/>
              <w:rPr>
                <w:color w:val="auto"/>
                <w:szCs w:val="21"/>
              </w:rPr>
            </w:pPr>
            <w:bookmarkStart w:id="435" w:name="_Toc12242"/>
            <w:r>
              <w:rPr>
                <w:color w:val="auto"/>
                <w:szCs w:val="21"/>
              </w:rPr>
              <w:t>项目</w:t>
            </w:r>
          </w:p>
        </w:tc>
        <w:tc>
          <w:tcPr>
            <w:tcW w:w="3262" w:type="dxa"/>
            <w:gridSpan w:val="2"/>
            <w:tcBorders>
              <w:tl2br w:val="nil"/>
              <w:tr2bl w:val="nil"/>
            </w:tcBorders>
            <w:vAlign w:val="center"/>
          </w:tcPr>
          <w:p>
            <w:pPr>
              <w:jc w:val="center"/>
              <w:rPr>
                <w:color w:val="auto"/>
                <w:szCs w:val="21"/>
              </w:rPr>
            </w:pPr>
            <w:r>
              <w:rPr>
                <w:color w:val="auto"/>
                <w:szCs w:val="21"/>
              </w:rPr>
              <w:t>内容</w:t>
            </w:r>
          </w:p>
        </w:tc>
        <w:tc>
          <w:tcPr>
            <w:tcW w:w="951" w:type="dxa"/>
            <w:tcBorders>
              <w:tl2br w:val="nil"/>
              <w:tr2bl w:val="nil"/>
            </w:tcBorders>
            <w:vAlign w:val="center"/>
          </w:tcPr>
          <w:p>
            <w:pPr>
              <w:jc w:val="center"/>
              <w:rPr>
                <w:color w:val="auto"/>
                <w:szCs w:val="21"/>
              </w:rPr>
            </w:pPr>
            <w:r>
              <w:rPr>
                <w:color w:val="auto"/>
                <w:szCs w:val="21"/>
              </w:rPr>
              <w:t>规模</w:t>
            </w:r>
          </w:p>
        </w:tc>
        <w:tc>
          <w:tcPr>
            <w:tcW w:w="4071" w:type="dxa"/>
            <w:tcBorders>
              <w:tl2br w:val="nil"/>
              <w:tr2bl w:val="nil"/>
            </w:tcBorders>
            <w:vAlign w:val="center"/>
          </w:tcPr>
          <w:p>
            <w:pPr>
              <w:jc w:val="center"/>
              <w:rPr>
                <w:color w:val="auto"/>
                <w:szCs w:val="21"/>
              </w:rPr>
            </w:pPr>
            <w:r>
              <w:rPr>
                <w:color w:val="auto"/>
                <w:szCs w:val="21"/>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restart"/>
            <w:tcBorders>
              <w:tl2br w:val="nil"/>
              <w:tr2bl w:val="nil"/>
            </w:tcBorders>
            <w:vAlign w:val="center"/>
          </w:tcPr>
          <w:p>
            <w:pPr>
              <w:jc w:val="center"/>
              <w:rPr>
                <w:color w:val="auto"/>
                <w:szCs w:val="21"/>
              </w:rPr>
            </w:pPr>
            <w:r>
              <w:rPr>
                <w:color w:val="auto"/>
                <w:szCs w:val="21"/>
              </w:rPr>
              <w:t>主体工程</w:t>
            </w:r>
          </w:p>
        </w:tc>
        <w:tc>
          <w:tcPr>
            <w:tcW w:w="1095" w:type="dxa"/>
            <w:vMerge w:val="restart"/>
            <w:tcBorders>
              <w:tl2br w:val="nil"/>
              <w:tr2bl w:val="nil"/>
            </w:tcBorders>
            <w:vAlign w:val="center"/>
          </w:tcPr>
          <w:p>
            <w:pPr>
              <w:jc w:val="center"/>
              <w:rPr>
                <w:color w:val="auto"/>
                <w:szCs w:val="21"/>
              </w:rPr>
            </w:pPr>
            <w:r>
              <w:rPr>
                <w:color w:val="auto"/>
                <w:szCs w:val="21"/>
              </w:rPr>
              <w:t>车间</w:t>
            </w:r>
          </w:p>
        </w:tc>
        <w:tc>
          <w:tcPr>
            <w:tcW w:w="2167" w:type="dxa"/>
            <w:tcBorders>
              <w:tl2br w:val="nil"/>
              <w:tr2bl w:val="nil"/>
            </w:tcBorders>
            <w:vAlign w:val="center"/>
          </w:tcPr>
          <w:p>
            <w:pPr>
              <w:pStyle w:val="48"/>
              <w:spacing w:line="360" w:lineRule="auto"/>
              <w:rPr>
                <w:color w:val="auto"/>
                <w:szCs w:val="21"/>
              </w:rPr>
            </w:pPr>
            <w:r>
              <w:rPr>
                <w:color w:val="auto"/>
                <w:szCs w:val="21"/>
              </w:rPr>
              <w:t>卷材生产区</w:t>
            </w:r>
          </w:p>
        </w:tc>
        <w:tc>
          <w:tcPr>
            <w:tcW w:w="951" w:type="dxa"/>
            <w:tcBorders>
              <w:tl2br w:val="nil"/>
              <w:tr2bl w:val="nil"/>
            </w:tcBorders>
            <w:vAlign w:val="center"/>
          </w:tcPr>
          <w:p>
            <w:pPr>
              <w:jc w:val="center"/>
              <w:rPr>
                <w:color w:val="auto"/>
                <w:szCs w:val="21"/>
              </w:rPr>
            </w:pPr>
            <w:r>
              <w:rPr>
                <w:color w:val="auto"/>
                <w:szCs w:val="21"/>
              </w:rPr>
              <w:t>1848㎡</w:t>
            </w:r>
          </w:p>
        </w:tc>
        <w:tc>
          <w:tcPr>
            <w:tcW w:w="4071" w:type="dxa"/>
            <w:tcBorders>
              <w:tl2br w:val="nil"/>
              <w:tr2bl w:val="nil"/>
            </w:tcBorders>
            <w:vAlign w:val="center"/>
          </w:tcPr>
          <w:p>
            <w:pPr>
              <w:jc w:val="center"/>
              <w:rPr>
                <w:color w:val="auto"/>
                <w:szCs w:val="21"/>
              </w:rPr>
            </w:pPr>
            <w:r>
              <w:rPr>
                <w:color w:val="auto"/>
                <w:szCs w:val="21"/>
              </w:rPr>
              <w:t>进行防水卷材生产的区域。设置1条卷材生产线，年产防水卷材</w:t>
            </w:r>
            <w:r>
              <w:rPr>
                <w:rFonts w:hint="eastAsia"/>
                <w:color w:val="auto"/>
                <w:szCs w:val="21"/>
              </w:rPr>
              <w:t>2.3万t/a</w:t>
            </w:r>
            <w:r>
              <w:rPr>
                <w:color w:val="auto"/>
                <w:szCs w:val="21"/>
              </w:rPr>
              <w:t>（折合1000万m</w:t>
            </w:r>
            <w:r>
              <w:rPr>
                <w:color w:val="auto"/>
                <w:szCs w:val="21"/>
                <w:vertAlign w:val="superscript"/>
              </w:rPr>
              <w:t>2</w:t>
            </w:r>
            <w:r>
              <w:rPr>
                <w:color w:val="auto"/>
                <w:szCs w:val="21"/>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vMerge w:val="continue"/>
            <w:tcBorders>
              <w:tl2br w:val="nil"/>
              <w:tr2bl w:val="nil"/>
            </w:tcBorders>
            <w:vAlign w:val="center"/>
          </w:tcPr>
          <w:p>
            <w:pPr>
              <w:jc w:val="center"/>
              <w:rPr>
                <w:color w:val="auto"/>
                <w:szCs w:val="21"/>
              </w:rPr>
            </w:pPr>
          </w:p>
        </w:tc>
        <w:tc>
          <w:tcPr>
            <w:tcW w:w="2167" w:type="dxa"/>
            <w:tcBorders>
              <w:tl2br w:val="nil"/>
              <w:tr2bl w:val="nil"/>
            </w:tcBorders>
            <w:vAlign w:val="center"/>
          </w:tcPr>
          <w:p>
            <w:pPr>
              <w:pStyle w:val="48"/>
              <w:spacing w:line="360" w:lineRule="auto"/>
              <w:rPr>
                <w:color w:val="auto"/>
                <w:szCs w:val="21"/>
              </w:rPr>
            </w:pPr>
            <w:r>
              <w:rPr>
                <w:color w:val="auto"/>
                <w:szCs w:val="21"/>
              </w:rPr>
              <w:t>湿式破碎区</w:t>
            </w:r>
          </w:p>
        </w:tc>
        <w:tc>
          <w:tcPr>
            <w:tcW w:w="951" w:type="dxa"/>
            <w:tcBorders>
              <w:tl2br w:val="nil"/>
              <w:tr2bl w:val="nil"/>
            </w:tcBorders>
            <w:vAlign w:val="center"/>
          </w:tcPr>
          <w:p>
            <w:pPr>
              <w:jc w:val="center"/>
              <w:rPr>
                <w:color w:val="auto"/>
                <w:szCs w:val="21"/>
              </w:rPr>
            </w:pPr>
            <w:r>
              <w:rPr>
                <w:color w:val="auto"/>
                <w:szCs w:val="21"/>
              </w:rPr>
              <w:t>6525㎡</w:t>
            </w:r>
          </w:p>
        </w:tc>
        <w:tc>
          <w:tcPr>
            <w:tcW w:w="4071" w:type="dxa"/>
            <w:tcBorders>
              <w:tl2br w:val="nil"/>
              <w:tr2bl w:val="nil"/>
            </w:tcBorders>
            <w:vAlign w:val="center"/>
          </w:tcPr>
          <w:p>
            <w:pPr>
              <w:jc w:val="center"/>
              <w:rPr>
                <w:color w:val="auto"/>
                <w:szCs w:val="21"/>
              </w:rPr>
            </w:pPr>
            <w:r>
              <w:rPr>
                <w:color w:val="auto"/>
                <w:szCs w:val="21"/>
              </w:rPr>
              <w:t>主要对覆铜板进行湿式破碎生产线的区域。设有8条覆铜板破碎线，年处理废覆铜板3</w:t>
            </w:r>
            <w:r>
              <w:rPr>
                <w:rFonts w:hint="eastAsia"/>
                <w:color w:val="auto"/>
                <w:szCs w:val="21"/>
              </w:rPr>
              <w:t>万</w:t>
            </w:r>
            <w:r>
              <w:rPr>
                <w:color w:val="auto"/>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restart"/>
            <w:tcBorders>
              <w:tl2br w:val="nil"/>
              <w:tr2bl w:val="nil"/>
            </w:tcBorders>
            <w:vAlign w:val="center"/>
          </w:tcPr>
          <w:p>
            <w:pPr>
              <w:jc w:val="center"/>
              <w:rPr>
                <w:color w:val="auto"/>
                <w:szCs w:val="21"/>
              </w:rPr>
            </w:pPr>
            <w:r>
              <w:rPr>
                <w:color w:val="auto"/>
                <w:szCs w:val="21"/>
              </w:rPr>
              <w:t>辅助工程</w:t>
            </w:r>
          </w:p>
        </w:tc>
        <w:tc>
          <w:tcPr>
            <w:tcW w:w="3262" w:type="dxa"/>
            <w:gridSpan w:val="2"/>
            <w:tcBorders>
              <w:tl2br w:val="nil"/>
              <w:tr2bl w:val="nil"/>
            </w:tcBorders>
            <w:vAlign w:val="center"/>
          </w:tcPr>
          <w:p>
            <w:pPr>
              <w:pStyle w:val="48"/>
              <w:spacing w:line="360" w:lineRule="auto"/>
              <w:rPr>
                <w:color w:val="auto"/>
                <w:szCs w:val="21"/>
              </w:rPr>
            </w:pPr>
            <w:r>
              <w:rPr>
                <w:color w:val="auto"/>
                <w:szCs w:val="21"/>
              </w:rPr>
              <w:t>原料堆放区</w:t>
            </w:r>
          </w:p>
        </w:tc>
        <w:tc>
          <w:tcPr>
            <w:tcW w:w="951" w:type="dxa"/>
            <w:tcBorders>
              <w:tl2br w:val="nil"/>
              <w:tr2bl w:val="nil"/>
            </w:tcBorders>
            <w:vAlign w:val="center"/>
          </w:tcPr>
          <w:p>
            <w:pPr>
              <w:jc w:val="center"/>
              <w:rPr>
                <w:color w:val="auto"/>
                <w:szCs w:val="21"/>
              </w:rPr>
            </w:pPr>
            <w:r>
              <w:rPr>
                <w:color w:val="auto"/>
                <w:szCs w:val="21"/>
              </w:rPr>
              <w:t>2900㎡</w:t>
            </w:r>
          </w:p>
        </w:tc>
        <w:tc>
          <w:tcPr>
            <w:tcW w:w="4071" w:type="dxa"/>
            <w:tcBorders>
              <w:tl2br w:val="nil"/>
              <w:tr2bl w:val="nil"/>
            </w:tcBorders>
            <w:vAlign w:val="center"/>
          </w:tcPr>
          <w:p>
            <w:pPr>
              <w:jc w:val="center"/>
              <w:rPr>
                <w:color w:val="auto"/>
                <w:szCs w:val="21"/>
              </w:rPr>
            </w:pPr>
            <w:r>
              <w:rPr>
                <w:color w:val="auto"/>
                <w:szCs w:val="21"/>
              </w:rPr>
              <w:t>用于堆放各种原材料，也用于物料的流转</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64" w:type="dxa"/>
            <w:vMerge w:val="continue"/>
            <w:tcBorders>
              <w:tl2br w:val="nil"/>
              <w:tr2bl w:val="nil"/>
            </w:tcBorders>
            <w:vAlign w:val="center"/>
          </w:tcPr>
          <w:p>
            <w:pPr>
              <w:jc w:val="center"/>
              <w:rPr>
                <w:color w:val="auto"/>
                <w:szCs w:val="21"/>
              </w:rPr>
            </w:pPr>
          </w:p>
        </w:tc>
        <w:tc>
          <w:tcPr>
            <w:tcW w:w="3262" w:type="dxa"/>
            <w:gridSpan w:val="2"/>
            <w:tcBorders>
              <w:tl2br w:val="nil"/>
              <w:tr2bl w:val="nil"/>
            </w:tcBorders>
            <w:vAlign w:val="center"/>
          </w:tcPr>
          <w:p>
            <w:pPr>
              <w:pStyle w:val="48"/>
              <w:spacing w:line="360" w:lineRule="auto"/>
              <w:rPr>
                <w:color w:val="auto"/>
                <w:szCs w:val="21"/>
              </w:rPr>
            </w:pPr>
            <w:r>
              <w:rPr>
                <w:color w:val="auto"/>
                <w:szCs w:val="21"/>
              </w:rPr>
              <w:t>树脂粉暂存间</w:t>
            </w:r>
          </w:p>
        </w:tc>
        <w:tc>
          <w:tcPr>
            <w:tcW w:w="951" w:type="dxa"/>
            <w:tcBorders>
              <w:tl2br w:val="nil"/>
              <w:tr2bl w:val="nil"/>
            </w:tcBorders>
            <w:vAlign w:val="center"/>
          </w:tcPr>
          <w:p>
            <w:pPr>
              <w:jc w:val="center"/>
              <w:rPr>
                <w:color w:val="auto"/>
                <w:szCs w:val="21"/>
              </w:rPr>
            </w:pPr>
            <w:r>
              <w:rPr>
                <w:color w:val="auto"/>
                <w:szCs w:val="21"/>
              </w:rPr>
              <w:t>200㎡</w:t>
            </w:r>
          </w:p>
        </w:tc>
        <w:tc>
          <w:tcPr>
            <w:tcW w:w="4071" w:type="dxa"/>
            <w:tcBorders>
              <w:tl2br w:val="nil"/>
              <w:tr2bl w:val="nil"/>
            </w:tcBorders>
            <w:vAlign w:val="center"/>
          </w:tcPr>
          <w:p>
            <w:pPr>
              <w:jc w:val="center"/>
              <w:rPr>
                <w:color w:val="auto"/>
                <w:szCs w:val="21"/>
              </w:rPr>
            </w:pPr>
            <w:r>
              <w:rPr>
                <w:color w:val="auto"/>
                <w:szCs w:val="21"/>
              </w:rPr>
              <w:t>暂时存放分离出的树脂粉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64" w:type="dxa"/>
            <w:vMerge w:val="continue"/>
            <w:tcBorders>
              <w:tl2br w:val="nil"/>
              <w:tr2bl w:val="nil"/>
            </w:tcBorders>
            <w:vAlign w:val="center"/>
          </w:tcPr>
          <w:p>
            <w:pPr>
              <w:jc w:val="center"/>
              <w:rPr>
                <w:color w:val="auto"/>
                <w:szCs w:val="21"/>
              </w:rPr>
            </w:pPr>
          </w:p>
        </w:tc>
        <w:tc>
          <w:tcPr>
            <w:tcW w:w="3262" w:type="dxa"/>
            <w:gridSpan w:val="2"/>
            <w:tcBorders>
              <w:tl2br w:val="nil"/>
              <w:tr2bl w:val="nil"/>
            </w:tcBorders>
            <w:vAlign w:val="center"/>
          </w:tcPr>
          <w:p>
            <w:pPr>
              <w:jc w:val="center"/>
              <w:rPr>
                <w:color w:val="auto"/>
                <w:szCs w:val="21"/>
              </w:rPr>
            </w:pPr>
            <w:r>
              <w:rPr>
                <w:color w:val="auto"/>
                <w:szCs w:val="21"/>
              </w:rPr>
              <w:t>办公区</w:t>
            </w:r>
          </w:p>
        </w:tc>
        <w:tc>
          <w:tcPr>
            <w:tcW w:w="951" w:type="dxa"/>
            <w:tcBorders>
              <w:tl2br w:val="nil"/>
              <w:tr2bl w:val="nil"/>
            </w:tcBorders>
            <w:vAlign w:val="center"/>
          </w:tcPr>
          <w:p>
            <w:pPr>
              <w:jc w:val="center"/>
              <w:rPr>
                <w:color w:val="auto"/>
                <w:szCs w:val="21"/>
              </w:rPr>
            </w:pPr>
            <w:r>
              <w:rPr>
                <w:color w:val="auto"/>
                <w:szCs w:val="21"/>
              </w:rPr>
              <w:t>600㎡</w:t>
            </w:r>
          </w:p>
        </w:tc>
        <w:tc>
          <w:tcPr>
            <w:tcW w:w="4071" w:type="dxa"/>
            <w:tcBorders>
              <w:tl2br w:val="nil"/>
              <w:tr2bl w:val="nil"/>
            </w:tcBorders>
            <w:vAlign w:val="center"/>
          </w:tcPr>
          <w:p>
            <w:pPr>
              <w:jc w:val="center"/>
              <w:rPr>
                <w:color w:val="auto"/>
                <w:szCs w:val="21"/>
              </w:rPr>
            </w:pPr>
            <w:r>
              <w:rPr>
                <w:color w:val="auto"/>
                <w:szCs w:val="21"/>
              </w:rPr>
              <w:t>人员办公和接待客人的场所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restart"/>
            <w:tcBorders>
              <w:tl2br w:val="nil"/>
              <w:tr2bl w:val="nil"/>
            </w:tcBorders>
            <w:vAlign w:val="center"/>
          </w:tcPr>
          <w:p>
            <w:pPr>
              <w:jc w:val="center"/>
              <w:rPr>
                <w:color w:val="auto"/>
                <w:szCs w:val="21"/>
              </w:rPr>
            </w:pPr>
            <w:r>
              <w:rPr>
                <w:color w:val="auto"/>
                <w:szCs w:val="21"/>
              </w:rPr>
              <w:t>公用工程</w:t>
            </w:r>
          </w:p>
        </w:tc>
        <w:tc>
          <w:tcPr>
            <w:tcW w:w="3262" w:type="dxa"/>
            <w:gridSpan w:val="2"/>
            <w:tcBorders>
              <w:tl2br w:val="nil"/>
              <w:tr2bl w:val="nil"/>
            </w:tcBorders>
            <w:vAlign w:val="center"/>
          </w:tcPr>
          <w:p>
            <w:pPr>
              <w:jc w:val="center"/>
              <w:rPr>
                <w:color w:val="auto"/>
                <w:szCs w:val="21"/>
              </w:rPr>
            </w:pPr>
            <w:r>
              <w:rPr>
                <w:color w:val="auto"/>
                <w:szCs w:val="21"/>
              </w:rPr>
              <w:t>配电系统</w:t>
            </w:r>
          </w:p>
        </w:tc>
        <w:tc>
          <w:tcPr>
            <w:tcW w:w="951" w:type="dxa"/>
            <w:tcBorders>
              <w:tl2br w:val="nil"/>
              <w:tr2bl w:val="nil"/>
            </w:tcBorders>
            <w:vAlign w:val="center"/>
          </w:tcPr>
          <w:p>
            <w:pPr>
              <w:jc w:val="center"/>
              <w:rPr>
                <w:color w:val="auto"/>
                <w:szCs w:val="21"/>
              </w:rPr>
            </w:pPr>
            <w:r>
              <w:rPr>
                <w:color w:val="auto"/>
                <w:szCs w:val="21"/>
              </w:rPr>
              <w:t>1套</w:t>
            </w:r>
          </w:p>
        </w:tc>
        <w:tc>
          <w:tcPr>
            <w:tcW w:w="4071" w:type="dxa"/>
            <w:tcBorders>
              <w:tl2br w:val="nil"/>
              <w:tr2bl w:val="nil"/>
            </w:tcBorders>
            <w:vAlign w:val="center"/>
          </w:tcPr>
          <w:p>
            <w:pPr>
              <w:jc w:val="center"/>
              <w:rPr>
                <w:color w:val="auto"/>
                <w:szCs w:val="21"/>
              </w:rPr>
            </w:pPr>
            <w:r>
              <w:rPr>
                <w:color w:val="auto"/>
                <w:szCs w:val="21"/>
              </w:rPr>
              <w:t>供应生产用电和办公用电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widowControl/>
              <w:jc w:val="center"/>
              <w:rPr>
                <w:color w:val="auto"/>
                <w:szCs w:val="21"/>
              </w:rPr>
            </w:pPr>
          </w:p>
        </w:tc>
        <w:tc>
          <w:tcPr>
            <w:tcW w:w="3262" w:type="dxa"/>
            <w:gridSpan w:val="2"/>
            <w:tcBorders>
              <w:tl2br w:val="nil"/>
              <w:tr2bl w:val="nil"/>
            </w:tcBorders>
            <w:vAlign w:val="center"/>
          </w:tcPr>
          <w:p>
            <w:pPr>
              <w:jc w:val="center"/>
              <w:rPr>
                <w:color w:val="auto"/>
                <w:szCs w:val="21"/>
              </w:rPr>
            </w:pPr>
            <w:r>
              <w:rPr>
                <w:color w:val="auto"/>
                <w:szCs w:val="21"/>
              </w:rPr>
              <w:t>给排水系统</w:t>
            </w:r>
          </w:p>
        </w:tc>
        <w:tc>
          <w:tcPr>
            <w:tcW w:w="951" w:type="dxa"/>
            <w:tcBorders>
              <w:tl2br w:val="nil"/>
              <w:tr2bl w:val="nil"/>
            </w:tcBorders>
            <w:vAlign w:val="center"/>
          </w:tcPr>
          <w:p>
            <w:pPr>
              <w:jc w:val="center"/>
              <w:rPr>
                <w:color w:val="auto"/>
                <w:szCs w:val="21"/>
              </w:rPr>
            </w:pPr>
            <w:r>
              <w:rPr>
                <w:color w:val="auto"/>
                <w:szCs w:val="21"/>
              </w:rPr>
              <w:t>1套</w:t>
            </w:r>
          </w:p>
        </w:tc>
        <w:tc>
          <w:tcPr>
            <w:tcW w:w="4071" w:type="dxa"/>
            <w:tcBorders>
              <w:tl2br w:val="nil"/>
              <w:tr2bl w:val="nil"/>
            </w:tcBorders>
            <w:vAlign w:val="center"/>
          </w:tcPr>
          <w:p>
            <w:pPr>
              <w:jc w:val="center"/>
              <w:rPr>
                <w:color w:val="auto"/>
                <w:szCs w:val="21"/>
              </w:rPr>
            </w:pPr>
            <w:r>
              <w:rPr>
                <w:color w:val="auto"/>
                <w:szCs w:val="21"/>
              </w:rPr>
              <w:t>供水来源为市政自来水，生活污水</w:t>
            </w:r>
            <w:r>
              <w:rPr>
                <w:color w:val="auto"/>
                <w:kern w:val="0"/>
                <w:szCs w:val="21"/>
              </w:rPr>
              <w:t>经三级化粪池预处理后通过管网排至石角污水处理厂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restart"/>
            <w:tcBorders>
              <w:tl2br w:val="nil"/>
              <w:tr2bl w:val="nil"/>
            </w:tcBorders>
            <w:vAlign w:val="center"/>
          </w:tcPr>
          <w:p>
            <w:pPr>
              <w:jc w:val="center"/>
              <w:rPr>
                <w:color w:val="auto"/>
                <w:szCs w:val="21"/>
              </w:rPr>
            </w:pPr>
            <w:r>
              <w:rPr>
                <w:color w:val="auto"/>
                <w:szCs w:val="21"/>
              </w:rPr>
              <w:t>环保工程</w:t>
            </w:r>
          </w:p>
        </w:tc>
        <w:tc>
          <w:tcPr>
            <w:tcW w:w="1095" w:type="dxa"/>
            <w:vMerge w:val="restart"/>
            <w:tcBorders>
              <w:tl2br w:val="nil"/>
              <w:tr2bl w:val="nil"/>
            </w:tcBorders>
            <w:vAlign w:val="center"/>
          </w:tcPr>
          <w:p>
            <w:pPr>
              <w:ind w:left="2"/>
              <w:jc w:val="center"/>
              <w:rPr>
                <w:color w:val="auto"/>
                <w:szCs w:val="21"/>
              </w:rPr>
            </w:pPr>
            <w:r>
              <w:rPr>
                <w:color w:val="auto"/>
                <w:szCs w:val="21"/>
              </w:rPr>
              <w:t>水</w:t>
            </w:r>
          </w:p>
          <w:p>
            <w:pPr>
              <w:ind w:left="2"/>
              <w:jc w:val="center"/>
              <w:rPr>
                <w:color w:val="auto"/>
                <w:szCs w:val="21"/>
              </w:rPr>
            </w:pPr>
            <w:r>
              <w:rPr>
                <w:color w:val="auto"/>
                <w:szCs w:val="21"/>
              </w:rPr>
              <w:t>环保措施</w:t>
            </w:r>
          </w:p>
        </w:tc>
        <w:tc>
          <w:tcPr>
            <w:tcW w:w="2167" w:type="dxa"/>
            <w:tcBorders>
              <w:tl2br w:val="nil"/>
              <w:tr2bl w:val="nil"/>
            </w:tcBorders>
            <w:vAlign w:val="center"/>
          </w:tcPr>
          <w:p>
            <w:pPr>
              <w:jc w:val="center"/>
              <w:rPr>
                <w:color w:val="auto"/>
                <w:szCs w:val="21"/>
              </w:rPr>
            </w:pPr>
            <w:r>
              <w:rPr>
                <w:color w:val="auto"/>
                <w:szCs w:val="21"/>
              </w:rPr>
              <w:t>三级化粪池</w:t>
            </w:r>
          </w:p>
        </w:tc>
        <w:tc>
          <w:tcPr>
            <w:tcW w:w="951" w:type="dxa"/>
            <w:tcBorders>
              <w:tl2br w:val="nil"/>
              <w:tr2bl w:val="nil"/>
            </w:tcBorders>
            <w:vAlign w:val="center"/>
          </w:tcPr>
          <w:p>
            <w:pPr>
              <w:ind w:left="2"/>
              <w:jc w:val="center"/>
              <w:rPr>
                <w:color w:val="auto"/>
                <w:szCs w:val="21"/>
              </w:rPr>
            </w:pPr>
            <w:r>
              <w:rPr>
                <w:color w:val="auto"/>
                <w:szCs w:val="21"/>
              </w:rPr>
              <w:t>1个</w:t>
            </w:r>
          </w:p>
        </w:tc>
        <w:tc>
          <w:tcPr>
            <w:tcW w:w="4071" w:type="dxa"/>
            <w:tcBorders>
              <w:tl2br w:val="nil"/>
              <w:tr2bl w:val="nil"/>
            </w:tcBorders>
            <w:vAlign w:val="center"/>
          </w:tcPr>
          <w:p>
            <w:pPr>
              <w:jc w:val="center"/>
              <w:rPr>
                <w:color w:val="auto"/>
                <w:szCs w:val="21"/>
              </w:rPr>
            </w:pPr>
            <w:r>
              <w:rPr>
                <w:color w:val="auto"/>
                <w:szCs w:val="21"/>
              </w:rPr>
              <w:t>员工生活污水处理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vMerge w:val="continue"/>
            <w:tcBorders>
              <w:tl2br w:val="nil"/>
              <w:tr2bl w:val="nil"/>
            </w:tcBorders>
            <w:vAlign w:val="center"/>
          </w:tcPr>
          <w:p>
            <w:pPr>
              <w:ind w:left="2"/>
              <w:jc w:val="center"/>
              <w:rPr>
                <w:color w:val="auto"/>
                <w:szCs w:val="21"/>
              </w:rPr>
            </w:pPr>
          </w:p>
        </w:tc>
        <w:tc>
          <w:tcPr>
            <w:tcW w:w="2167" w:type="dxa"/>
            <w:tcBorders>
              <w:tl2br w:val="nil"/>
              <w:tr2bl w:val="nil"/>
            </w:tcBorders>
            <w:vAlign w:val="center"/>
          </w:tcPr>
          <w:p>
            <w:pPr>
              <w:jc w:val="center"/>
              <w:rPr>
                <w:color w:val="auto"/>
                <w:szCs w:val="21"/>
              </w:rPr>
            </w:pPr>
            <w:r>
              <w:rPr>
                <w:color w:val="auto"/>
                <w:szCs w:val="21"/>
              </w:rPr>
              <w:t>多级沉淀池</w:t>
            </w:r>
          </w:p>
        </w:tc>
        <w:tc>
          <w:tcPr>
            <w:tcW w:w="951" w:type="dxa"/>
            <w:tcBorders>
              <w:tl2br w:val="nil"/>
              <w:tr2bl w:val="nil"/>
            </w:tcBorders>
            <w:vAlign w:val="center"/>
          </w:tcPr>
          <w:p>
            <w:pPr>
              <w:ind w:left="2"/>
              <w:jc w:val="center"/>
              <w:rPr>
                <w:color w:val="auto"/>
                <w:szCs w:val="21"/>
              </w:rPr>
            </w:pPr>
            <w:r>
              <w:rPr>
                <w:color w:val="auto"/>
                <w:szCs w:val="21"/>
              </w:rPr>
              <w:t>2套</w:t>
            </w:r>
          </w:p>
        </w:tc>
        <w:tc>
          <w:tcPr>
            <w:tcW w:w="4071" w:type="dxa"/>
            <w:tcBorders>
              <w:tl2br w:val="nil"/>
              <w:tr2bl w:val="nil"/>
            </w:tcBorders>
            <w:vAlign w:val="center"/>
          </w:tcPr>
          <w:p>
            <w:pPr>
              <w:jc w:val="center"/>
              <w:rPr>
                <w:color w:val="auto"/>
                <w:szCs w:val="21"/>
              </w:rPr>
            </w:pPr>
            <w:r>
              <w:rPr>
                <w:color w:val="auto"/>
                <w:szCs w:val="21"/>
              </w:rPr>
              <w:t>湿式破碎生产线废水处理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vMerge w:val="restart"/>
            <w:tcBorders>
              <w:tl2br w:val="nil"/>
              <w:tr2bl w:val="nil"/>
            </w:tcBorders>
            <w:vAlign w:val="center"/>
          </w:tcPr>
          <w:p>
            <w:pPr>
              <w:ind w:left="2"/>
              <w:jc w:val="center"/>
              <w:rPr>
                <w:color w:val="auto"/>
                <w:szCs w:val="21"/>
              </w:rPr>
            </w:pPr>
            <w:r>
              <w:rPr>
                <w:color w:val="auto"/>
                <w:szCs w:val="21"/>
              </w:rPr>
              <w:t>大气</w:t>
            </w:r>
          </w:p>
          <w:p>
            <w:pPr>
              <w:ind w:left="2"/>
              <w:jc w:val="center"/>
              <w:rPr>
                <w:color w:val="auto"/>
                <w:szCs w:val="21"/>
              </w:rPr>
            </w:pPr>
            <w:r>
              <w:rPr>
                <w:color w:val="auto"/>
                <w:szCs w:val="21"/>
              </w:rPr>
              <w:t>环保措施</w:t>
            </w:r>
          </w:p>
        </w:tc>
        <w:tc>
          <w:tcPr>
            <w:tcW w:w="2167" w:type="dxa"/>
            <w:tcBorders>
              <w:tl2br w:val="nil"/>
              <w:tr2bl w:val="nil"/>
            </w:tcBorders>
            <w:vAlign w:val="center"/>
          </w:tcPr>
          <w:p>
            <w:pPr>
              <w:jc w:val="center"/>
              <w:rPr>
                <w:color w:val="auto"/>
                <w:szCs w:val="21"/>
              </w:rPr>
            </w:pPr>
            <w:r>
              <w:rPr>
                <w:color w:val="auto"/>
                <w:szCs w:val="21"/>
              </w:rPr>
              <w:t>破碎粉尘治理设备</w:t>
            </w:r>
          </w:p>
        </w:tc>
        <w:tc>
          <w:tcPr>
            <w:tcW w:w="951" w:type="dxa"/>
            <w:tcBorders>
              <w:tl2br w:val="nil"/>
              <w:tr2bl w:val="nil"/>
            </w:tcBorders>
            <w:vAlign w:val="center"/>
          </w:tcPr>
          <w:p>
            <w:pPr>
              <w:ind w:left="2"/>
              <w:jc w:val="center"/>
              <w:rPr>
                <w:color w:val="auto"/>
                <w:szCs w:val="21"/>
              </w:rPr>
            </w:pPr>
            <w:r>
              <w:rPr>
                <w:color w:val="auto"/>
                <w:szCs w:val="21"/>
              </w:rPr>
              <w:t>1套</w:t>
            </w:r>
          </w:p>
        </w:tc>
        <w:tc>
          <w:tcPr>
            <w:tcW w:w="4071" w:type="dxa"/>
            <w:tcBorders>
              <w:tl2br w:val="nil"/>
              <w:tr2bl w:val="nil"/>
            </w:tcBorders>
            <w:vAlign w:val="center"/>
          </w:tcPr>
          <w:p>
            <w:pPr>
              <w:jc w:val="center"/>
              <w:rPr>
                <w:color w:val="auto"/>
                <w:szCs w:val="21"/>
              </w:rPr>
            </w:pPr>
            <w:r>
              <w:rPr>
                <w:color w:val="auto"/>
                <w:szCs w:val="21"/>
              </w:rPr>
              <w:t>收集湿式破碎生产线中“一破工序”产生的粉尘，经旋风布袋除尘处理后从排气筒G2达标排放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vMerge w:val="continue"/>
            <w:tcBorders>
              <w:tl2br w:val="nil"/>
              <w:tr2bl w:val="nil"/>
            </w:tcBorders>
            <w:vAlign w:val="center"/>
          </w:tcPr>
          <w:p>
            <w:pPr>
              <w:ind w:left="2"/>
              <w:jc w:val="center"/>
              <w:rPr>
                <w:color w:val="auto"/>
                <w:szCs w:val="21"/>
              </w:rPr>
            </w:pPr>
          </w:p>
        </w:tc>
        <w:tc>
          <w:tcPr>
            <w:tcW w:w="2167" w:type="dxa"/>
            <w:tcBorders>
              <w:tl2br w:val="nil"/>
              <w:tr2bl w:val="nil"/>
            </w:tcBorders>
            <w:vAlign w:val="center"/>
          </w:tcPr>
          <w:p>
            <w:pPr>
              <w:jc w:val="center"/>
              <w:rPr>
                <w:color w:val="auto"/>
                <w:szCs w:val="21"/>
              </w:rPr>
            </w:pPr>
            <w:r>
              <w:rPr>
                <w:color w:val="auto"/>
                <w:szCs w:val="21"/>
              </w:rPr>
              <w:t>卷材生产线废气治理设备</w:t>
            </w:r>
          </w:p>
        </w:tc>
        <w:tc>
          <w:tcPr>
            <w:tcW w:w="951" w:type="dxa"/>
            <w:tcBorders>
              <w:tl2br w:val="nil"/>
              <w:tr2bl w:val="nil"/>
            </w:tcBorders>
            <w:vAlign w:val="center"/>
          </w:tcPr>
          <w:p>
            <w:pPr>
              <w:ind w:left="2"/>
              <w:jc w:val="center"/>
              <w:rPr>
                <w:color w:val="auto"/>
                <w:szCs w:val="21"/>
              </w:rPr>
            </w:pPr>
            <w:r>
              <w:rPr>
                <w:color w:val="auto"/>
                <w:szCs w:val="21"/>
              </w:rPr>
              <w:t>1套</w:t>
            </w:r>
          </w:p>
        </w:tc>
        <w:tc>
          <w:tcPr>
            <w:tcW w:w="4071" w:type="dxa"/>
            <w:tcBorders>
              <w:tl2br w:val="nil"/>
              <w:tr2bl w:val="nil"/>
            </w:tcBorders>
            <w:vAlign w:val="center"/>
          </w:tcPr>
          <w:p>
            <w:pPr>
              <w:jc w:val="center"/>
              <w:rPr>
                <w:color w:val="auto"/>
                <w:szCs w:val="21"/>
              </w:rPr>
            </w:pPr>
            <w:r>
              <w:rPr>
                <w:color w:val="auto"/>
                <w:szCs w:val="21"/>
              </w:rPr>
              <w:t>卷材生产线废气主要为投料粉尘及沥青烟。采用整室收集的方式收集，经“旋风除尘+冷凝器+油烟净化器+UV光解+活性炭吸附”设备处理达标后经排气筒G1排放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vMerge w:val="continue"/>
            <w:tcBorders>
              <w:tl2br w:val="nil"/>
              <w:tr2bl w:val="nil"/>
            </w:tcBorders>
            <w:vAlign w:val="center"/>
          </w:tcPr>
          <w:p>
            <w:pPr>
              <w:ind w:left="2"/>
              <w:jc w:val="center"/>
              <w:rPr>
                <w:color w:val="auto"/>
                <w:szCs w:val="21"/>
              </w:rPr>
            </w:pPr>
          </w:p>
        </w:tc>
        <w:tc>
          <w:tcPr>
            <w:tcW w:w="2167" w:type="dxa"/>
            <w:tcBorders>
              <w:tl2br w:val="nil"/>
              <w:tr2bl w:val="nil"/>
            </w:tcBorders>
            <w:vAlign w:val="center"/>
          </w:tcPr>
          <w:p>
            <w:pPr>
              <w:jc w:val="center"/>
              <w:rPr>
                <w:color w:val="auto"/>
                <w:szCs w:val="21"/>
              </w:rPr>
            </w:pPr>
            <w:r>
              <w:rPr>
                <w:rFonts w:hint="eastAsia"/>
                <w:color w:val="auto"/>
                <w:szCs w:val="21"/>
                <w:lang w:eastAsia="zh-CN"/>
              </w:rPr>
              <w:t>导热油炉</w:t>
            </w:r>
            <w:r>
              <w:rPr>
                <w:color w:val="auto"/>
                <w:szCs w:val="21"/>
              </w:rPr>
              <w:t>排气筒</w:t>
            </w:r>
          </w:p>
        </w:tc>
        <w:tc>
          <w:tcPr>
            <w:tcW w:w="951" w:type="dxa"/>
            <w:tcBorders>
              <w:tl2br w:val="nil"/>
              <w:tr2bl w:val="nil"/>
            </w:tcBorders>
            <w:vAlign w:val="center"/>
          </w:tcPr>
          <w:p>
            <w:pPr>
              <w:ind w:left="2"/>
              <w:jc w:val="center"/>
              <w:rPr>
                <w:color w:val="auto"/>
                <w:szCs w:val="21"/>
              </w:rPr>
            </w:pPr>
            <w:r>
              <w:rPr>
                <w:color w:val="auto"/>
                <w:szCs w:val="21"/>
              </w:rPr>
              <w:t>1套</w:t>
            </w:r>
          </w:p>
        </w:tc>
        <w:tc>
          <w:tcPr>
            <w:tcW w:w="4071" w:type="dxa"/>
            <w:tcBorders>
              <w:tl2br w:val="nil"/>
              <w:tr2bl w:val="nil"/>
            </w:tcBorders>
            <w:vAlign w:val="center"/>
          </w:tcPr>
          <w:p>
            <w:pPr>
              <w:jc w:val="center"/>
              <w:rPr>
                <w:color w:val="auto"/>
                <w:szCs w:val="21"/>
              </w:rPr>
            </w:pPr>
            <w:r>
              <w:rPr>
                <w:color w:val="auto"/>
                <w:szCs w:val="21"/>
              </w:rPr>
              <w:t>锅炉的燃烧废气从排气筒G3排放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tcBorders>
              <w:tl2br w:val="nil"/>
              <w:tr2bl w:val="nil"/>
            </w:tcBorders>
            <w:vAlign w:val="center"/>
          </w:tcPr>
          <w:p>
            <w:pPr>
              <w:ind w:left="2"/>
              <w:jc w:val="center"/>
              <w:rPr>
                <w:color w:val="auto"/>
                <w:szCs w:val="21"/>
              </w:rPr>
            </w:pPr>
            <w:r>
              <w:rPr>
                <w:color w:val="auto"/>
                <w:szCs w:val="21"/>
              </w:rPr>
              <w:t>噪声</w:t>
            </w:r>
          </w:p>
          <w:p>
            <w:pPr>
              <w:ind w:left="2"/>
              <w:jc w:val="center"/>
              <w:rPr>
                <w:color w:val="auto"/>
                <w:szCs w:val="21"/>
              </w:rPr>
            </w:pPr>
            <w:r>
              <w:rPr>
                <w:color w:val="auto"/>
                <w:szCs w:val="21"/>
              </w:rPr>
              <w:t>环保措施</w:t>
            </w:r>
          </w:p>
        </w:tc>
        <w:tc>
          <w:tcPr>
            <w:tcW w:w="2167" w:type="dxa"/>
            <w:tcBorders>
              <w:tl2br w:val="nil"/>
              <w:tr2bl w:val="nil"/>
            </w:tcBorders>
            <w:vAlign w:val="center"/>
          </w:tcPr>
          <w:p>
            <w:pPr>
              <w:ind w:left="2"/>
              <w:jc w:val="center"/>
              <w:rPr>
                <w:color w:val="auto"/>
                <w:szCs w:val="21"/>
              </w:rPr>
            </w:pPr>
            <w:r>
              <w:rPr>
                <w:color w:val="auto"/>
                <w:szCs w:val="21"/>
              </w:rPr>
              <w:t>选用低噪声设备，设备做隔声、减振处理</w:t>
            </w:r>
          </w:p>
        </w:tc>
        <w:tc>
          <w:tcPr>
            <w:tcW w:w="951" w:type="dxa"/>
            <w:tcBorders>
              <w:tl2br w:val="nil"/>
              <w:tr2bl w:val="nil"/>
            </w:tcBorders>
            <w:vAlign w:val="center"/>
          </w:tcPr>
          <w:p>
            <w:pPr>
              <w:ind w:left="2"/>
              <w:jc w:val="center"/>
              <w:rPr>
                <w:color w:val="auto"/>
                <w:szCs w:val="21"/>
              </w:rPr>
            </w:pPr>
            <w:r>
              <w:rPr>
                <w:color w:val="auto"/>
                <w:szCs w:val="21"/>
              </w:rPr>
              <w:t>/</w:t>
            </w:r>
          </w:p>
        </w:tc>
        <w:tc>
          <w:tcPr>
            <w:tcW w:w="4071" w:type="dxa"/>
            <w:tcBorders>
              <w:tl2br w:val="nil"/>
              <w:tr2bl w:val="nil"/>
            </w:tcBorders>
            <w:vAlign w:val="center"/>
          </w:tcPr>
          <w:p>
            <w:pPr>
              <w:jc w:val="center"/>
              <w:rPr>
                <w:color w:val="auto"/>
                <w:szCs w:val="21"/>
              </w:rPr>
            </w:pPr>
            <w:r>
              <w:rPr>
                <w:color w:val="auto"/>
                <w:szCs w:val="21"/>
              </w:rPr>
              <w:t>噪声处理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tcBorders>
              <w:tl2br w:val="nil"/>
              <w:tr2bl w:val="nil"/>
            </w:tcBorders>
            <w:vAlign w:val="center"/>
          </w:tcPr>
          <w:p>
            <w:pPr>
              <w:ind w:left="2"/>
              <w:jc w:val="center"/>
              <w:rPr>
                <w:color w:val="auto"/>
                <w:szCs w:val="21"/>
              </w:rPr>
            </w:pPr>
            <w:r>
              <w:rPr>
                <w:color w:val="auto"/>
                <w:szCs w:val="21"/>
              </w:rPr>
              <w:t>一般固体废物措施</w:t>
            </w:r>
          </w:p>
        </w:tc>
        <w:tc>
          <w:tcPr>
            <w:tcW w:w="2167" w:type="dxa"/>
            <w:tcBorders>
              <w:tl2br w:val="nil"/>
              <w:tr2bl w:val="nil"/>
            </w:tcBorders>
            <w:vAlign w:val="center"/>
          </w:tcPr>
          <w:p>
            <w:pPr>
              <w:ind w:left="2"/>
              <w:jc w:val="center"/>
              <w:rPr>
                <w:color w:val="auto"/>
                <w:szCs w:val="21"/>
              </w:rPr>
            </w:pPr>
            <w:r>
              <w:rPr>
                <w:color w:val="auto"/>
                <w:szCs w:val="21"/>
              </w:rPr>
              <w:t>设置分类垃圾桶</w:t>
            </w:r>
          </w:p>
        </w:tc>
        <w:tc>
          <w:tcPr>
            <w:tcW w:w="951" w:type="dxa"/>
            <w:tcBorders>
              <w:tl2br w:val="nil"/>
              <w:tr2bl w:val="nil"/>
            </w:tcBorders>
            <w:vAlign w:val="center"/>
          </w:tcPr>
          <w:p>
            <w:pPr>
              <w:ind w:left="2"/>
              <w:jc w:val="center"/>
              <w:rPr>
                <w:color w:val="auto"/>
                <w:szCs w:val="21"/>
              </w:rPr>
            </w:pPr>
            <w:r>
              <w:rPr>
                <w:color w:val="auto"/>
                <w:szCs w:val="21"/>
              </w:rPr>
              <w:t>/</w:t>
            </w:r>
          </w:p>
        </w:tc>
        <w:tc>
          <w:tcPr>
            <w:tcW w:w="4071" w:type="dxa"/>
            <w:tcBorders>
              <w:tl2br w:val="nil"/>
              <w:tr2bl w:val="nil"/>
            </w:tcBorders>
            <w:vAlign w:val="center"/>
          </w:tcPr>
          <w:p>
            <w:pPr>
              <w:jc w:val="center"/>
              <w:rPr>
                <w:color w:val="auto"/>
                <w:szCs w:val="21"/>
              </w:rPr>
            </w:pPr>
            <w:r>
              <w:rPr>
                <w:color w:val="auto"/>
                <w:szCs w:val="21"/>
              </w:rPr>
              <w:t>分类收集，及时清运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vMerge w:val="continue"/>
            <w:tcBorders>
              <w:tl2br w:val="nil"/>
              <w:tr2bl w:val="nil"/>
            </w:tcBorders>
            <w:vAlign w:val="center"/>
          </w:tcPr>
          <w:p>
            <w:pPr>
              <w:jc w:val="center"/>
              <w:rPr>
                <w:color w:val="auto"/>
                <w:szCs w:val="21"/>
              </w:rPr>
            </w:pPr>
          </w:p>
        </w:tc>
        <w:tc>
          <w:tcPr>
            <w:tcW w:w="1095" w:type="dxa"/>
            <w:tcBorders>
              <w:tl2br w:val="nil"/>
              <w:tr2bl w:val="nil"/>
            </w:tcBorders>
            <w:vAlign w:val="center"/>
          </w:tcPr>
          <w:p>
            <w:pPr>
              <w:ind w:left="2"/>
              <w:jc w:val="center"/>
              <w:rPr>
                <w:color w:val="auto"/>
                <w:szCs w:val="21"/>
              </w:rPr>
            </w:pPr>
            <w:r>
              <w:rPr>
                <w:color w:val="auto"/>
                <w:szCs w:val="21"/>
              </w:rPr>
              <w:t>危险废物环保措施</w:t>
            </w:r>
          </w:p>
        </w:tc>
        <w:tc>
          <w:tcPr>
            <w:tcW w:w="2167" w:type="dxa"/>
            <w:tcBorders>
              <w:tl2br w:val="nil"/>
              <w:tr2bl w:val="nil"/>
            </w:tcBorders>
            <w:vAlign w:val="center"/>
          </w:tcPr>
          <w:p>
            <w:pPr>
              <w:ind w:left="2"/>
              <w:jc w:val="center"/>
              <w:rPr>
                <w:color w:val="auto"/>
                <w:szCs w:val="21"/>
              </w:rPr>
            </w:pPr>
            <w:r>
              <w:rPr>
                <w:color w:val="auto"/>
                <w:szCs w:val="21"/>
              </w:rPr>
              <w:t>危废暂存间</w:t>
            </w:r>
          </w:p>
        </w:tc>
        <w:tc>
          <w:tcPr>
            <w:tcW w:w="951" w:type="dxa"/>
            <w:tcBorders>
              <w:tl2br w:val="nil"/>
              <w:tr2bl w:val="nil"/>
            </w:tcBorders>
            <w:vAlign w:val="center"/>
          </w:tcPr>
          <w:p>
            <w:pPr>
              <w:ind w:left="2"/>
              <w:jc w:val="center"/>
              <w:rPr>
                <w:color w:val="auto"/>
                <w:szCs w:val="21"/>
              </w:rPr>
            </w:pPr>
            <w:r>
              <w:rPr>
                <w:color w:val="auto"/>
                <w:szCs w:val="21"/>
              </w:rPr>
              <w:t>35㎡</w:t>
            </w:r>
          </w:p>
        </w:tc>
        <w:tc>
          <w:tcPr>
            <w:tcW w:w="4071" w:type="dxa"/>
            <w:tcBorders>
              <w:tl2br w:val="nil"/>
              <w:tr2bl w:val="nil"/>
            </w:tcBorders>
            <w:vAlign w:val="center"/>
          </w:tcPr>
          <w:p>
            <w:pPr>
              <w:jc w:val="center"/>
              <w:rPr>
                <w:color w:val="auto"/>
                <w:szCs w:val="21"/>
              </w:rPr>
            </w:pPr>
            <w:r>
              <w:rPr>
                <w:color w:val="auto"/>
                <w:szCs w:val="21"/>
              </w:rPr>
              <w:t>存放危险废物</w:t>
            </w:r>
          </w:p>
        </w:tc>
      </w:tr>
    </w:tbl>
    <w:p>
      <w:pPr>
        <w:pStyle w:val="7"/>
        <w:numPr>
          <w:ilvl w:val="2"/>
          <w:numId w:val="0"/>
        </w:numPr>
        <w:tabs>
          <w:tab w:val="clear" w:pos="720"/>
        </w:tabs>
        <w:spacing w:before="159" w:after="159"/>
        <w:rPr>
          <w:color w:val="auto"/>
        </w:rPr>
      </w:pPr>
      <w:bookmarkStart w:id="436" w:name="_Toc2379"/>
      <w:r>
        <w:rPr>
          <w:rFonts w:hint="eastAsia"/>
          <w:color w:val="auto"/>
        </w:rPr>
        <w:t xml:space="preserve">4.2.2  </w:t>
      </w:r>
      <w:r>
        <w:rPr>
          <w:color w:val="auto"/>
        </w:rPr>
        <w:t>项目平面布局</w:t>
      </w:r>
      <w:bookmarkEnd w:id="435"/>
      <w:bookmarkEnd w:id="436"/>
    </w:p>
    <w:p>
      <w:pPr>
        <w:pStyle w:val="32"/>
        <w:spacing w:line="360" w:lineRule="auto"/>
        <w:ind w:firstLine="480" w:firstLineChars="200"/>
        <w:rPr>
          <w:color w:val="auto"/>
        </w:rPr>
      </w:pPr>
      <w:r>
        <w:rPr>
          <w:color w:val="auto"/>
        </w:rPr>
        <w:t>项目总占地面积</w:t>
      </w:r>
      <w:r>
        <w:rPr>
          <w:rFonts w:hint="eastAsia"/>
          <w:color w:val="auto"/>
        </w:rPr>
        <w:t>12108</w:t>
      </w:r>
      <w:r>
        <w:rPr>
          <w:color w:val="auto"/>
        </w:rPr>
        <w:t>m</w:t>
      </w:r>
      <w:r>
        <w:rPr>
          <w:color w:val="auto"/>
          <w:vertAlign w:val="superscript"/>
        </w:rPr>
        <w:t>2</w:t>
      </w:r>
      <w:r>
        <w:rPr>
          <w:color w:val="auto"/>
        </w:rPr>
        <w:t>，总建筑面积</w:t>
      </w:r>
      <w:r>
        <w:rPr>
          <w:rFonts w:hint="eastAsia"/>
          <w:color w:val="auto"/>
        </w:rPr>
        <w:t>12108</w:t>
      </w:r>
      <w:r>
        <w:rPr>
          <w:color w:val="auto"/>
        </w:rPr>
        <w:t>m</w:t>
      </w:r>
      <w:r>
        <w:rPr>
          <w:color w:val="auto"/>
          <w:vertAlign w:val="superscript"/>
        </w:rPr>
        <w:t>2</w:t>
      </w:r>
      <w:r>
        <w:rPr>
          <w:color w:val="auto"/>
        </w:rPr>
        <w:t xml:space="preserve">，项目各部分及其功能布局介绍如下。 </w:t>
      </w:r>
    </w:p>
    <w:p>
      <w:pPr>
        <w:spacing w:line="360" w:lineRule="auto"/>
        <w:ind w:firstLine="480" w:firstLineChars="200"/>
        <w:rPr>
          <w:color w:val="auto"/>
          <w:sz w:val="24"/>
        </w:rPr>
      </w:pPr>
      <w:r>
        <w:rPr>
          <w:color w:val="auto"/>
          <w:sz w:val="24"/>
        </w:rPr>
        <w:t>1、</w:t>
      </w:r>
      <w:r>
        <w:rPr>
          <w:rFonts w:hint="eastAsia"/>
          <w:color w:val="auto"/>
          <w:sz w:val="24"/>
        </w:rPr>
        <w:t>卷材生产区</w:t>
      </w:r>
      <w:r>
        <w:rPr>
          <w:color w:val="auto"/>
          <w:sz w:val="24"/>
        </w:rPr>
        <w:t xml:space="preserve"> </w:t>
      </w:r>
    </w:p>
    <w:p>
      <w:pPr>
        <w:spacing w:line="360" w:lineRule="auto"/>
        <w:ind w:firstLine="480" w:firstLineChars="200"/>
        <w:rPr>
          <w:color w:val="auto"/>
          <w:sz w:val="24"/>
        </w:rPr>
      </w:pPr>
      <w:r>
        <w:rPr>
          <w:color w:val="auto"/>
          <w:sz w:val="24"/>
        </w:rPr>
        <w:t>本项目卷材生产区位于项目北侧</w:t>
      </w:r>
      <w:r>
        <w:rPr>
          <w:color w:val="auto"/>
          <w:kern w:val="0"/>
          <w:sz w:val="24"/>
        </w:rPr>
        <w:t>，在办公区的东北方向，与原料堆放区相邻</w:t>
      </w:r>
      <w:r>
        <w:rPr>
          <w:color w:val="auto"/>
          <w:sz w:val="24"/>
        </w:rPr>
        <w:t>。沿车间走向放置1条卷材生产线，在区域北侧放置生产线辅佐的设施，区域内的其余地方空置，方便人员行走和货物的转运。</w:t>
      </w:r>
    </w:p>
    <w:p>
      <w:pPr>
        <w:spacing w:line="360" w:lineRule="auto"/>
        <w:ind w:firstLine="480" w:firstLineChars="200"/>
        <w:rPr>
          <w:color w:val="auto"/>
          <w:sz w:val="24"/>
        </w:rPr>
      </w:pPr>
      <w:r>
        <w:rPr>
          <w:color w:val="auto"/>
          <w:sz w:val="24"/>
        </w:rPr>
        <w:t xml:space="preserve">2、原料堆放区 </w:t>
      </w:r>
    </w:p>
    <w:p>
      <w:pPr>
        <w:spacing w:line="360" w:lineRule="auto"/>
        <w:ind w:firstLine="480" w:firstLineChars="200"/>
        <w:rPr>
          <w:color w:val="auto"/>
          <w:sz w:val="24"/>
        </w:rPr>
      </w:pPr>
      <w:r>
        <w:rPr>
          <w:color w:val="auto"/>
          <w:sz w:val="24"/>
        </w:rPr>
        <w:t>原料堆放区位于厂区的中部，正对着厂门</w:t>
      </w:r>
      <w:r>
        <w:rPr>
          <w:rFonts w:hint="eastAsia"/>
          <w:color w:val="auto"/>
          <w:sz w:val="24"/>
        </w:rPr>
        <w:t>有道路进入其中</w:t>
      </w:r>
      <w:r>
        <w:rPr>
          <w:color w:val="auto"/>
          <w:sz w:val="24"/>
        </w:rPr>
        <w:t>，货车可以直接行使入内进行装卸。方便货物的运转，也方便生产时取料。原料堆放区内基本空置，不摆放设备或装置，</w:t>
      </w:r>
      <w:r>
        <w:rPr>
          <w:rFonts w:hint="eastAsia"/>
          <w:color w:val="auto"/>
          <w:sz w:val="24"/>
        </w:rPr>
        <w:t>建设单位</w:t>
      </w:r>
      <w:r>
        <w:rPr>
          <w:color w:val="auto"/>
          <w:sz w:val="24"/>
        </w:rPr>
        <w:t>拟在地上划线以将各种原料分类堆放，可使项目内更为整洁，也在一定程度上提高项目的工作效率。</w:t>
      </w:r>
    </w:p>
    <w:p>
      <w:pPr>
        <w:spacing w:line="360" w:lineRule="auto"/>
        <w:ind w:firstLine="480" w:firstLineChars="200"/>
        <w:rPr>
          <w:color w:val="auto"/>
          <w:sz w:val="24"/>
        </w:rPr>
      </w:pPr>
      <w:r>
        <w:rPr>
          <w:color w:val="auto"/>
          <w:sz w:val="24"/>
        </w:rPr>
        <w:t>3、</w:t>
      </w:r>
      <w:r>
        <w:rPr>
          <w:rFonts w:hint="eastAsia"/>
          <w:color w:val="auto"/>
          <w:sz w:val="24"/>
        </w:rPr>
        <w:t>湿式破碎区</w:t>
      </w:r>
    </w:p>
    <w:p>
      <w:pPr>
        <w:spacing w:line="360" w:lineRule="auto"/>
        <w:ind w:firstLine="480" w:firstLineChars="200"/>
        <w:rPr>
          <w:color w:val="auto"/>
          <w:sz w:val="24"/>
        </w:rPr>
      </w:pPr>
      <w:r>
        <w:rPr>
          <w:rFonts w:hint="eastAsia"/>
          <w:color w:val="auto"/>
          <w:sz w:val="24"/>
        </w:rPr>
        <w:t>分两部分，分别位于厂区的东南部和西南部，分别沿车间走向并排摆放着4条线湿式破碎生产线。每条破碎线各有一级破碎机1台，二级破碎机3台，10个分选摇床和1个二级滤水池。此外项目在该区域的东南面设置了废水处理设备，用于生产废水处理，处理后回用，不外排。</w:t>
      </w:r>
    </w:p>
    <w:p>
      <w:pPr>
        <w:spacing w:line="360" w:lineRule="auto"/>
        <w:ind w:firstLine="480" w:firstLineChars="200"/>
        <w:rPr>
          <w:color w:val="auto"/>
          <w:sz w:val="24"/>
        </w:rPr>
      </w:pPr>
      <w:r>
        <w:rPr>
          <w:rFonts w:hint="eastAsia"/>
          <w:color w:val="auto"/>
          <w:sz w:val="24"/>
        </w:rPr>
        <w:t>4、树脂粉暂存间</w:t>
      </w:r>
    </w:p>
    <w:p>
      <w:pPr>
        <w:spacing w:line="360" w:lineRule="auto"/>
        <w:ind w:firstLine="480" w:firstLineChars="200"/>
        <w:rPr>
          <w:color w:val="auto"/>
          <w:sz w:val="24"/>
        </w:rPr>
      </w:pPr>
      <w:r>
        <w:rPr>
          <w:rFonts w:hint="eastAsia"/>
          <w:color w:val="auto"/>
          <w:sz w:val="24"/>
        </w:rPr>
        <w:t>树脂粉暂存间位于原料堆放区的东北角，在项目的内核部位，位于湿式破碎区和卷材生产区的链接线上，主要用于暂时存放从湿式破碎生产线筛选出来的树脂粉。树脂粉主要通过传送带运输，自动化程度高，可有效提升项目的工作效率。</w:t>
      </w:r>
    </w:p>
    <w:p>
      <w:pPr>
        <w:spacing w:line="360" w:lineRule="auto"/>
        <w:ind w:firstLine="480" w:firstLineChars="200"/>
        <w:rPr>
          <w:color w:val="auto"/>
          <w:sz w:val="24"/>
        </w:rPr>
      </w:pPr>
      <w:r>
        <w:rPr>
          <w:rFonts w:hint="eastAsia"/>
          <w:color w:val="auto"/>
          <w:sz w:val="24"/>
        </w:rPr>
        <w:t>5、办公区</w:t>
      </w:r>
    </w:p>
    <w:p>
      <w:pPr>
        <w:spacing w:line="360" w:lineRule="auto"/>
        <w:ind w:firstLine="480" w:firstLineChars="200"/>
        <w:rPr>
          <w:color w:val="auto"/>
          <w:sz w:val="24"/>
        </w:rPr>
      </w:pPr>
      <w:r>
        <w:rPr>
          <w:rFonts w:hint="eastAsia"/>
          <w:color w:val="auto"/>
          <w:sz w:val="24"/>
        </w:rPr>
        <w:t xml:space="preserve">办公区位于项目西面角落，独立于项目的生产车间，办公人员可方便出入，且无需经过生产车间和仓库。主要为厂区对外业务经营、生产管理、安排生产调度、日常行政办公场所，该布局方式可以便于行政人员直接进入及对外事务的进行。 </w:t>
      </w:r>
    </w:p>
    <w:p>
      <w:pPr>
        <w:spacing w:line="360" w:lineRule="auto"/>
        <w:ind w:firstLine="480" w:firstLineChars="200"/>
        <w:rPr>
          <w:color w:val="auto"/>
          <w:sz w:val="24"/>
        </w:rPr>
      </w:pPr>
      <w:r>
        <w:rPr>
          <w:rFonts w:hint="eastAsia"/>
          <w:color w:val="auto"/>
          <w:sz w:val="24"/>
        </w:rPr>
        <w:t>6</w:t>
      </w:r>
      <w:r>
        <w:rPr>
          <w:color w:val="auto"/>
          <w:sz w:val="24"/>
        </w:rPr>
        <w:t xml:space="preserve">、环保设施 </w:t>
      </w:r>
    </w:p>
    <w:p>
      <w:pPr>
        <w:spacing w:line="360" w:lineRule="auto"/>
        <w:ind w:firstLine="480" w:firstLineChars="200"/>
        <w:rPr>
          <w:color w:val="auto"/>
          <w:sz w:val="24"/>
        </w:rPr>
      </w:pPr>
      <w:r>
        <w:rPr>
          <w:color w:val="auto"/>
          <w:sz w:val="24"/>
        </w:rPr>
        <w:t>本</w:t>
      </w:r>
      <w:r>
        <w:rPr>
          <w:rFonts w:hint="eastAsia"/>
          <w:color w:val="auto"/>
          <w:sz w:val="24"/>
        </w:rPr>
        <w:t>项目拟于厂区西面边界处设置废水排放口DW001，排放口与工业园的管网相连，污水可经过排放口进入工业园管网，最后排至石角污水处理厂处理。</w:t>
      </w:r>
    </w:p>
    <w:p>
      <w:pPr>
        <w:spacing w:line="360" w:lineRule="auto"/>
        <w:ind w:firstLine="480" w:firstLineChars="200"/>
        <w:rPr>
          <w:color w:val="auto"/>
          <w:sz w:val="24"/>
        </w:rPr>
      </w:pPr>
      <w:r>
        <w:rPr>
          <w:rFonts w:hint="eastAsia"/>
          <w:color w:val="auto"/>
          <w:sz w:val="24"/>
        </w:rPr>
        <w:t>项目的排放口G1主要排放卷材生产线废气，设立在项目北面角落。排放口G2主要排放湿式破碎生产线中“一破工序”产生的粉尘，设立在湿式破碎车间的北面角落。</w:t>
      </w:r>
    </w:p>
    <w:p>
      <w:pPr>
        <w:spacing w:line="360" w:lineRule="auto"/>
        <w:ind w:firstLine="480" w:firstLineChars="200"/>
        <w:rPr>
          <w:color w:val="auto"/>
          <w:sz w:val="24"/>
        </w:rPr>
      </w:pPr>
      <w:r>
        <w:rPr>
          <w:color w:val="auto"/>
          <w:sz w:val="24"/>
        </w:rPr>
        <w:t>危废暂存间拟设立在</w:t>
      </w:r>
      <w:r>
        <w:rPr>
          <w:rFonts w:hint="eastAsia"/>
          <w:color w:val="auto"/>
          <w:sz w:val="24"/>
        </w:rPr>
        <w:t>树脂粉仓库的东面，原料堆放区的南面</w:t>
      </w:r>
      <w:r>
        <w:rPr>
          <w:color w:val="auto"/>
          <w:sz w:val="24"/>
        </w:rPr>
        <w:t>，用于临时存放危险废物。危废暂存间与办公室有一定距离，可避免无关人员不必要的接触。</w:t>
      </w:r>
      <w:r>
        <w:rPr>
          <w:rFonts w:hint="eastAsia"/>
          <w:color w:val="auto"/>
          <w:sz w:val="24"/>
        </w:rPr>
        <w:t>由于该位置位于项目的中心部位，上有完好的屋顶遮盖，可有效避免风吹雨打；下有混凝土地面防渗防漏，</w:t>
      </w:r>
      <w:r>
        <w:rPr>
          <w:color w:val="auto"/>
          <w:sz w:val="24"/>
        </w:rPr>
        <w:t xml:space="preserve">能有效避免危险废物外泄。  </w:t>
      </w:r>
    </w:p>
    <w:p>
      <w:pPr>
        <w:spacing w:line="360" w:lineRule="auto"/>
        <w:ind w:firstLine="480" w:firstLineChars="200"/>
        <w:rPr>
          <w:color w:val="auto"/>
          <w:sz w:val="24"/>
        </w:rPr>
      </w:pPr>
      <w:r>
        <w:rPr>
          <w:rFonts w:hint="eastAsia"/>
          <w:color w:val="auto"/>
          <w:sz w:val="24"/>
        </w:rPr>
        <w:t>7</w:t>
      </w:r>
      <w:r>
        <w:rPr>
          <w:color w:val="auto"/>
          <w:sz w:val="24"/>
        </w:rPr>
        <w:t xml:space="preserve">、交通布局 </w:t>
      </w:r>
    </w:p>
    <w:p>
      <w:pPr>
        <w:spacing w:line="360" w:lineRule="auto"/>
        <w:ind w:firstLine="480" w:firstLineChars="200"/>
        <w:rPr>
          <w:color w:val="auto"/>
          <w:sz w:val="24"/>
        </w:rPr>
      </w:pPr>
      <w:r>
        <w:rPr>
          <w:color w:val="auto"/>
          <w:sz w:val="24"/>
        </w:rPr>
        <w:t>本项目厂区</w:t>
      </w:r>
      <w:r>
        <w:rPr>
          <w:rFonts w:hint="eastAsia"/>
          <w:color w:val="auto"/>
          <w:sz w:val="24"/>
        </w:rPr>
        <w:t>西</w:t>
      </w:r>
      <w:r>
        <w:rPr>
          <w:color w:val="auto"/>
          <w:sz w:val="24"/>
        </w:rPr>
        <w:t>面</w:t>
      </w:r>
      <w:r>
        <w:rPr>
          <w:rFonts w:hint="eastAsia"/>
          <w:color w:val="auto"/>
          <w:sz w:val="24"/>
        </w:rPr>
        <w:t>为混凝土浇筑的空地，地块长约110m，宽约50m。十分方便各种车辆的行驶、掉头和停放，</w:t>
      </w:r>
      <w:r>
        <w:rPr>
          <w:color w:val="auto"/>
          <w:sz w:val="24"/>
        </w:rPr>
        <w:t>可满足日常的生产需要。遇突发事故时，各类车辆能顺利进入厂区抢险救急，也能及时疏散人员</w:t>
      </w:r>
      <w:r>
        <w:rPr>
          <w:rFonts w:hint="eastAsia"/>
          <w:color w:val="auto"/>
          <w:sz w:val="24"/>
        </w:rPr>
        <w:t>并作为人员集合点</w:t>
      </w:r>
      <w:r>
        <w:rPr>
          <w:color w:val="auto"/>
          <w:sz w:val="24"/>
        </w:rPr>
        <w:t>。</w:t>
      </w:r>
    </w:p>
    <w:p>
      <w:pPr>
        <w:spacing w:line="360" w:lineRule="auto"/>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综上所述，本项目总平面布局合理。项目的平面布局情况如下图。</w:t>
      </w:r>
    </w:p>
    <w:p>
      <w:pPr>
        <w:pStyle w:val="32"/>
        <w:ind w:left="6" w:leftChars="-400" w:hanging="846" w:hangingChars="351"/>
        <w:jc w:val="center"/>
        <w:rPr>
          <w:b/>
          <w:bCs/>
          <w:color w:val="auto"/>
        </w:rPr>
      </w:pPr>
      <w:r>
        <w:rPr>
          <w:b/>
          <w:bCs/>
          <w:color w:val="auto"/>
        </w:rPr>
        <w:drawing>
          <wp:inline distT="0" distB="0" distL="114300" distR="114300">
            <wp:extent cx="7144385" cy="5627370"/>
            <wp:effectExtent l="0" t="0" r="18415" b="11430"/>
            <wp:docPr id="84" name="图片 84" descr="车间布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车间布局1"/>
                    <pic:cNvPicPr>
                      <a:picLocks noChangeAspect="1"/>
                    </pic:cNvPicPr>
                  </pic:nvPicPr>
                  <pic:blipFill>
                    <a:blip r:embed="rId56"/>
                    <a:stretch>
                      <a:fillRect/>
                    </a:stretch>
                  </pic:blipFill>
                  <pic:spPr>
                    <a:xfrm>
                      <a:off x="0" y="0"/>
                      <a:ext cx="7144385" cy="5627370"/>
                    </a:xfrm>
                    <a:prstGeom prst="rect">
                      <a:avLst/>
                    </a:prstGeom>
                  </pic:spPr>
                </pic:pic>
              </a:graphicData>
            </a:graphic>
          </wp:inline>
        </w:drawing>
      </w:r>
      <w:r>
        <w:rPr>
          <w:b/>
          <w:bCs/>
          <w:color w:val="auto"/>
        </w:rPr>
        <w:t xml:space="preserve"> </w:t>
      </w:r>
      <w:r>
        <w:rPr>
          <w:rFonts w:hint="eastAsia"/>
          <w:b/>
          <w:bCs/>
          <w:color w:val="auto"/>
        </w:rPr>
        <w:t xml:space="preserve"> </w:t>
      </w:r>
    </w:p>
    <w:p>
      <w:pPr>
        <w:pStyle w:val="32"/>
        <w:ind w:left="6" w:leftChars="-400" w:hanging="846" w:hangingChars="351"/>
        <w:jc w:val="center"/>
        <w:rPr>
          <w:b/>
          <w:bCs/>
          <w:color w:val="auto"/>
        </w:rPr>
      </w:pPr>
      <w:r>
        <w:rPr>
          <w:b/>
          <w:bCs/>
          <w:color w:val="auto"/>
        </w:rPr>
        <w:t>图</w:t>
      </w:r>
      <w:r>
        <w:rPr>
          <w:rFonts w:hint="eastAsia"/>
          <w:b/>
          <w:bCs/>
          <w:color w:val="auto"/>
        </w:rPr>
        <w:t>4</w:t>
      </w:r>
      <w:r>
        <w:rPr>
          <w:b/>
          <w:bCs/>
          <w:color w:val="auto"/>
        </w:rPr>
        <w:t>.2-1</w:t>
      </w:r>
      <w:r>
        <w:rPr>
          <w:rFonts w:hint="eastAsia"/>
          <w:b/>
          <w:bCs/>
          <w:color w:val="auto"/>
          <w:lang w:val="en-US" w:eastAsia="zh-CN"/>
        </w:rPr>
        <w:t xml:space="preserve">  </w:t>
      </w:r>
      <w:r>
        <w:rPr>
          <w:b/>
          <w:bCs/>
          <w:color w:val="auto"/>
        </w:rPr>
        <w:t>项目平面布局图</w:t>
      </w:r>
    </w:p>
    <w:p>
      <w:pPr>
        <w:pStyle w:val="32"/>
        <w:rPr>
          <w:rFonts w:eastAsia="仿宋_GB2312"/>
          <w:color w:val="auto"/>
        </w:rPr>
        <w:sectPr>
          <w:pgSz w:w="16838" w:h="11906" w:orient="landscape"/>
          <w:pgMar w:top="118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p>
    <w:p>
      <w:pPr>
        <w:pStyle w:val="7"/>
        <w:numPr>
          <w:ilvl w:val="2"/>
          <w:numId w:val="0"/>
        </w:numPr>
        <w:tabs>
          <w:tab w:val="clear" w:pos="720"/>
        </w:tabs>
        <w:spacing w:before="159" w:after="159"/>
        <w:rPr>
          <w:color w:val="auto"/>
        </w:rPr>
      </w:pPr>
      <w:bookmarkStart w:id="437" w:name="_Toc24463"/>
      <w:bookmarkStart w:id="438" w:name="_Toc6363"/>
      <w:r>
        <w:rPr>
          <w:rFonts w:hint="eastAsia"/>
          <w:color w:val="auto"/>
        </w:rPr>
        <w:t xml:space="preserve">4.2.3  </w:t>
      </w:r>
      <w:r>
        <w:rPr>
          <w:color w:val="auto"/>
        </w:rPr>
        <w:t>公辅设施</w:t>
      </w:r>
      <w:bookmarkEnd w:id="437"/>
      <w:bookmarkEnd w:id="438"/>
    </w:p>
    <w:p>
      <w:pPr>
        <w:pStyle w:val="32"/>
        <w:spacing w:line="360" w:lineRule="auto"/>
        <w:ind w:firstLine="480" w:firstLineChars="200"/>
        <w:rPr>
          <w:color w:val="auto"/>
        </w:rPr>
      </w:pPr>
      <w:r>
        <w:rPr>
          <w:color w:val="auto"/>
        </w:rPr>
        <w:t>1、电力系统</w:t>
      </w:r>
    </w:p>
    <w:p>
      <w:pPr>
        <w:pStyle w:val="32"/>
        <w:spacing w:line="360" w:lineRule="auto"/>
        <w:ind w:firstLine="480" w:firstLineChars="200"/>
        <w:rPr>
          <w:color w:val="auto"/>
        </w:rPr>
      </w:pPr>
      <w:r>
        <w:rPr>
          <w:color w:val="auto"/>
        </w:rPr>
        <w:t>建设地点厂区现有10KV供电线路向厂区供电。厂区</w:t>
      </w:r>
      <w:r>
        <w:rPr>
          <w:rFonts w:hint="eastAsia"/>
          <w:color w:val="auto"/>
        </w:rPr>
        <w:t>外的</w:t>
      </w:r>
      <w:r>
        <w:rPr>
          <w:color w:val="auto"/>
        </w:rPr>
        <w:t>配电室现有400KVA变压器一台，1250KVA变压器一台，目前用电负荷有余量，可以满足本项目生产需要。本项目年用电量为35万度，不设备用发电机。电力系统不在本次</w:t>
      </w:r>
      <w:r>
        <w:rPr>
          <w:rFonts w:hint="eastAsia"/>
          <w:color w:val="auto"/>
        </w:rPr>
        <w:t>建设</w:t>
      </w:r>
      <w:r>
        <w:rPr>
          <w:color w:val="auto"/>
        </w:rPr>
        <w:t>之列。</w:t>
      </w:r>
    </w:p>
    <w:p>
      <w:pPr>
        <w:pStyle w:val="32"/>
        <w:spacing w:line="360" w:lineRule="auto"/>
        <w:ind w:firstLine="480" w:firstLineChars="200"/>
        <w:rPr>
          <w:color w:val="auto"/>
        </w:rPr>
      </w:pPr>
      <w:r>
        <w:rPr>
          <w:color w:val="auto"/>
        </w:rPr>
        <w:t>2、供热系统</w:t>
      </w:r>
    </w:p>
    <w:p>
      <w:pPr>
        <w:spacing w:line="360" w:lineRule="auto"/>
        <w:ind w:firstLine="424" w:firstLineChars="177"/>
        <w:rPr>
          <w:color w:val="auto"/>
          <w:sz w:val="24"/>
        </w:rPr>
      </w:pPr>
      <w:r>
        <w:rPr>
          <w:color w:val="auto"/>
          <w:sz w:val="24"/>
        </w:rPr>
        <w:t>（1）系统概况</w:t>
      </w:r>
    </w:p>
    <w:p>
      <w:pPr>
        <w:spacing w:line="360" w:lineRule="auto"/>
        <w:ind w:firstLine="424" w:firstLineChars="177"/>
        <w:rPr>
          <w:color w:val="auto"/>
          <w:sz w:val="24"/>
        </w:rPr>
      </w:pPr>
      <w:r>
        <w:rPr>
          <w:color w:val="auto"/>
          <w:sz w:val="24"/>
        </w:rPr>
        <w:t>项目主要供热来源于</w:t>
      </w:r>
      <w:r>
        <w:rPr>
          <w:rFonts w:hint="eastAsia"/>
          <w:color w:val="auto"/>
          <w:sz w:val="24"/>
        </w:rPr>
        <w:t>导热油炉</w:t>
      </w:r>
      <w:r>
        <w:rPr>
          <w:color w:val="auto"/>
          <w:sz w:val="24"/>
        </w:rPr>
        <w:t>。主要用于卷材生产线（树脂粉烘干、基体烘干、沥青储罐预热、配料等），额定热负荷为120万大卡</w:t>
      </w:r>
      <w:r>
        <w:rPr>
          <w:rFonts w:hint="eastAsia"/>
          <w:color w:val="auto"/>
          <w:sz w:val="24"/>
        </w:rPr>
        <w:t>，折合2t/h</w:t>
      </w:r>
      <w:r>
        <w:rPr>
          <w:color w:val="auto"/>
          <w:sz w:val="24"/>
        </w:rPr>
        <w:t>。主要采用管道天然气作为燃料，设计约需天然气</w:t>
      </w:r>
      <w:r>
        <w:rPr>
          <w:rFonts w:hint="eastAsia"/>
          <w:color w:val="auto"/>
          <w:sz w:val="24"/>
          <w:lang w:val="en-US" w:eastAsia="zh-CN"/>
        </w:rPr>
        <w:t>110</w:t>
      </w:r>
      <w:r>
        <w:rPr>
          <w:color w:val="auto"/>
          <w:sz w:val="24"/>
        </w:rPr>
        <w:t>万m³/a。加热介质为导热油。</w:t>
      </w:r>
    </w:p>
    <w:p>
      <w:pPr>
        <w:pStyle w:val="32"/>
        <w:spacing w:line="360" w:lineRule="auto"/>
        <w:ind w:firstLine="480" w:firstLineChars="200"/>
        <w:rPr>
          <w:color w:val="auto"/>
        </w:rPr>
      </w:pPr>
      <w:r>
        <w:rPr>
          <w:color w:val="auto"/>
        </w:rPr>
        <w:t>（2）热力管网的设置情况</w:t>
      </w:r>
    </w:p>
    <w:p>
      <w:pPr>
        <w:spacing w:line="360" w:lineRule="auto"/>
        <w:ind w:firstLine="480" w:firstLineChars="200"/>
        <w:rPr>
          <w:color w:val="auto"/>
          <w:sz w:val="24"/>
        </w:rPr>
      </w:pPr>
      <w:r>
        <w:rPr>
          <w:color w:val="auto"/>
          <w:sz w:val="24"/>
        </w:rPr>
        <w:t>1、设计原则</w:t>
      </w:r>
    </w:p>
    <w:p>
      <w:pPr>
        <w:spacing w:line="360" w:lineRule="auto"/>
        <w:ind w:firstLine="480" w:firstLineChars="200"/>
        <w:rPr>
          <w:color w:val="auto"/>
          <w:sz w:val="24"/>
        </w:rPr>
      </w:pPr>
      <w:r>
        <w:rPr>
          <w:color w:val="auto"/>
          <w:sz w:val="24"/>
        </w:rPr>
        <w:t>严格执行现行国家标准，合理设置外管规格，优化管道流程，节约管道占位宽度，新建管廊合理预留位置和载荷。</w:t>
      </w:r>
    </w:p>
    <w:p>
      <w:pPr>
        <w:spacing w:line="360" w:lineRule="auto"/>
        <w:ind w:firstLine="480" w:firstLineChars="200"/>
        <w:rPr>
          <w:color w:val="auto"/>
          <w:sz w:val="24"/>
        </w:rPr>
      </w:pPr>
      <w:r>
        <w:rPr>
          <w:color w:val="auto"/>
          <w:sz w:val="24"/>
        </w:rPr>
        <w:t>①管道敷设原则</w:t>
      </w:r>
    </w:p>
    <w:p>
      <w:pPr>
        <w:spacing w:line="360" w:lineRule="auto"/>
        <w:ind w:firstLine="480" w:firstLineChars="200"/>
        <w:rPr>
          <w:color w:val="auto"/>
          <w:sz w:val="24"/>
        </w:rPr>
      </w:pPr>
      <w:r>
        <w:rPr>
          <w:color w:val="auto"/>
          <w:sz w:val="24"/>
        </w:rPr>
        <w:t>本项目管道的敷设方式应符合相关规范要求，新建管廊采用钢结构管架。管廊设计与管道敷设的一般原则为：</w:t>
      </w:r>
    </w:p>
    <w:p>
      <w:pPr>
        <w:spacing w:line="360" w:lineRule="auto"/>
        <w:ind w:firstLine="480" w:firstLineChars="200"/>
        <w:rPr>
          <w:color w:val="auto"/>
          <w:sz w:val="24"/>
        </w:rPr>
      </w:pPr>
      <w:r>
        <w:rPr>
          <w:color w:val="auto"/>
          <w:sz w:val="24"/>
        </w:rPr>
        <w:t>A、新建管廊高度取决于其经过地点的具体情况。一般净空高度为：工厂主干道不小于5.0m；工厂一般道路不小于4.5m；管廊下方人员通行便道不小于2.2m。</w:t>
      </w:r>
    </w:p>
    <w:p>
      <w:pPr>
        <w:spacing w:line="360" w:lineRule="auto"/>
        <w:ind w:firstLine="480" w:firstLineChars="200"/>
        <w:rPr>
          <w:color w:val="auto"/>
          <w:sz w:val="24"/>
        </w:rPr>
      </w:pPr>
      <w:r>
        <w:rPr>
          <w:color w:val="auto"/>
          <w:sz w:val="24"/>
        </w:rPr>
        <w:t>B、在不会影响厂区交通如沿工厂边缘或罐区，从经济性和检修方便考虑，可用管墩敷设，离地面净高300～500mm。</w:t>
      </w:r>
    </w:p>
    <w:p>
      <w:pPr>
        <w:spacing w:line="360" w:lineRule="auto"/>
        <w:ind w:firstLine="480" w:firstLineChars="200"/>
        <w:rPr>
          <w:color w:val="auto"/>
          <w:sz w:val="24"/>
        </w:rPr>
      </w:pPr>
      <w:r>
        <w:rPr>
          <w:color w:val="auto"/>
          <w:sz w:val="24"/>
        </w:rPr>
        <w:t>C、对于多层管廊，层间距一般为1.5～2.0m，取决于管廊上最大管道的直径。</w:t>
      </w:r>
    </w:p>
    <w:p>
      <w:pPr>
        <w:spacing w:line="360" w:lineRule="auto"/>
        <w:ind w:firstLine="480" w:firstLineChars="200"/>
        <w:rPr>
          <w:color w:val="auto"/>
          <w:sz w:val="24"/>
        </w:rPr>
      </w:pPr>
      <w:r>
        <w:rPr>
          <w:color w:val="auto"/>
          <w:sz w:val="24"/>
        </w:rPr>
        <w:t>D、管廊的宽度主要由管道的数量和管径的大小确定，并考虑一定的预留宽度，一般厂区公用管廊应留有15%的余量，并考虑其荷重。如果要求敷设仪表和电气电缆槽架，还应考虑它们所需的宽度以及仪表电缆槽架的检修通道。</w:t>
      </w:r>
    </w:p>
    <w:p>
      <w:pPr>
        <w:spacing w:line="360" w:lineRule="auto"/>
        <w:ind w:firstLine="480" w:firstLineChars="200"/>
        <w:rPr>
          <w:color w:val="auto"/>
          <w:sz w:val="24"/>
        </w:rPr>
      </w:pPr>
      <w:r>
        <w:rPr>
          <w:color w:val="auto"/>
          <w:sz w:val="24"/>
        </w:rPr>
        <w:t>E、若管廊改变方向或两管廊直角相交，其高差以800～1000mm为宜。</w:t>
      </w:r>
    </w:p>
    <w:p>
      <w:pPr>
        <w:spacing w:line="360" w:lineRule="auto"/>
        <w:ind w:firstLine="480" w:firstLineChars="200"/>
        <w:rPr>
          <w:color w:val="auto"/>
          <w:sz w:val="24"/>
        </w:rPr>
      </w:pPr>
      <w:r>
        <w:rPr>
          <w:color w:val="auto"/>
          <w:sz w:val="24"/>
        </w:rPr>
        <w:t>②管廊上管道布置的原则</w:t>
      </w:r>
    </w:p>
    <w:p>
      <w:pPr>
        <w:spacing w:line="360" w:lineRule="auto"/>
        <w:ind w:firstLine="480" w:firstLineChars="200"/>
        <w:rPr>
          <w:color w:val="auto"/>
          <w:sz w:val="24"/>
        </w:rPr>
      </w:pPr>
      <w:r>
        <w:rPr>
          <w:color w:val="auto"/>
          <w:sz w:val="24"/>
        </w:rPr>
        <w:t>A、大直径管道应靠近管廊柱子布置。</w:t>
      </w:r>
    </w:p>
    <w:p>
      <w:pPr>
        <w:spacing w:line="360" w:lineRule="auto"/>
        <w:ind w:firstLine="480" w:firstLineChars="200"/>
        <w:rPr>
          <w:color w:val="auto"/>
          <w:sz w:val="24"/>
        </w:rPr>
      </w:pPr>
      <w:r>
        <w:rPr>
          <w:color w:val="auto"/>
          <w:sz w:val="24"/>
        </w:rPr>
        <w:t>B、小直径、气体管道、公用工程管道宜布置在管廊中间。</w:t>
      </w:r>
    </w:p>
    <w:p>
      <w:pPr>
        <w:spacing w:line="360" w:lineRule="auto"/>
        <w:ind w:firstLine="480" w:firstLineChars="200"/>
        <w:rPr>
          <w:color w:val="auto"/>
          <w:sz w:val="24"/>
        </w:rPr>
      </w:pPr>
      <w:r>
        <w:rPr>
          <w:color w:val="auto"/>
          <w:sz w:val="24"/>
        </w:rPr>
        <w:t>C、需设置“Л”型补偿器的高温管道，应布置靠近柱子处，且宜集中布置。</w:t>
      </w:r>
    </w:p>
    <w:p>
      <w:pPr>
        <w:spacing w:line="360" w:lineRule="auto"/>
        <w:ind w:firstLine="480" w:firstLineChars="200"/>
        <w:rPr>
          <w:color w:val="auto"/>
          <w:sz w:val="24"/>
        </w:rPr>
      </w:pPr>
      <w:bookmarkStart w:id="439" w:name="_Hlk515203229"/>
      <w:r>
        <w:rPr>
          <w:color w:val="auto"/>
          <w:sz w:val="24"/>
        </w:rPr>
        <w:t>D、对于多层管廊，气体管道、热管道、公用工程管道、仪表和电气电缆槽架等宜布置在上层；一般工艺管道、腐蚀性介质管道等宜布置在下层。</w:t>
      </w:r>
      <w:bookmarkEnd w:id="439"/>
    </w:p>
    <w:p>
      <w:pPr>
        <w:pStyle w:val="32"/>
        <w:spacing w:line="360" w:lineRule="auto"/>
        <w:ind w:firstLine="480" w:firstLineChars="200"/>
        <w:rPr>
          <w:color w:val="auto"/>
        </w:rPr>
      </w:pPr>
      <w:r>
        <w:rPr>
          <w:color w:val="auto"/>
        </w:rPr>
        <w:t>3、通风系统</w:t>
      </w:r>
    </w:p>
    <w:p>
      <w:pPr>
        <w:spacing w:line="360" w:lineRule="auto"/>
        <w:ind w:left="113" w:firstLine="496" w:firstLineChars="207"/>
        <w:rPr>
          <w:color w:val="auto"/>
          <w:sz w:val="24"/>
        </w:rPr>
      </w:pPr>
      <w:r>
        <w:rPr>
          <w:color w:val="auto"/>
          <w:sz w:val="24"/>
        </w:rPr>
        <w:t>本项目</w:t>
      </w:r>
      <w:r>
        <w:rPr>
          <w:rFonts w:hint="eastAsia"/>
          <w:color w:val="auto"/>
          <w:sz w:val="24"/>
        </w:rPr>
        <w:t>湿式破碎生产区的一破工序处设有集气罩对废气进行收集。卷材生产线采用墙体进行围蔽，安装风机和排气管道，内设排气口和废气收集口，实现整室收集。</w:t>
      </w:r>
      <w:r>
        <w:rPr>
          <w:color w:val="auto"/>
          <w:sz w:val="24"/>
        </w:rPr>
        <w:t>办公</w:t>
      </w:r>
      <w:r>
        <w:rPr>
          <w:rFonts w:hint="eastAsia"/>
          <w:color w:val="auto"/>
          <w:sz w:val="24"/>
        </w:rPr>
        <w:t>室</w:t>
      </w:r>
      <w:r>
        <w:rPr>
          <w:color w:val="auto"/>
          <w:sz w:val="24"/>
        </w:rPr>
        <w:t>设置分体式空调。设备用房、卫生间等设置排风系统。</w:t>
      </w:r>
      <w:r>
        <w:rPr>
          <w:rFonts w:hint="eastAsia"/>
          <w:color w:val="auto"/>
          <w:sz w:val="24"/>
        </w:rPr>
        <w:t>其余区域</w:t>
      </w:r>
      <w:r>
        <w:rPr>
          <w:color w:val="auto"/>
          <w:sz w:val="24"/>
        </w:rPr>
        <w:t>采用自然通风的方式</w:t>
      </w:r>
      <w:r>
        <w:rPr>
          <w:rFonts w:hint="eastAsia"/>
          <w:color w:val="auto"/>
          <w:sz w:val="24"/>
        </w:rPr>
        <w:t>进行排风换气。</w:t>
      </w:r>
    </w:p>
    <w:p>
      <w:pPr>
        <w:pStyle w:val="32"/>
        <w:spacing w:line="360" w:lineRule="auto"/>
        <w:rPr>
          <w:color w:val="auto"/>
        </w:rPr>
      </w:pPr>
      <w:r>
        <w:rPr>
          <w:color w:val="auto"/>
        </w:rPr>
        <w:t xml:space="preserve">    4、给排水系统</w:t>
      </w:r>
    </w:p>
    <w:p>
      <w:pPr>
        <w:spacing w:line="360" w:lineRule="auto"/>
        <w:ind w:firstLine="480" w:firstLineChars="200"/>
        <w:rPr>
          <w:color w:val="auto"/>
          <w:sz w:val="24"/>
        </w:rPr>
      </w:pPr>
      <w:r>
        <w:rPr>
          <w:color w:val="auto"/>
          <w:sz w:val="24"/>
        </w:rPr>
        <w:t>（1）给水系统</w:t>
      </w:r>
    </w:p>
    <w:p>
      <w:pPr>
        <w:adjustRightInd w:val="0"/>
        <w:snapToGrid w:val="0"/>
        <w:spacing w:line="360" w:lineRule="auto"/>
        <w:ind w:firstLine="480" w:firstLineChars="200"/>
        <w:rPr>
          <w:color w:val="auto"/>
          <w:sz w:val="24"/>
        </w:rPr>
      </w:pPr>
      <w:bookmarkStart w:id="440" w:name="_Toc28537"/>
      <w:bookmarkStart w:id="441" w:name="_Toc16775"/>
      <w:r>
        <w:rPr>
          <w:color w:val="auto"/>
          <w:sz w:val="24"/>
        </w:rPr>
        <w:t>本项目用水包括生产用水、员工生活用水等。项目使用的新鲜水由市政自来水供水管网提供，经厂内供水管网送至各用水点。</w:t>
      </w:r>
      <w:r>
        <w:rPr>
          <w:rFonts w:hint="eastAsia"/>
          <w:color w:val="auto"/>
          <w:sz w:val="24"/>
        </w:rPr>
        <w:t>项目</w:t>
      </w:r>
      <w:r>
        <w:rPr>
          <w:color w:val="auto"/>
          <w:sz w:val="24"/>
        </w:rPr>
        <w:t>总新鲜用水为</w:t>
      </w:r>
      <w:r>
        <w:rPr>
          <w:rFonts w:hint="eastAsia"/>
          <w:color w:val="auto"/>
          <w:sz w:val="24"/>
        </w:rPr>
        <w:t>12091.2</w:t>
      </w:r>
      <w:r>
        <w:rPr>
          <w:color w:val="auto"/>
          <w:sz w:val="24"/>
        </w:rPr>
        <w:t>m</w:t>
      </w:r>
      <w:r>
        <w:rPr>
          <w:color w:val="auto"/>
          <w:sz w:val="24"/>
          <w:vertAlign w:val="superscript"/>
        </w:rPr>
        <w:t>3</w:t>
      </w:r>
      <w:r>
        <w:rPr>
          <w:color w:val="auto"/>
          <w:sz w:val="24"/>
        </w:rPr>
        <w:t>/a，其中员工生活用水</w:t>
      </w:r>
      <w:r>
        <w:rPr>
          <w:rFonts w:hint="eastAsia"/>
          <w:color w:val="auto"/>
          <w:sz w:val="24"/>
        </w:rPr>
        <w:t>792</w:t>
      </w:r>
      <w:r>
        <w:rPr>
          <w:color w:val="auto"/>
          <w:sz w:val="24"/>
        </w:rPr>
        <w:t>m</w:t>
      </w:r>
      <w:r>
        <w:rPr>
          <w:color w:val="auto"/>
          <w:sz w:val="24"/>
          <w:vertAlign w:val="superscript"/>
        </w:rPr>
        <w:t>3</w:t>
      </w:r>
      <w:r>
        <w:rPr>
          <w:color w:val="auto"/>
          <w:sz w:val="24"/>
        </w:rPr>
        <w:t>/a，</w:t>
      </w:r>
      <w:r>
        <w:rPr>
          <w:rFonts w:hint="eastAsia"/>
          <w:color w:val="auto"/>
          <w:sz w:val="24"/>
        </w:rPr>
        <w:t>湿式破碎生产线</w:t>
      </w:r>
      <w:r>
        <w:rPr>
          <w:color w:val="auto"/>
          <w:sz w:val="24"/>
        </w:rPr>
        <w:t>补充水</w:t>
      </w:r>
      <w:r>
        <w:rPr>
          <w:rFonts w:hint="eastAsia"/>
          <w:color w:val="auto"/>
          <w:sz w:val="24"/>
        </w:rPr>
        <w:t>8448</w:t>
      </w:r>
      <w:r>
        <w:rPr>
          <w:color w:val="auto"/>
          <w:sz w:val="24"/>
        </w:rPr>
        <w:t>m</w:t>
      </w:r>
      <w:r>
        <w:rPr>
          <w:color w:val="auto"/>
          <w:sz w:val="24"/>
          <w:vertAlign w:val="superscript"/>
        </w:rPr>
        <w:t>3</w:t>
      </w:r>
      <w:r>
        <w:rPr>
          <w:color w:val="auto"/>
          <w:sz w:val="24"/>
        </w:rPr>
        <w:t>/a</w:t>
      </w:r>
      <w:r>
        <w:rPr>
          <w:rFonts w:hint="eastAsia"/>
          <w:color w:val="auto"/>
          <w:sz w:val="24"/>
        </w:rPr>
        <w:t>，卷材生产线冷却补充水2851.2</w:t>
      </w:r>
      <w:r>
        <w:rPr>
          <w:color w:val="auto"/>
          <w:sz w:val="24"/>
        </w:rPr>
        <w:t>m</w:t>
      </w:r>
      <w:r>
        <w:rPr>
          <w:color w:val="auto"/>
          <w:sz w:val="24"/>
          <w:vertAlign w:val="superscript"/>
        </w:rPr>
        <w:t>3</w:t>
      </w:r>
      <w:r>
        <w:rPr>
          <w:color w:val="auto"/>
          <w:sz w:val="24"/>
        </w:rPr>
        <w:t>/a。</w:t>
      </w:r>
    </w:p>
    <w:p>
      <w:pPr>
        <w:spacing w:line="360" w:lineRule="auto"/>
        <w:ind w:firstLine="480" w:firstLineChars="200"/>
        <w:rPr>
          <w:color w:val="auto"/>
          <w:sz w:val="24"/>
        </w:rPr>
      </w:pPr>
      <w:r>
        <w:rPr>
          <w:color w:val="auto"/>
          <w:sz w:val="24"/>
        </w:rPr>
        <w:t>①员工生活用水：</w:t>
      </w:r>
      <w:r>
        <w:rPr>
          <w:rFonts w:hint="eastAsia"/>
          <w:color w:val="auto"/>
          <w:sz w:val="24"/>
        </w:rPr>
        <w:t>本</w:t>
      </w:r>
      <w:r>
        <w:rPr>
          <w:color w:val="auto"/>
          <w:sz w:val="24"/>
        </w:rPr>
        <w:t>项目</w:t>
      </w:r>
      <w:r>
        <w:rPr>
          <w:rFonts w:hint="eastAsia"/>
          <w:color w:val="auto"/>
          <w:sz w:val="24"/>
        </w:rPr>
        <w:t>迁改扩建后共</w:t>
      </w:r>
      <w:r>
        <w:rPr>
          <w:color w:val="auto"/>
          <w:sz w:val="24"/>
        </w:rPr>
        <w:t>有员工</w:t>
      </w:r>
      <w:r>
        <w:rPr>
          <w:rFonts w:hint="eastAsia"/>
          <w:color w:val="auto"/>
          <w:sz w:val="24"/>
        </w:rPr>
        <w:t>60</w:t>
      </w:r>
      <w:r>
        <w:rPr>
          <w:color w:val="auto"/>
          <w:sz w:val="24"/>
        </w:rPr>
        <w:t>人，均不在厂内食住，生活用水参照《广东省用水定额》（DB44T1461-2014）中表4城镇公共用水定额表，人均用水按40L/d（0.04m</w:t>
      </w:r>
      <w:r>
        <w:rPr>
          <w:color w:val="auto"/>
          <w:sz w:val="24"/>
          <w:vertAlign w:val="superscript"/>
        </w:rPr>
        <w:t>3</w:t>
      </w:r>
      <w:r>
        <w:rPr>
          <w:color w:val="auto"/>
          <w:sz w:val="24"/>
        </w:rPr>
        <w:t>/d）进行计算，则项目员工生活用水量为</w:t>
      </w:r>
      <w:r>
        <w:rPr>
          <w:rFonts w:hint="eastAsia"/>
          <w:color w:val="auto"/>
          <w:sz w:val="24"/>
        </w:rPr>
        <w:t>792</w:t>
      </w:r>
      <w:r>
        <w:rPr>
          <w:color w:val="auto"/>
          <w:sz w:val="24"/>
        </w:rPr>
        <w:t>m</w:t>
      </w:r>
      <w:r>
        <w:rPr>
          <w:color w:val="auto"/>
          <w:sz w:val="24"/>
          <w:vertAlign w:val="superscript"/>
        </w:rPr>
        <w:t>3</w:t>
      </w:r>
      <w:r>
        <w:rPr>
          <w:color w:val="auto"/>
          <w:sz w:val="24"/>
        </w:rPr>
        <w:t>/a（</w:t>
      </w:r>
      <w:r>
        <w:rPr>
          <w:rFonts w:hint="eastAsia"/>
          <w:color w:val="auto"/>
          <w:sz w:val="24"/>
        </w:rPr>
        <w:t>约2.5</w:t>
      </w:r>
      <w:r>
        <w:rPr>
          <w:color w:val="auto"/>
          <w:sz w:val="24"/>
        </w:rPr>
        <w:t>m</w:t>
      </w:r>
      <w:r>
        <w:rPr>
          <w:color w:val="auto"/>
          <w:sz w:val="24"/>
          <w:vertAlign w:val="superscript"/>
        </w:rPr>
        <w:t>3</w:t>
      </w:r>
      <w:r>
        <w:rPr>
          <w:color w:val="auto"/>
          <w:sz w:val="24"/>
        </w:rPr>
        <w:t>/d）。</w:t>
      </w:r>
    </w:p>
    <w:p>
      <w:pPr>
        <w:spacing w:line="360" w:lineRule="auto"/>
        <w:ind w:firstLine="480" w:firstLineChars="200"/>
        <w:rPr>
          <w:color w:val="auto"/>
          <w:sz w:val="24"/>
        </w:rPr>
      </w:pPr>
      <w:r>
        <w:rPr>
          <w:color w:val="auto"/>
          <w:sz w:val="24"/>
        </w:rPr>
        <w:t>②</w:t>
      </w:r>
      <w:r>
        <w:rPr>
          <w:rFonts w:hint="eastAsia"/>
          <w:color w:val="auto"/>
          <w:sz w:val="24"/>
        </w:rPr>
        <w:t>生产补充</w:t>
      </w:r>
      <w:r>
        <w:rPr>
          <w:color w:val="auto"/>
          <w:sz w:val="24"/>
        </w:rPr>
        <w:t>用水：项目的</w:t>
      </w:r>
      <w:r>
        <w:rPr>
          <w:rFonts w:hint="eastAsia"/>
          <w:color w:val="auto"/>
          <w:sz w:val="24"/>
        </w:rPr>
        <w:t>湿式破碎生产线中的水循环使用，</w:t>
      </w:r>
      <w:r>
        <w:rPr>
          <w:color w:val="auto"/>
          <w:sz w:val="24"/>
        </w:rPr>
        <w:t>由于在循环过程中由于蒸发、风吹损失，会有一定的损耗，运行期间要定期补充。</w:t>
      </w:r>
      <w:r>
        <w:rPr>
          <w:rFonts w:hint="eastAsia"/>
          <w:color w:val="auto"/>
          <w:sz w:val="24"/>
        </w:rPr>
        <w:t>其中湿式破碎生产线</w:t>
      </w:r>
      <w:r>
        <w:rPr>
          <w:color w:val="auto"/>
          <w:sz w:val="24"/>
        </w:rPr>
        <w:t>补充水</w:t>
      </w:r>
      <w:r>
        <w:rPr>
          <w:rFonts w:hint="eastAsia"/>
          <w:color w:val="auto"/>
          <w:sz w:val="24"/>
        </w:rPr>
        <w:t>量为8448</w:t>
      </w:r>
      <w:r>
        <w:rPr>
          <w:color w:val="auto"/>
          <w:sz w:val="24"/>
        </w:rPr>
        <w:t>m</w:t>
      </w:r>
      <w:r>
        <w:rPr>
          <w:color w:val="auto"/>
          <w:sz w:val="24"/>
          <w:vertAlign w:val="superscript"/>
        </w:rPr>
        <w:t>3</w:t>
      </w:r>
      <w:r>
        <w:rPr>
          <w:color w:val="auto"/>
          <w:sz w:val="24"/>
        </w:rPr>
        <w:t>/a</w:t>
      </w:r>
      <w:r>
        <w:rPr>
          <w:rFonts w:hint="eastAsia"/>
          <w:color w:val="auto"/>
          <w:sz w:val="24"/>
        </w:rPr>
        <w:t>，卷材生产线冷却补充水量为2851.2</w:t>
      </w:r>
      <w:r>
        <w:rPr>
          <w:color w:val="auto"/>
          <w:sz w:val="24"/>
        </w:rPr>
        <w:t>m</w:t>
      </w:r>
      <w:r>
        <w:rPr>
          <w:color w:val="auto"/>
          <w:sz w:val="24"/>
          <w:vertAlign w:val="superscript"/>
        </w:rPr>
        <w:t>3</w:t>
      </w:r>
      <w:r>
        <w:rPr>
          <w:color w:val="auto"/>
          <w:sz w:val="24"/>
        </w:rPr>
        <w:t>/a。</w:t>
      </w:r>
    </w:p>
    <w:p>
      <w:pPr>
        <w:adjustRightInd w:val="0"/>
        <w:snapToGrid w:val="0"/>
        <w:spacing w:line="360" w:lineRule="auto"/>
        <w:ind w:firstLine="480"/>
        <w:rPr>
          <w:color w:val="auto"/>
          <w:sz w:val="24"/>
        </w:rPr>
      </w:pPr>
      <w:r>
        <w:rPr>
          <w:color w:val="auto"/>
          <w:sz w:val="24"/>
        </w:rPr>
        <w:t>（2）排水</w:t>
      </w:r>
    </w:p>
    <w:p>
      <w:pPr>
        <w:adjustRightInd w:val="0"/>
        <w:snapToGrid w:val="0"/>
        <w:spacing w:line="360" w:lineRule="auto"/>
        <w:ind w:firstLine="480"/>
        <w:rPr>
          <w:color w:val="auto"/>
          <w:sz w:val="24"/>
        </w:rPr>
      </w:pPr>
      <w:r>
        <w:rPr>
          <w:color w:val="auto"/>
          <w:sz w:val="24"/>
        </w:rPr>
        <w:t>项目排水实行雨污分流。</w:t>
      </w:r>
      <w:r>
        <w:rPr>
          <w:rFonts w:hint="eastAsia"/>
          <w:color w:val="auto"/>
          <w:sz w:val="24"/>
        </w:rPr>
        <w:t>由于项目均在同一个建筑物内，无露天堆场，也无露天生产场所，生产区域均已覆盖顶棚。初期雨水的产生量及污染物浓度极小，厂内未设置初期雨水沉砂池，雨水落至项目棚顶后，沿瓦面流下，汇集于项目外围的雨水沟，最后与园区内收集的雨水汇合，统一排放至市政雨水管网。</w:t>
      </w:r>
    </w:p>
    <w:p>
      <w:pPr>
        <w:adjustRightInd w:val="0"/>
        <w:snapToGrid w:val="0"/>
        <w:spacing w:line="360" w:lineRule="auto"/>
        <w:ind w:firstLine="480"/>
        <w:rPr>
          <w:rFonts w:eastAsiaTheme="minorEastAsia"/>
          <w:color w:val="auto"/>
          <w:sz w:val="24"/>
        </w:rPr>
      </w:pPr>
      <w:r>
        <w:rPr>
          <w:rFonts w:hint="eastAsia"/>
          <w:color w:val="auto"/>
          <w:sz w:val="24"/>
        </w:rPr>
        <w:t>本项目的湿式破碎生产线产生的废水经沉淀处理后回用于生产，不外排。卷材生产线的冷却水循环使用，不外排。故项目无生产废水外排。</w:t>
      </w:r>
    </w:p>
    <w:p>
      <w:pPr>
        <w:adjustRightInd w:val="0"/>
        <w:snapToGrid w:val="0"/>
        <w:spacing w:line="360" w:lineRule="auto"/>
        <w:ind w:left="-420" w:leftChars="-200" w:firstLine="900"/>
        <w:jc w:val="center"/>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rFonts w:hint="eastAsia"/>
          <w:color w:val="auto"/>
          <w:sz w:val="24"/>
        </w:rPr>
        <w:t>项目的</w:t>
      </w:r>
      <w:r>
        <w:rPr>
          <w:color w:val="auto"/>
          <w:sz w:val="24"/>
        </w:rPr>
        <w:t>生活污水经化粪池预处理后经市政纳污管网排入</w:t>
      </w:r>
      <w:r>
        <w:rPr>
          <w:rFonts w:hint="eastAsia"/>
          <w:color w:val="auto"/>
          <w:sz w:val="24"/>
        </w:rPr>
        <w:t>石角</w:t>
      </w:r>
      <w:r>
        <w:rPr>
          <w:color w:val="auto"/>
          <w:sz w:val="24"/>
        </w:rPr>
        <w:t>污水处理厂</w:t>
      </w:r>
      <w:r>
        <w:rPr>
          <w:rFonts w:hint="eastAsia"/>
          <w:color w:val="auto"/>
          <w:sz w:val="24"/>
        </w:rPr>
        <w:t>处理</w:t>
      </w:r>
      <w:r>
        <w:rPr>
          <w:color w:val="auto"/>
          <w:sz w:val="24"/>
        </w:rPr>
        <w:t>。</w:t>
      </w:r>
    </w:p>
    <w:p>
      <w:pPr>
        <w:adjustRightInd w:val="0"/>
        <w:snapToGrid w:val="0"/>
        <w:spacing w:line="360" w:lineRule="auto"/>
        <w:ind w:left="-420" w:leftChars="-200" w:firstLine="900"/>
        <w:jc w:val="center"/>
        <w:rPr>
          <w:color w:val="auto"/>
          <w:sz w:val="24"/>
        </w:rPr>
      </w:pPr>
      <w:r>
        <w:rPr>
          <w:color w:val="auto"/>
          <w:sz w:val="24"/>
        </w:rPr>
        <w:drawing>
          <wp:inline distT="0" distB="0" distL="114300" distR="114300">
            <wp:extent cx="7936230" cy="5304155"/>
            <wp:effectExtent l="0" t="0" r="7620" b="10795"/>
            <wp:docPr id="65" name="图片 65" descr="雨水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雨水管网图"/>
                    <pic:cNvPicPr>
                      <a:picLocks noChangeAspect="1"/>
                    </pic:cNvPicPr>
                  </pic:nvPicPr>
                  <pic:blipFill>
                    <a:blip r:embed="rId57"/>
                    <a:stretch>
                      <a:fillRect/>
                    </a:stretch>
                  </pic:blipFill>
                  <pic:spPr>
                    <a:xfrm>
                      <a:off x="0" y="0"/>
                      <a:ext cx="7936230" cy="5304155"/>
                    </a:xfrm>
                    <a:prstGeom prst="rect">
                      <a:avLst/>
                    </a:prstGeom>
                  </pic:spPr>
                </pic:pic>
              </a:graphicData>
            </a:graphic>
          </wp:inline>
        </w:drawing>
      </w:r>
    </w:p>
    <w:p>
      <w:pPr>
        <w:adjustRightInd w:val="0"/>
        <w:snapToGrid w:val="0"/>
        <w:spacing w:line="360" w:lineRule="auto"/>
        <w:ind w:left="-420" w:leftChars="-200" w:firstLine="900"/>
        <w:jc w:val="center"/>
        <w:rPr>
          <w:b/>
          <w:bCs/>
          <w:color w:val="auto"/>
          <w:sz w:val="24"/>
        </w:rPr>
        <w:sectPr>
          <w:pgSz w:w="16838" w:h="11906" w:orient="landscape"/>
          <w:pgMar w:top="13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b/>
          <w:bCs/>
          <w:color w:val="auto"/>
          <w:sz w:val="24"/>
        </w:rPr>
        <w:t>图</w:t>
      </w:r>
      <w:r>
        <w:rPr>
          <w:rFonts w:hint="eastAsia"/>
          <w:b/>
          <w:bCs/>
          <w:color w:val="auto"/>
          <w:sz w:val="24"/>
        </w:rPr>
        <w:t>4</w:t>
      </w:r>
      <w:r>
        <w:rPr>
          <w:b/>
          <w:bCs/>
          <w:color w:val="auto"/>
          <w:sz w:val="24"/>
        </w:rPr>
        <w:t>.2-</w:t>
      </w:r>
      <w:r>
        <w:rPr>
          <w:rFonts w:hint="eastAsia"/>
          <w:b/>
          <w:bCs/>
          <w:color w:val="auto"/>
          <w:sz w:val="24"/>
        </w:rPr>
        <w:t xml:space="preserve">2  </w:t>
      </w:r>
      <w:r>
        <w:rPr>
          <w:b/>
          <w:bCs/>
          <w:color w:val="auto"/>
          <w:sz w:val="24"/>
        </w:rPr>
        <w:t>项目</w:t>
      </w:r>
      <w:r>
        <w:rPr>
          <w:rFonts w:hint="eastAsia"/>
          <w:b/>
          <w:bCs/>
          <w:color w:val="auto"/>
          <w:sz w:val="24"/>
        </w:rPr>
        <w:t>雨水管网</w:t>
      </w:r>
      <w:r>
        <w:rPr>
          <w:b/>
          <w:bCs/>
          <w:color w:val="auto"/>
          <w:sz w:val="24"/>
        </w:rPr>
        <w:t>图</w:t>
      </w:r>
    </w:p>
    <w:p>
      <w:pPr>
        <w:pStyle w:val="5"/>
        <w:numPr>
          <w:ilvl w:val="1"/>
          <w:numId w:val="0"/>
        </w:numPr>
        <w:tabs>
          <w:tab w:val="clear" w:pos="720"/>
        </w:tabs>
        <w:spacing w:before="159" w:after="159"/>
        <w:rPr>
          <w:color w:val="auto"/>
          <w:sz w:val="32"/>
          <w:szCs w:val="32"/>
        </w:rPr>
      </w:pPr>
      <w:bookmarkStart w:id="442" w:name="_Toc23597"/>
      <w:bookmarkStart w:id="443" w:name="_Toc13728"/>
      <w:r>
        <w:rPr>
          <w:rFonts w:hint="eastAsia"/>
          <w:color w:val="auto"/>
          <w:sz w:val="32"/>
          <w:szCs w:val="32"/>
        </w:rPr>
        <w:t xml:space="preserve">4.3  </w:t>
      </w:r>
      <w:r>
        <w:rPr>
          <w:color w:val="auto"/>
          <w:sz w:val="32"/>
          <w:szCs w:val="32"/>
        </w:rPr>
        <w:t>生产概况</w:t>
      </w:r>
      <w:bookmarkEnd w:id="440"/>
      <w:bookmarkEnd w:id="441"/>
      <w:bookmarkEnd w:id="442"/>
      <w:bookmarkEnd w:id="443"/>
    </w:p>
    <w:p>
      <w:pPr>
        <w:pStyle w:val="7"/>
        <w:numPr>
          <w:ilvl w:val="2"/>
          <w:numId w:val="0"/>
        </w:numPr>
        <w:tabs>
          <w:tab w:val="clear" w:pos="720"/>
        </w:tabs>
        <w:spacing w:before="159" w:after="159"/>
        <w:rPr>
          <w:color w:val="auto"/>
        </w:rPr>
      </w:pPr>
      <w:bookmarkStart w:id="444" w:name="_Toc7117"/>
      <w:bookmarkStart w:id="445" w:name="_Toc364"/>
      <w:bookmarkStart w:id="446" w:name="_Toc27047"/>
      <w:r>
        <w:rPr>
          <w:rFonts w:hint="eastAsia"/>
          <w:color w:val="auto"/>
        </w:rPr>
        <w:t xml:space="preserve">4.3.1  </w:t>
      </w:r>
      <w:r>
        <w:rPr>
          <w:color w:val="auto"/>
        </w:rPr>
        <w:t>工作定员及生产制度</w:t>
      </w:r>
      <w:bookmarkEnd w:id="444"/>
      <w:bookmarkEnd w:id="445"/>
      <w:bookmarkEnd w:id="446"/>
    </w:p>
    <w:p>
      <w:pPr>
        <w:snapToGrid w:val="0"/>
        <w:spacing w:line="360" w:lineRule="auto"/>
        <w:ind w:firstLine="468"/>
        <w:rPr>
          <w:color w:val="auto"/>
          <w:sz w:val="24"/>
        </w:rPr>
      </w:pPr>
      <w:r>
        <w:rPr>
          <w:color w:val="auto"/>
          <w:sz w:val="24"/>
        </w:rPr>
        <w:t>1、工作定员</w:t>
      </w:r>
    </w:p>
    <w:p>
      <w:pPr>
        <w:snapToGrid w:val="0"/>
        <w:spacing w:line="360" w:lineRule="auto"/>
        <w:ind w:firstLine="468"/>
        <w:rPr>
          <w:color w:val="auto"/>
          <w:sz w:val="24"/>
        </w:rPr>
      </w:pPr>
      <w:r>
        <w:rPr>
          <w:rFonts w:hint="eastAsia"/>
          <w:color w:val="auto"/>
          <w:sz w:val="24"/>
        </w:rPr>
        <w:t>项目现有员工45人，现</w:t>
      </w:r>
      <w:r>
        <w:rPr>
          <w:color w:val="auto"/>
          <w:sz w:val="24"/>
        </w:rPr>
        <w:t>拟</w:t>
      </w:r>
      <w:r>
        <w:rPr>
          <w:rFonts w:hint="eastAsia"/>
          <w:color w:val="auto"/>
          <w:sz w:val="24"/>
        </w:rPr>
        <w:t>新增</w:t>
      </w:r>
      <w:r>
        <w:rPr>
          <w:color w:val="auto"/>
          <w:sz w:val="24"/>
        </w:rPr>
        <w:t>员工</w:t>
      </w:r>
      <w:r>
        <w:rPr>
          <w:rFonts w:hint="eastAsia"/>
          <w:color w:val="auto"/>
          <w:sz w:val="24"/>
        </w:rPr>
        <w:t>1</w:t>
      </w:r>
      <w:r>
        <w:rPr>
          <w:color w:val="auto"/>
          <w:sz w:val="24"/>
        </w:rPr>
        <w:t>5人，</w:t>
      </w:r>
      <w:r>
        <w:rPr>
          <w:rFonts w:hint="eastAsia"/>
          <w:color w:val="auto"/>
          <w:sz w:val="24"/>
        </w:rPr>
        <w:t>迁改扩建后共有员工60人。厂</w:t>
      </w:r>
      <w:r>
        <w:rPr>
          <w:color w:val="auto"/>
          <w:sz w:val="24"/>
        </w:rPr>
        <w:t>内不设食堂和宿舍。</w:t>
      </w:r>
    </w:p>
    <w:p>
      <w:pPr>
        <w:snapToGrid w:val="0"/>
        <w:spacing w:line="360" w:lineRule="auto"/>
        <w:ind w:firstLine="468"/>
        <w:rPr>
          <w:color w:val="auto"/>
          <w:sz w:val="24"/>
        </w:rPr>
      </w:pPr>
      <w:r>
        <w:rPr>
          <w:bCs/>
          <w:color w:val="auto"/>
          <w:sz w:val="24"/>
        </w:rPr>
        <w:t>2、</w:t>
      </w:r>
      <w:r>
        <w:rPr>
          <w:color w:val="auto"/>
          <w:sz w:val="24"/>
        </w:rPr>
        <w:t>生产制度</w:t>
      </w:r>
    </w:p>
    <w:p>
      <w:pPr>
        <w:snapToGrid w:val="0"/>
        <w:spacing w:line="360" w:lineRule="auto"/>
        <w:ind w:firstLine="468"/>
        <w:rPr>
          <w:color w:val="auto"/>
          <w:sz w:val="24"/>
        </w:rPr>
      </w:pPr>
      <w:r>
        <w:rPr>
          <w:color w:val="auto"/>
          <w:sz w:val="24"/>
        </w:rPr>
        <w:t>年工作天数为</w:t>
      </w:r>
      <w:r>
        <w:rPr>
          <w:rFonts w:hint="eastAsia"/>
          <w:color w:val="auto"/>
          <w:sz w:val="24"/>
        </w:rPr>
        <w:t>33</w:t>
      </w:r>
      <w:r>
        <w:rPr>
          <w:color w:val="auto"/>
          <w:sz w:val="24"/>
        </w:rPr>
        <w:t>0天，</w:t>
      </w:r>
      <w:r>
        <w:rPr>
          <w:rFonts w:hint="eastAsia"/>
          <w:color w:val="auto"/>
          <w:sz w:val="24"/>
        </w:rPr>
        <w:t>卷材生产线</w:t>
      </w:r>
      <w:r>
        <w:rPr>
          <w:bCs/>
          <w:color w:val="auto"/>
          <w:sz w:val="24"/>
        </w:rPr>
        <w:t>每天3班，每班8h，间断工作制。</w:t>
      </w:r>
      <w:r>
        <w:rPr>
          <w:rFonts w:hint="eastAsia"/>
          <w:color w:val="auto"/>
          <w:sz w:val="24"/>
        </w:rPr>
        <w:t>其</w:t>
      </w:r>
      <w:r>
        <w:rPr>
          <w:rFonts w:hint="eastAsia"/>
          <w:color w:val="auto"/>
          <w:sz w:val="24"/>
          <w:lang w:val="en-US" w:eastAsia="zh-CN"/>
        </w:rPr>
        <w:t>它岗位</w:t>
      </w:r>
      <w:r>
        <w:rPr>
          <w:color w:val="auto"/>
          <w:sz w:val="24"/>
        </w:rPr>
        <w:t>为1班制，每班生产时间为8小时。</w:t>
      </w:r>
    </w:p>
    <w:p>
      <w:pPr>
        <w:pStyle w:val="7"/>
        <w:numPr>
          <w:ilvl w:val="2"/>
          <w:numId w:val="0"/>
        </w:numPr>
        <w:tabs>
          <w:tab w:val="clear" w:pos="720"/>
        </w:tabs>
        <w:spacing w:before="159" w:after="159"/>
        <w:rPr>
          <w:color w:val="auto"/>
        </w:rPr>
      </w:pPr>
      <w:bookmarkStart w:id="447" w:name="_Toc5708"/>
      <w:bookmarkStart w:id="448" w:name="_Toc10368"/>
      <w:r>
        <w:rPr>
          <w:rFonts w:hint="eastAsia"/>
          <w:color w:val="auto"/>
        </w:rPr>
        <w:t xml:space="preserve">4.3.2  </w:t>
      </w:r>
      <w:r>
        <w:rPr>
          <w:color w:val="auto"/>
        </w:rPr>
        <w:t>原辅材料</w:t>
      </w:r>
      <w:bookmarkEnd w:id="447"/>
      <w:bookmarkEnd w:id="448"/>
    </w:p>
    <w:p>
      <w:pPr>
        <w:spacing w:line="360" w:lineRule="auto"/>
        <w:ind w:firstLine="480"/>
        <w:rPr>
          <w:color w:val="auto"/>
          <w:sz w:val="24"/>
        </w:rPr>
      </w:pPr>
      <w:r>
        <w:rPr>
          <w:rFonts w:hint="eastAsia"/>
          <w:color w:val="auto"/>
          <w:sz w:val="24"/>
        </w:rPr>
        <w:t>1、原辅材料使用情况</w:t>
      </w:r>
    </w:p>
    <w:p>
      <w:pPr>
        <w:spacing w:line="360" w:lineRule="auto"/>
        <w:ind w:firstLine="480"/>
        <w:rPr>
          <w:color w:val="auto"/>
          <w:sz w:val="24"/>
        </w:rPr>
      </w:pPr>
      <w:r>
        <w:rPr>
          <w:color w:val="auto"/>
          <w:sz w:val="24"/>
        </w:rPr>
        <w:t>本项目生产过程中的主要原辅材料消耗见下表。</w:t>
      </w:r>
    </w:p>
    <w:p>
      <w:pPr>
        <w:spacing w:line="360" w:lineRule="auto"/>
        <w:jc w:val="center"/>
        <w:rPr>
          <w:b/>
          <w:bCs/>
          <w:color w:val="auto"/>
          <w:szCs w:val="21"/>
        </w:rPr>
      </w:pPr>
      <w:r>
        <w:rPr>
          <w:b/>
          <w:bCs/>
          <w:color w:val="auto"/>
          <w:szCs w:val="21"/>
        </w:rPr>
        <w:t>表</w:t>
      </w:r>
      <w:r>
        <w:rPr>
          <w:rFonts w:hint="eastAsia"/>
          <w:b/>
          <w:bCs/>
          <w:color w:val="auto"/>
          <w:szCs w:val="21"/>
        </w:rPr>
        <w:t>4</w:t>
      </w:r>
      <w:r>
        <w:rPr>
          <w:b/>
          <w:bCs/>
          <w:color w:val="auto"/>
          <w:szCs w:val="21"/>
        </w:rPr>
        <w:t>.3-1</w:t>
      </w:r>
      <w:r>
        <w:rPr>
          <w:rFonts w:hint="eastAsia"/>
          <w:b/>
          <w:bCs/>
          <w:color w:val="auto"/>
          <w:szCs w:val="21"/>
        </w:rPr>
        <w:t xml:space="preserve">  </w:t>
      </w:r>
      <w:r>
        <w:rPr>
          <w:b/>
          <w:bCs/>
          <w:color w:val="auto"/>
          <w:szCs w:val="21"/>
        </w:rPr>
        <w:t>本项目主要原辅材料消耗量一览表</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5"/>
        <w:gridCol w:w="1077"/>
        <w:gridCol w:w="888"/>
        <w:gridCol w:w="950"/>
        <w:gridCol w:w="1037"/>
        <w:gridCol w:w="1080"/>
        <w:gridCol w:w="1309"/>
        <w:gridCol w:w="2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序号</w:t>
            </w:r>
          </w:p>
        </w:tc>
        <w:tc>
          <w:tcPr>
            <w:tcW w:w="1077" w:type="dxa"/>
            <w:tcBorders>
              <w:tl2br w:val="nil"/>
              <w:tr2bl w:val="nil"/>
            </w:tcBorders>
            <w:vAlign w:val="center"/>
          </w:tcPr>
          <w:p>
            <w:pPr>
              <w:pStyle w:val="48"/>
              <w:rPr>
                <w:color w:val="auto"/>
                <w:szCs w:val="21"/>
              </w:rPr>
            </w:pPr>
            <w:r>
              <w:rPr>
                <w:color w:val="auto"/>
                <w:szCs w:val="21"/>
              </w:rPr>
              <w:t>名称</w:t>
            </w:r>
          </w:p>
        </w:tc>
        <w:tc>
          <w:tcPr>
            <w:tcW w:w="888" w:type="dxa"/>
            <w:tcBorders>
              <w:tl2br w:val="nil"/>
              <w:tr2bl w:val="nil"/>
            </w:tcBorders>
            <w:vAlign w:val="center"/>
          </w:tcPr>
          <w:p>
            <w:pPr>
              <w:pStyle w:val="48"/>
              <w:rPr>
                <w:color w:val="auto"/>
                <w:szCs w:val="21"/>
              </w:rPr>
            </w:pPr>
            <w:r>
              <w:rPr>
                <w:color w:val="auto"/>
                <w:szCs w:val="21"/>
              </w:rPr>
              <w:t>形态</w:t>
            </w:r>
          </w:p>
        </w:tc>
        <w:tc>
          <w:tcPr>
            <w:tcW w:w="950" w:type="dxa"/>
            <w:tcBorders>
              <w:tl2br w:val="nil"/>
              <w:tr2bl w:val="nil"/>
            </w:tcBorders>
            <w:vAlign w:val="center"/>
          </w:tcPr>
          <w:p>
            <w:pPr>
              <w:pStyle w:val="48"/>
              <w:rPr>
                <w:color w:val="auto"/>
                <w:szCs w:val="21"/>
              </w:rPr>
            </w:pPr>
            <w:r>
              <w:rPr>
                <w:color w:val="auto"/>
                <w:szCs w:val="21"/>
              </w:rPr>
              <w:t>使用量</w:t>
            </w:r>
          </w:p>
          <w:p>
            <w:pPr>
              <w:pStyle w:val="48"/>
              <w:rPr>
                <w:color w:val="auto"/>
                <w:szCs w:val="21"/>
              </w:rPr>
            </w:pPr>
            <w:r>
              <w:rPr>
                <w:color w:val="auto"/>
                <w:szCs w:val="21"/>
              </w:rPr>
              <w:t>（t/a）</w:t>
            </w:r>
          </w:p>
        </w:tc>
        <w:tc>
          <w:tcPr>
            <w:tcW w:w="1037" w:type="dxa"/>
            <w:tcBorders>
              <w:tl2br w:val="nil"/>
              <w:tr2bl w:val="nil"/>
            </w:tcBorders>
            <w:vAlign w:val="center"/>
          </w:tcPr>
          <w:p>
            <w:pPr>
              <w:pStyle w:val="48"/>
              <w:rPr>
                <w:color w:val="auto"/>
                <w:szCs w:val="21"/>
              </w:rPr>
            </w:pPr>
            <w:r>
              <w:rPr>
                <w:color w:val="auto"/>
                <w:szCs w:val="21"/>
              </w:rPr>
              <w:t>最大储存量（t）</w:t>
            </w:r>
          </w:p>
        </w:tc>
        <w:tc>
          <w:tcPr>
            <w:tcW w:w="1080" w:type="dxa"/>
            <w:tcBorders>
              <w:tl2br w:val="nil"/>
              <w:tr2bl w:val="nil"/>
            </w:tcBorders>
            <w:vAlign w:val="center"/>
          </w:tcPr>
          <w:p>
            <w:pPr>
              <w:pStyle w:val="48"/>
              <w:rPr>
                <w:color w:val="auto"/>
                <w:szCs w:val="21"/>
              </w:rPr>
            </w:pPr>
            <w:r>
              <w:rPr>
                <w:color w:val="auto"/>
                <w:szCs w:val="21"/>
              </w:rPr>
              <w:t>包装</w:t>
            </w:r>
          </w:p>
          <w:p>
            <w:pPr>
              <w:pStyle w:val="48"/>
              <w:rPr>
                <w:color w:val="auto"/>
                <w:szCs w:val="21"/>
              </w:rPr>
            </w:pPr>
            <w:r>
              <w:rPr>
                <w:color w:val="auto"/>
                <w:szCs w:val="21"/>
              </w:rPr>
              <w:t>规格</w:t>
            </w:r>
          </w:p>
        </w:tc>
        <w:tc>
          <w:tcPr>
            <w:tcW w:w="1309" w:type="dxa"/>
            <w:tcBorders>
              <w:tl2br w:val="nil"/>
              <w:tr2bl w:val="nil"/>
            </w:tcBorders>
            <w:vAlign w:val="center"/>
          </w:tcPr>
          <w:p>
            <w:pPr>
              <w:pStyle w:val="48"/>
              <w:rPr>
                <w:color w:val="auto"/>
                <w:szCs w:val="21"/>
              </w:rPr>
            </w:pPr>
            <w:r>
              <w:rPr>
                <w:color w:val="auto"/>
                <w:szCs w:val="21"/>
              </w:rPr>
              <w:t>储存场所</w:t>
            </w:r>
          </w:p>
        </w:tc>
        <w:tc>
          <w:tcPr>
            <w:tcW w:w="2172" w:type="dxa"/>
            <w:tcBorders>
              <w:tl2br w:val="nil"/>
              <w:tr2bl w:val="nil"/>
            </w:tcBorders>
            <w:vAlign w:val="center"/>
          </w:tcPr>
          <w:p>
            <w:pPr>
              <w:pStyle w:val="48"/>
              <w:rPr>
                <w:color w:val="auto"/>
                <w:szCs w:val="21"/>
              </w:rPr>
            </w:pPr>
            <w:r>
              <w:rPr>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1</w:t>
            </w:r>
          </w:p>
        </w:tc>
        <w:tc>
          <w:tcPr>
            <w:tcW w:w="1077" w:type="dxa"/>
            <w:tcBorders>
              <w:tl2br w:val="nil"/>
              <w:tr2bl w:val="nil"/>
            </w:tcBorders>
            <w:vAlign w:val="center"/>
          </w:tcPr>
          <w:p>
            <w:pPr>
              <w:pStyle w:val="48"/>
              <w:rPr>
                <w:color w:val="auto"/>
                <w:szCs w:val="21"/>
              </w:rPr>
            </w:pPr>
            <w:r>
              <w:rPr>
                <w:color w:val="auto"/>
                <w:szCs w:val="21"/>
              </w:rPr>
              <w:t>废覆铜板</w:t>
            </w:r>
          </w:p>
        </w:tc>
        <w:tc>
          <w:tcPr>
            <w:tcW w:w="888" w:type="dxa"/>
            <w:tcBorders>
              <w:tl2br w:val="nil"/>
              <w:tr2bl w:val="nil"/>
            </w:tcBorders>
            <w:vAlign w:val="center"/>
          </w:tcPr>
          <w:p>
            <w:pPr>
              <w:pStyle w:val="48"/>
              <w:rPr>
                <w:color w:val="auto"/>
                <w:szCs w:val="21"/>
              </w:rPr>
            </w:pPr>
            <w:r>
              <w:rPr>
                <w:color w:val="auto"/>
                <w:szCs w:val="21"/>
              </w:rPr>
              <w:t>固体</w:t>
            </w:r>
          </w:p>
        </w:tc>
        <w:tc>
          <w:tcPr>
            <w:tcW w:w="950" w:type="dxa"/>
            <w:tcBorders>
              <w:tl2br w:val="nil"/>
              <w:tr2bl w:val="nil"/>
            </w:tcBorders>
            <w:vAlign w:val="center"/>
          </w:tcPr>
          <w:p>
            <w:pPr>
              <w:adjustRightInd w:val="0"/>
              <w:snapToGrid w:val="0"/>
              <w:jc w:val="center"/>
              <w:rPr>
                <w:color w:val="auto"/>
                <w:szCs w:val="21"/>
              </w:rPr>
            </w:pPr>
            <w:r>
              <w:rPr>
                <w:color w:val="auto"/>
                <w:szCs w:val="21"/>
              </w:rPr>
              <w:t>30000</w:t>
            </w:r>
          </w:p>
        </w:tc>
        <w:tc>
          <w:tcPr>
            <w:tcW w:w="1037" w:type="dxa"/>
            <w:tcBorders>
              <w:tl2br w:val="nil"/>
              <w:tr2bl w:val="nil"/>
            </w:tcBorders>
            <w:vAlign w:val="center"/>
          </w:tcPr>
          <w:p>
            <w:pPr>
              <w:pStyle w:val="48"/>
              <w:rPr>
                <w:color w:val="auto"/>
                <w:szCs w:val="21"/>
              </w:rPr>
            </w:pPr>
            <w:r>
              <w:rPr>
                <w:color w:val="auto"/>
                <w:szCs w:val="21"/>
              </w:rPr>
              <w:t>300</w:t>
            </w:r>
          </w:p>
        </w:tc>
        <w:tc>
          <w:tcPr>
            <w:tcW w:w="1080" w:type="dxa"/>
            <w:tcBorders>
              <w:tl2br w:val="nil"/>
              <w:tr2bl w:val="nil"/>
            </w:tcBorders>
            <w:vAlign w:val="center"/>
          </w:tcPr>
          <w:p>
            <w:pPr>
              <w:pStyle w:val="48"/>
              <w:rPr>
                <w:color w:val="auto"/>
                <w:szCs w:val="21"/>
              </w:rPr>
            </w:pPr>
            <w:r>
              <w:rPr>
                <w:color w:val="auto"/>
                <w:szCs w:val="21"/>
              </w:rPr>
              <w:t>散装</w:t>
            </w:r>
          </w:p>
        </w:tc>
        <w:tc>
          <w:tcPr>
            <w:tcW w:w="1309" w:type="dxa"/>
            <w:tcBorders>
              <w:tl2br w:val="nil"/>
              <w:tr2bl w:val="nil"/>
            </w:tcBorders>
            <w:vAlign w:val="center"/>
          </w:tcPr>
          <w:p>
            <w:pPr>
              <w:pStyle w:val="48"/>
              <w:rPr>
                <w:color w:val="auto"/>
                <w:szCs w:val="21"/>
              </w:rPr>
            </w:pPr>
            <w:r>
              <w:rPr>
                <w:color w:val="auto"/>
                <w:szCs w:val="21"/>
              </w:rPr>
              <w:t>原料堆放区</w:t>
            </w:r>
          </w:p>
        </w:tc>
        <w:tc>
          <w:tcPr>
            <w:tcW w:w="2172" w:type="dxa"/>
            <w:tcBorders>
              <w:tl2br w:val="nil"/>
              <w:tr2bl w:val="nil"/>
            </w:tcBorders>
            <w:vAlign w:val="center"/>
          </w:tcPr>
          <w:p>
            <w:pPr>
              <w:pStyle w:val="48"/>
              <w:rPr>
                <w:color w:val="auto"/>
                <w:szCs w:val="21"/>
              </w:rPr>
            </w:pPr>
            <w:r>
              <w:rPr>
                <w:color w:val="auto"/>
                <w:szCs w:val="21"/>
              </w:rPr>
              <w:t>外购，均不含元器件、芯片、插件、贴脚等。属于一般固体废物，湿式破碎生产线主要的原材料。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2</w:t>
            </w:r>
          </w:p>
        </w:tc>
        <w:tc>
          <w:tcPr>
            <w:tcW w:w="1077"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石油</w:t>
            </w:r>
            <w:r>
              <w:rPr>
                <w:color w:val="auto"/>
                <w:kern w:val="0"/>
                <w:szCs w:val="21"/>
                <w:lang w:bidi="ar"/>
              </w:rPr>
              <w:t>沥青</w:t>
            </w:r>
          </w:p>
        </w:tc>
        <w:tc>
          <w:tcPr>
            <w:tcW w:w="888" w:type="dxa"/>
            <w:tcBorders>
              <w:tl2br w:val="nil"/>
              <w:tr2bl w:val="nil"/>
            </w:tcBorders>
            <w:vAlign w:val="center"/>
          </w:tcPr>
          <w:p>
            <w:pPr>
              <w:pStyle w:val="48"/>
              <w:rPr>
                <w:color w:val="auto"/>
                <w:szCs w:val="21"/>
              </w:rPr>
            </w:pPr>
            <w:r>
              <w:rPr>
                <w:color w:val="auto"/>
                <w:szCs w:val="21"/>
              </w:rPr>
              <w:t>浓稠</w:t>
            </w:r>
          </w:p>
          <w:p>
            <w:pPr>
              <w:pStyle w:val="48"/>
              <w:rPr>
                <w:color w:val="auto"/>
                <w:szCs w:val="21"/>
              </w:rPr>
            </w:pPr>
            <w:r>
              <w:rPr>
                <w:color w:val="auto"/>
                <w:szCs w:val="21"/>
              </w:rPr>
              <w:t>液体</w:t>
            </w:r>
          </w:p>
        </w:tc>
        <w:tc>
          <w:tcPr>
            <w:tcW w:w="950" w:type="dxa"/>
            <w:tcBorders>
              <w:tl2br w:val="nil"/>
              <w:tr2bl w:val="nil"/>
            </w:tcBorders>
            <w:vAlign w:val="center"/>
          </w:tcPr>
          <w:p>
            <w:pPr>
              <w:adjustRightInd w:val="0"/>
              <w:snapToGrid w:val="0"/>
              <w:jc w:val="center"/>
              <w:rPr>
                <w:color w:val="auto"/>
                <w:szCs w:val="21"/>
              </w:rPr>
            </w:pPr>
            <w:r>
              <w:rPr>
                <w:color w:val="auto"/>
                <w:szCs w:val="21"/>
              </w:rPr>
              <w:t>4000</w:t>
            </w:r>
          </w:p>
        </w:tc>
        <w:tc>
          <w:tcPr>
            <w:tcW w:w="1037" w:type="dxa"/>
            <w:tcBorders>
              <w:tl2br w:val="nil"/>
              <w:tr2bl w:val="nil"/>
            </w:tcBorders>
            <w:vAlign w:val="center"/>
          </w:tcPr>
          <w:p>
            <w:pPr>
              <w:adjustRightInd w:val="0"/>
              <w:snapToGrid w:val="0"/>
              <w:jc w:val="center"/>
              <w:rPr>
                <w:color w:val="auto"/>
                <w:szCs w:val="21"/>
              </w:rPr>
            </w:pPr>
            <w:r>
              <w:rPr>
                <w:rFonts w:hint="eastAsia"/>
                <w:color w:val="auto"/>
                <w:szCs w:val="21"/>
              </w:rPr>
              <w:t>100</w:t>
            </w:r>
          </w:p>
        </w:tc>
        <w:tc>
          <w:tcPr>
            <w:tcW w:w="1080" w:type="dxa"/>
            <w:tcBorders>
              <w:tl2br w:val="nil"/>
              <w:tr2bl w:val="nil"/>
            </w:tcBorders>
            <w:vAlign w:val="center"/>
          </w:tcPr>
          <w:p>
            <w:pPr>
              <w:pStyle w:val="48"/>
              <w:rPr>
                <w:color w:val="auto"/>
                <w:szCs w:val="21"/>
              </w:rPr>
            </w:pPr>
            <w:r>
              <w:rPr>
                <w:color w:val="auto"/>
                <w:szCs w:val="21"/>
              </w:rPr>
              <w:t>储罐</w:t>
            </w:r>
          </w:p>
        </w:tc>
        <w:tc>
          <w:tcPr>
            <w:tcW w:w="1309" w:type="dxa"/>
            <w:tcBorders>
              <w:tl2br w:val="nil"/>
              <w:tr2bl w:val="nil"/>
            </w:tcBorders>
            <w:vAlign w:val="center"/>
          </w:tcPr>
          <w:p>
            <w:pPr>
              <w:jc w:val="center"/>
              <w:rPr>
                <w:color w:val="auto"/>
                <w:szCs w:val="21"/>
              </w:rPr>
            </w:pPr>
            <w:r>
              <w:rPr>
                <w:color w:val="auto"/>
                <w:szCs w:val="21"/>
              </w:rPr>
              <w:t>沥青储罐</w:t>
            </w:r>
          </w:p>
        </w:tc>
        <w:tc>
          <w:tcPr>
            <w:tcW w:w="2172" w:type="dxa"/>
            <w:tcBorders>
              <w:tl2br w:val="nil"/>
              <w:tr2bl w:val="nil"/>
            </w:tcBorders>
            <w:vAlign w:val="center"/>
          </w:tcPr>
          <w:p>
            <w:pPr>
              <w:jc w:val="center"/>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3</w:t>
            </w:r>
          </w:p>
        </w:tc>
        <w:tc>
          <w:tcPr>
            <w:tcW w:w="1077" w:type="dxa"/>
            <w:tcBorders>
              <w:tl2br w:val="nil"/>
              <w:tr2bl w:val="nil"/>
            </w:tcBorders>
            <w:vAlign w:val="center"/>
          </w:tcPr>
          <w:p>
            <w:pPr>
              <w:widowControl/>
              <w:jc w:val="center"/>
              <w:textAlignment w:val="center"/>
              <w:rPr>
                <w:color w:val="auto"/>
                <w:szCs w:val="21"/>
              </w:rPr>
            </w:pPr>
            <w:r>
              <w:rPr>
                <w:rStyle w:val="38"/>
                <w:rFonts w:hint="default" w:ascii="Times New Roman" w:hAnsi="Times New Roman" w:cs="Times New Roman"/>
                <w:color w:val="auto"/>
                <w:sz w:val="21"/>
                <w:szCs w:val="21"/>
                <w:lang w:bidi="ar"/>
              </w:rPr>
              <w:t>SBS</w:t>
            </w:r>
            <w:r>
              <w:rPr>
                <w:rStyle w:val="49"/>
                <w:rFonts w:hint="default" w:ascii="Times New Roman" w:hAnsi="Times New Roman" w:cs="Times New Roman"/>
                <w:color w:val="auto"/>
                <w:lang w:bidi="ar"/>
              </w:rPr>
              <w:t>颗粒</w:t>
            </w:r>
          </w:p>
        </w:tc>
        <w:tc>
          <w:tcPr>
            <w:tcW w:w="888" w:type="dxa"/>
            <w:tcBorders>
              <w:tl2br w:val="nil"/>
              <w:tr2bl w:val="nil"/>
            </w:tcBorders>
            <w:vAlign w:val="center"/>
          </w:tcPr>
          <w:p>
            <w:pPr>
              <w:pStyle w:val="48"/>
              <w:rPr>
                <w:color w:val="auto"/>
                <w:szCs w:val="21"/>
              </w:rPr>
            </w:pPr>
            <w:r>
              <w:rPr>
                <w:color w:val="auto"/>
                <w:szCs w:val="21"/>
              </w:rPr>
              <w:t>颗粒状固体</w:t>
            </w:r>
          </w:p>
        </w:tc>
        <w:tc>
          <w:tcPr>
            <w:tcW w:w="950" w:type="dxa"/>
            <w:tcBorders>
              <w:tl2br w:val="nil"/>
              <w:tr2bl w:val="nil"/>
            </w:tcBorders>
            <w:vAlign w:val="center"/>
          </w:tcPr>
          <w:p>
            <w:pPr>
              <w:widowControl/>
              <w:jc w:val="center"/>
              <w:textAlignment w:val="center"/>
              <w:rPr>
                <w:color w:val="auto"/>
                <w:szCs w:val="21"/>
              </w:rPr>
            </w:pPr>
            <w:r>
              <w:rPr>
                <w:color w:val="auto"/>
                <w:kern w:val="0"/>
                <w:szCs w:val="21"/>
                <w:lang w:bidi="ar"/>
              </w:rPr>
              <w:t>2500</w:t>
            </w:r>
          </w:p>
        </w:tc>
        <w:tc>
          <w:tcPr>
            <w:tcW w:w="1037" w:type="dxa"/>
            <w:tcBorders>
              <w:tl2br w:val="nil"/>
              <w:tr2bl w:val="nil"/>
            </w:tcBorders>
            <w:vAlign w:val="center"/>
          </w:tcPr>
          <w:p>
            <w:pPr>
              <w:adjustRightInd w:val="0"/>
              <w:snapToGrid w:val="0"/>
              <w:jc w:val="center"/>
              <w:rPr>
                <w:color w:val="auto"/>
                <w:szCs w:val="21"/>
              </w:rPr>
            </w:pPr>
            <w:r>
              <w:rPr>
                <w:color w:val="auto"/>
                <w:szCs w:val="21"/>
              </w:rPr>
              <w:t>300</w:t>
            </w:r>
          </w:p>
        </w:tc>
        <w:tc>
          <w:tcPr>
            <w:tcW w:w="1080" w:type="dxa"/>
            <w:tcBorders>
              <w:tl2br w:val="nil"/>
              <w:tr2bl w:val="nil"/>
            </w:tcBorders>
            <w:vAlign w:val="center"/>
          </w:tcPr>
          <w:p>
            <w:pPr>
              <w:pStyle w:val="48"/>
              <w:rPr>
                <w:color w:val="auto"/>
                <w:szCs w:val="21"/>
              </w:rPr>
            </w:pPr>
            <w:r>
              <w:rPr>
                <w:color w:val="auto"/>
                <w:szCs w:val="21"/>
              </w:rPr>
              <w:t>袋装</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jc w:val="center"/>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4</w:t>
            </w:r>
          </w:p>
        </w:tc>
        <w:tc>
          <w:tcPr>
            <w:tcW w:w="1077" w:type="dxa"/>
            <w:tcBorders>
              <w:tl2br w:val="nil"/>
              <w:tr2bl w:val="nil"/>
            </w:tcBorders>
            <w:vAlign w:val="center"/>
          </w:tcPr>
          <w:p>
            <w:pPr>
              <w:widowControl/>
              <w:jc w:val="center"/>
              <w:textAlignment w:val="center"/>
              <w:rPr>
                <w:color w:val="auto"/>
                <w:szCs w:val="21"/>
              </w:rPr>
            </w:pPr>
            <w:r>
              <w:rPr>
                <w:color w:val="auto"/>
                <w:kern w:val="0"/>
                <w:szCs w:val="21"/>
                <w:lang w:bidi="ar"/>
              </w:rPr>
              <w:t>PE膜</w:t>
            </w:r>
          </w:p>
        </w:tc>
        <w:tc>
          <w:tcPr>
            <w:tcW w:w="888" w:type="dxa"/>
            <w:tcBorders>
              <w:tl2br w:val="nil"/>
              <w:tr2bl w:val="nil"/>
            </w:tcBorders>
            <w:vAlign w:val="center"/>
          </w:tcPr>
          <w:p>
            <w:pPr>
              <w:pStyle w:val="48"/>
              <w:rPr>
                <w:color w:val="auto"/>
                <w:szCs w:val="21"/>
              </w:rPr>
            </w:pPr>
            <w:r>
              <w:rPr>
                <w:color w:val="auto"/>
                <w:szCs w:val="21"/>
              </w:rPr>
              <w:t>固体</w:t>
            </w:r>
          </w:p>
        </w:tc>
        <w:tc>
          <w:tcPr>
            <w:tcW w:w="950" w:type="dxa"/>
            <w:tcBorders>
              <w:tl2br w:val="nil"/>
              <w:tr2bl w:val="nil"/>
            </w:tcBorders>
            <w:vAlign w:val="center"/>
          </w:tcPr>
          <w:p>
            <w:pPr>
              <w:widowControl/>
              <w:jc w:val="center"/>
              <w:textAlignment w:val="center"/>
              <w:rPr>
                <w:color w:val="auto"/>
                <w:szCs w:val="21"/>
              </w:rPr>
            </w:pPr>
            <w:r>
              <w:rPr>
                <w:color w:val="auto"/>
                <w:kern w:val="0"/>
                <w:szCs w:val="21"/>
                <w:lang w:bidi="ar"/>
              </w:rPr>
              <w:t>1500</w:t>
            </w:r>
          </w:p>
        </w:tc>
        <w:tc>
          <w:tcPr>
            <w:tcW w:w="1037" w:type="dxa"/>
            <w:tcBorders>
              <w:tl2br w:val="nil"/>
              <w:tr2bl w:val="nil"/>
            </w:tcBorders>
            <w:vAlign w:val="center"/>
          </w:tcPr>
          <w:p>
            <w:pPr>
              <w:adjustRightInd w:val="0"/>
              <w:snapToGrid w:val="0"/>
              <w:jc w:val="center"/>
              <w:rPr>
                <w:color w:val="auto"/>
                <w:szCs w:val="21"/>
              </w:rPr>
            </w:pPr>
            <w:r>
              <w:rPr>
                <w:color w:val="auto"/>
                <w:szCs w:val="21"/>
              </w:rPr>
              <w:t>100</w:t>
            </w:r>
          </w:p>
        </w:tc>
        <w:tc>
          <w:tcPr>
            <w:tcW w:w="1080" w:type="dxa"/>
            <w:tcBorders>
              <w:tl2br w:val="nil"/>
              <w:tr2bl w:val="nil"/>
            </w:tcBorders>
            <w:vAlign w:val="center"/>
          </w:tcPr>
          <w:p>
            <w:pPr>
              <w:pStyle w:val="48"/>
              <w:rPr>
                <w:color w:val="auto"/>
                <w:szCs w:val="21"/>
              </w:rPr>
            </w:pPr>
            <w:r>
              <w:rPr>
                <w:color w:val="auto"/>
                <w:szCs w:val="21"/>
              </w:rPr>
              <w:t>10m</w:t>
            </w:r>
            <w:r>
              <w:rPr>
                <w:color w:val="auto"/>
                <w:szCs w:val="21"/>
                <w:vertAlign w:val="superscript"/>
              </w:rPr>
              <w:t>2</w:t>
            </w:r>
            <w:r>
              <w:rPr>
                <w:color w:val="auto"/>
                <w:szCs w:val="21"/>
              </w:rPr>
              <w:t>/张</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jc w:val="center"/>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5</w:t>
            </w:r>
          </w:p>
        </w:tc>
        <w:tc>
          <w:tcPr>
            <w:tcW w:w="1077" w:type="dxa"/>
            <w:tcBorders>
              <w:tl2br w:val="nil"/>
              <w:tr2bl w:val="nil"/>
            </w:tcBorders>
            <w:vAlign w:val="center"/>
          </w:tcPr>
          <w:p>
            <w:pPr>
              <w:widowControl/>
              <w:jc w:val="center"/>
              <w:textAlignment w:val="center"/>
              <w:rPr>
                <w:color w:val="auto"/>
                <w:szCs w:val="21"/>
              </w:rPr>
            </w:pPr>
            <w:r>
              <w:rPr>
                <w:color w:val="auto"/>
                <w:kern w:val="0"/>
                <w:szCs w:val="21"/>
                <w:lang w:bidi="ar"/>
              </w:rPr>
              <w:t>滑石粉</w:t>
            </w:r>
          </w:p>
        </w:tc>
        <w:tc>
          <w:tcPr>
            <w:tcW w:w="888" w:type="dxa"/>
            <w:tcBorders>
              <w:tl2br w:val="nil"/>
              <w:tr2bl w:val="nil"/>
            </w:tcBorders>
            <w:vAlign w:val="center"/>
          </w:tcPr>
          <w:p>
            <w:pPr>
              <w:pStyle w:val="48"/>
              <w:rPr>
                <w:color w:val="auto"/>
                <w:szCs w:val="21"/>
              </w:rPr>
            </w:pPr>
            <w:r>
              <w:rPr>
                <w:color w:val="auto"/>
                <w:szCs w:val="21"/>
              </w:rPr>
              <w:t>粉末状固体</w:t>
            </w:r>
          </w:p>
        </w:tc>
        <w:tc>
          <w:tcPr>
            <w:tcW w:w="950" w:type="dxa"/>
            <w:tcBorders>
              <w:tl2br w:val="nil"/>
              <w:tr2bl w:val="nil"/>
            </w:tcBorders>
            <w:vAlign w:val="center"/>
          </w:tcPr>
          <w:p>
            <w:pPr>
              <w:widowControl/>
              <w:jc w:val="center"/>
              <w:textAlignment w:val="center"/>
              <w:rPr>
                <w:color w:val="auto"/>
                <w:szCs w:val="21"/>
              </w:rPr>
            </w:pPr>
            <w:r>
              <w:rPr>
                <w:color w:val="auto"/>
                <w:kern w:val="0"/>
                <w:szCs w:val="21"/>
                <w:lang w:bidi="ar"/>
              </w:rPr>
              <w:t>6000</w:t>
            </w:r>
          </w:p>
        </w:tc>
        <w:tc>
          <w:tcPr>
            <w:tcW w:w="1037" w:type="dxa"/>
            <w:tcBorders>
              <w:tl2br w:val="nil"/>
              <w:tr2bl w:val="nil"/>
            </w:tcBorders>
            <w:vAlign w:val="center"/>
          </w:tcPr>
          <w:p>
            <w:pPr>
              <w:adjustRightInd w:val="0"/>
              <w:snapToGrid w:val="0"/>
              <w:jc w:val="center"/>
              <w:rPr>
                <w:color w:val="auto"/>
                <w:szCs w:val="21"/>
              </w:rPr>
            </w:pPr>
            <w:r>
              <w:rPr>
                <w:color w:val="auto"/>
                <w:szCs w:val="21"/>
              </w:rPr>
              <w:t>200</w:t>
            </w:r>
          </w:p>
        </w:tc>
        <w:tc>
          <w:tcPr>
            <w:tcW w:w="1080" w:type="dxa"/>
            <w:tcBorders>
              <w:tl2br w:val="nil"/>
              <w:tr2bl w:val="nil"/>
            </w:tcBorders>
            <w:vAlign w:val="center"/>
          </w:tcPr>
          <w:p>
            <w:pPr>
              <w:jc w:val="center"/>
              <w:rPr>
                <w:color w:val="auto"/>
                <w:szCs w:val="21"/>
              </w:rPr>
            </w:pPr>
            <w:r>
              <w:rPr>
                <w:color w:val="auto"/>
                <w:szCs w:val="21"/>
              </w:rPr>
              <w:t>袋装</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jc w:val="center"/>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6</w:t>
            </w:r>
          </w:p>
        </w:tc>
        <w:tc>
          <w:tcPr>
            <w:tcW w:w="1077" w:type="dxa"/>
            <w:tcBorders>
              <w:tl2br w:val="nil"/>
              <w:tr2bl w:val="nil"/>
            </w:tcBorders>
            <w:vAlign w:val="center"/>
          </w:tcPr>
          <w:p>
            <w:pPr>
              <w:widowControl/>
              <w:jc w:val="center"/>
              <w:textAlignment w:val="center"/>
              <w:rPr>
                <w:color w:val="auto"/>
                <w:szCs w:val="21"/>
              </w:rPr>
            </w:pPr>
            <w:r>
              <w:rPr>
                <w:rStyle w:val="38"/>
                <w:rFonts w:hint="default" w:ascii="Times New Roman" w:hAnsi="Times New Roman" w:cs="Times New Roman"/>
                <w:color w:val="auto"/>
                <w:sz w:val="21"/>
                <w:szCs w:val="21"/>
                <w:lang w:bidi="ar"/>
              </w:rPr>
              <w:t>SBR颗粒</w:t>
            </w:r>
          </w:p>
        </w:tc>
        <w:tc>
          <w:tcPr>
            <w:tcW w:w="888" w:type="dxa"/>
            <w:tcBorders>
              <w:tl2br w:val="nil"/>
              <w:tr2bl w:val="nil"/>
            </w:tcBorders>
            <w:vAlign w:val="center"/>
          </w:tcPr>
          <w:p>
            <w:pPr>
              <w:pStyle w:val="48"/>
              <w:rPr>
                <w:color w:val="auto"/>
                <w:szCs w:val="21"/>
              </w:rPr>
            </w:pPr>
            <w:r>
              <w:rPr>
                <w:color w:val="auto"/>
                <w:szCs w:val="21"/>
              </w:rPr>
              <w:t>颗粒状固体</w:t>
            </w:r>
          </w:p>
        </w:tc>
        <w:tc>
          <w:tcPr>
            <w:tcW w:w="950" w:type="dxa"/>
            <w:tcBorders>
              <w:tl2br w:val="nil"/>
              <w:tr2bl w:val="nil"/>
            </w:tcBorders>
            <w:vAlign w:val="center"/>
          </w:tcPr>
          <w:p>
            <w:pPr>
              <w:widowControl/>
              <w:jc w:val="center"/>
              <w:textAlignment w:val="center"/>
              <w:rPr>
                <w:color w:val="auto"/>
                <w:szCs w:val="21"/>
              </w:rPr>
            </w:pPr>
            <w:r>
              <w:rPr>
                <w:color w:val="auto"/>
                <w:kern w:val="0"/>
                <w:szCs w:val="21"/>
                <w:lang w:bidi="ar"/>
              </w:rPr>
              <w:t>2100</w:t>
            </w:r>
          </w:p>
        </w:tc>
        <w:tc>
          <w:tcPr>
            <w:tcW w:w="1037" w:type="dxa"/>
            <w:tcBorders>
              <w:tl2br w:val="nil"/>
              <w:tr2bl w:val="nil"/>
            </w:tcBorders>
            <w:vAlign w:val="center"/>
          </w:tcPr>
          <w:p>
            <w:pPr>
              <w:adjustRightInd w:val="0"/>
              <w:snapToGrid w:val="0"/>
              <w:jc w:val="center"/>
              <w:rPr>
                <w:color w:val="auto"/>
                <w:szCs w:val="21"/>
              </w:rPr>
            </w:pPr>
            <w:r>
              <w:rPr>
                <w:color w:val="auto"/>
                <w:szCs w:val="21"/>
              </w:rPr>
              <w:t>100</w:t>
            </w:r>
          </w:p>
        </w:tc>
        <w:tc>
          <w:tcPr>
            <w:tcW w:w="1080" w:type="dxa"/>
            <w:tcBorders>
              <w:tl2br w:val="nil"/>
              <w:tr2bl w:val="nil"/>
            </w:tcBorders>
            <w:vAlign w:val="center"/>
          </w:tcPr>
          <w:p>
            <w:pPr>
              <w:jc w:val="center"/>
              <w:rPr>
                <w:color w:val="auto"/>
                <w:szCs w:val="21"/>
              </w:rPr>
            </w:pPr>
            <w:r>
              <w:rPr>
                <w:color w:val="auto"/>
                <w:szCs w:val="21"/>
              </w:rPr>
              <w:t>袋装</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jc w:val="center"/>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7</w:t>
            </w:r>
          </w:p>
        </w:tc>
        <w:tc>
          <w:tcPr>
            <w:tcW w:w="1077" w:type="dxa"/>
            <w:tcBorders>
              <w:tl2br w:val="nil"/>
              <w:tr2bl w:val="nil"/>
            </w:tcBorders>
            <w:vAlign w:val="center"/>
          </w:tcPr>
          <w:p>
            <w:pPr>
              <w:widowControl/>
              <w:jc w:val="center"/>
              <w:textAlignment w:val="center"/>
              <w:rPr>
                <w:color w:val="auto"/>
                <w:szCs w:val="21"/>
              </w:rPr>
            </w:pPr>
            <w:r>
              <w:rPr>
                <w:color w:val="auto"/>
                <w:kern w:val="0"/>
                <w:szCs w:val="21"/>
                <w:lang w:bidi="ar"/>
              </w:rPr>
              <w:t>软化油</w:t>
            </w:r>
          </w:p>
        </w:tc>
        <w:tc>
          <w:tcPr>
            <w:tcW w:w="888" w:type="dxa"/>
            <w:tcBorders>
              <w:tl2br w:val="nil"/>
              <w:tr2bl w:val="nil"/>
            </w:tcBorders>
            <w:vAlign w:val="center"/>
          </w:tcPr>
          <w:p>
            <w:pPr>
              <w:pStyle w:val="48"/>
              <w:rPr>
                <w:color w:val="auto"/>
                <w:szCs w:val="21"/>
              </w:rPr>
            </w:pPr>
            <w:r>
              <w:rPr>
                <w:color w:val="auto"/>
                <w:szCs w:val="21"/>
              </w:rPr>
              <w:t>液态</w:t>
            </w:r>
          </w:p>
        </w:tc>
        <w:tc>
          <w:tcPr>
            <w:tcW w:w="950" w:type="dxa"/>
            <w:tcBorders>
              <w:tl2br w:val="nil"/>
              <w:tr2bl w:val="nil"/>
            </w:tcBorders>
            <w:vAlign w:val="center"/>
          </w:tcPr>
          <w:p>
            <w:pPr>
              <w:widowControl/>
              <w:jc w:val="center"/>
              <w:textAlignment w:val="center"/>
              <w:rPr>
                <w:color w:val="auto"/>
                <w:szCs w:val="21"/>
              </w:rPr>
            </w:pPr>
            <w:r>
              <w:rPr>
                <w:color w:val="auto"/>
                <w:kern w:val="0"/>
                <w:szCs w:val="21"/>
                <w:lang w:bidi="ar"/>
              </w:rPr>
              <w:t>500</w:t>
            </w:r>
          </w:p>
        </w:tc>
        <w:tc>
          <w:tcPr>
            <w:tcW w:w="1037" w:type="dxa"/>
            <w:tcBorders>
              <w:tl2br w:val="nil"/>
              <w:tr2bl w:val="nil"/>
            </w:tcBorders>
            <w:vAlign w:val="center"/>
          </w:tcPr>
          <w:p>
            <w:pPr>
              <w:adjustRightInd w:val="0"/>
              <w:snapToGrid w:val="0"/>
              <w:jc w:val="center"/>
              <w:rPr>
                <w:color w:val="auto"/>
                <w:szCs w:val="21"/>
              </w:rPr>
            </w:pPr>
            <w:r>
              <w:rPr>
                <w:color w:val="auto"/>
                <w:szCs w:val="21"/>
              </w:rPr>
              <w:t>20</w:t>
            </w:r>
          </w:p>
        </w:tc>
        <w:tc>
          <w:tcPr>
            <w:tcW w:w="1080" w:type="dxa"/>
            <w:tcBorders>
              <w:tl2br w:val="nil"/>
              <w:tr2bl w:val="nil"/>
            </w:tcBorders>
            <w:vAlign w:val="center"/>
          </w:tcPr>
          <w:p>
            <w:pPr>
              <w:pStyle w:val="48"/>
              <w:rPr>
                <w:color w:val="auto"/>
                <w:szCs w:val="21"/>
              </w:rPr>
            </w:pPr>
            <w:r>
              <w:rPr>
                <w:color w:val="auto"/>
                <w:szCs w:val="21"/>
              </w:rPr>
              <w:t>储罐</w:t>
            </w:r>
          </w:p>
        </w:tc>
        <w:tc>
          <w:tcPr>
            <w:tcW w:w="1309" w:type="dxa"/>
            <w:tcBorders>
              <w:tl2br w:val="nil"/>
              <w:tr2bl w:val="nil"/>
            </w:tcBorders>
            <w:vAlign w:val="center"/>
          </w:tcPr>
          <w:p>
            <w:pPr>
              <w:jc w:val="center"/>
              <w:rPr>
                <w:color w:val="auto"/>
                <w:szCs w:val="21"/>
              </w:rPr>
            </w:pPr>
            <w:r>
              <w:rPr>
                <w:color w:val="auto"/>
                <w:szCs w:val="21"/>
              </w:rPr>
              <w:t>软化油储罐</w:t>
            </w:r>
          </w:p>
        </w:tc>
        <w:tc>
          <w:tcPr>
            <w:tcW w:w="2172" w:type="dxa"/>
            <w:tcBorders>
              <w:tl2br w:val="nil"/>
              <w:tr2bl w:val="nil"/>
            </w:tcBorders>
            <w:vAlign w:val="center"/>
          </w:tcPr>
          <w:p>
            <w:pPr>
              <w:pStyle w:val="48"/>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color w:val="auto"/>
                <w:szCs w:val="21"/>
              </w:rPr>
              <w:t>8</w:t>
            </w:r>
          </w:p>
        </w:tc>
        <w:tc>
          <w:tcPr>
            <w:tcW w:w="1077" w:type="dxa"/>
            <w:tcBorders>
              <w:tl2br w:val="nil"/>
              <w:tr2bl w:val="nil"/>
            </w:tcBorders>
            <w:vAlign w:val="center"/>
          </w:tcPr>
          <w:p>
            <w:pPr>
              <w:pStyle w:val="48"/>
              <w:rPr>
                <w:color w:val="auto"/>
                <w:szCs w:val="21"/>
              </w:rPr>
            </w:pPr>
            <w:r>
              <w:rPr>
                <w:rFonts w:hint="eastAsia"/>
                <w:color w:val="auto"/>
                <w:szCs w:val="21"/>
              </w:rPr>
              <w:t>胎体</w:t>
            </w:r>
          </w:p>
        </w:tc>
        <w:tc>
          <w:tcPr>
            <w:tcW w:w="888" w:type="dxa"/>
            <w:tcBorders>
              <w:tl2br w:val="nil"/>
              <w:tr2bl w:val="nil"/>
            </w:tcBorders>
            <w:vAlign w:val="center"/>
          </w:tcPr>
          <w:p>
            <w:pPr>
              <w:pStyle w:val="48"/>
              <w:rPr>
                <w:color w:val="auto"/>
                <w:szCs w:val="21"/>
              </w:rPr>
            </w:pPr>
            <w:r>
              <w:rPr>
                <w:rFonts w:hint="eastAsia"/>
                <w:color w:val="auto"/>
                <w:szCs w:val="21"/>
              </w:rPr>
              <w:t>固态</w:t>
            </w:r>
          </w:p>
        </w:tc>
        <w:tc>
          <w:tcPr>
            <w:tcW w:w="950" w:type="dxa"/>
            <w:tcBorders>
              <w:tl2br w:val="nil"/>
              <w:tr2bl w:val="nil"/>
            </w:tcBorders>
            <w:vAlign w:val="center"/>
          </w:tcPr>
          <w:p>
            <w:pPr>
              <w:pStyle w:val="48"/>
              <w:rPr>
                <w:color w:val="auto"/>
                <w:szCs w:val="21"/>
              </w:rPr>
            </w:pPr>
            <w:r>
              <w:rPr>
                <w:color w:val="auto"/>
                <w:szCs w:val="21"/>
              </w:rPr>
              <w:t>20</w:t>
            </w:r>
          </w:p>
        </w:tc>
        <w:tc>
          <w:tcPr>
            <w:tcW w:w="1037" w:type="dxa"/>
            <w:tcBorders>
              <w:tl2br w:val="nil"/>
              <w:tr2bl w:val="nil"/>
            </w:tcBorders>
            <w:vAlign w:val="center"/>
          </w:tcPr>
          <w:p>
            <w:pPr>
              <w:pStyle w:val="48"/>
              <w:rPr>
                <w:color w:val="auto"/>
                <w:szCs w:val="21"/>
              </w:rPr>
            </w:pPr>
            <w:r>
              <w:rPr>
                <w:rFonts w:hint="eastAsia"/>
                <w:color w:val="auto"/>
                <w:szCs w:val="21"/>
              </w:rPr>
              <w:t>2</w:t>
            </w:r>
          </w:p>
        </w:tc>
        <w:tc>
          <w:tcPr>
            <w:tcW w:w="1080" w:type="dxa"/>
            <w:tcBorders>
              <w:tl2br w:val="nil"/>
              <w:tr2bl w:val="nil"/>
            </w:tcBorders>
            <w:vAlign w:val="center"/>
          </w:tcPr>
          <w:p>
            <w:pPr>
              <w:pStyle w:val="48"/>
              <w:rPr>
                <w:color w:val="auto"/>
                <w:szCs w:val="21"/>
              </w:rPr>
            </w:pPr>
            <w:r>
              <w:rPr>
                <w:rFonts w:hint="eastAsia"/>
                <w:color w:val="auto"/>
                <w:szCs w:val="21"/>
              </w:rPr>
              <w:t>卷装</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pStyle w:val="48"/>
              <w:rPr>
                <w:color w:val="auto"/>
                <w:szCs w:val="21"/>
              </w:rPr>
            </w:pPr>
            <w:r>
              <w:rPr>
                <w:color w:val="auto"/>
                <w:szCs w:val="21"/>
              </w:rPr>
              <w:t>外购，用于卷材生产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rFonts w:hint="eastAsia"/>
                <w:color w:val="auto"/>
                <w:szCs w:val="21"/>
              </w:rPr>
              <w:t>9</w:t>
            </w:r>
          </w:p>
        </w:tc>
        <w:tc>
          <w:tcPr>
            <w:tcW w:w="1077" w:type="dxa"/>
            <w:tcBorders>
              <w:tl2br w:val="nil"/>
              <w:tr2bl w:val="nil"/>
            </w:tcBorders>
            <w:vAlign w:val="center"/>
          </w:tcPr>
          <w:p>
            <w:pPr>
              <w:pStyle w:val="48"/>
              <w:rPr>
                <w:color w:val="auto"/>
                <w:szCs w:val="21"/>
              </w:rPr>
            </w:pPr>
            <w:r>
              <w:rPr>
                <w:rFonts w:hint="eastAsia"/>
                <w:color w:val="auto"/>
                <w:szCs w:val="21"/>
              </w:rPr>
              <w:t>导热油</w:t>
            </w:r>
          </w:p>
        </w:tc>
        <w:tc>
          <w:tcPr>
            <w:tcW w:w="888" w:type="dxa"/>
            <w:tcBorders>
              <w:tl2br w:val="nil"/>
              <w:tr2bl w:val="nil"/>
            </w:tcBorders>
            <w:vAlign w:val="center"/>
          </w:tcPr>
          <w:p>
            <w:pPr>
              <w:pStyle w:val="48"/>
              <w:rPr>
                <w:color w:val="auto"/>
                <w:szCs w:val="21"/>
              </w:rPr>
            </w:pPr>
            <w:r>
              <w:rPr>
                <w:rFonts w:hint="eastAsia"/>
                <w:color w:val="auto"/>
                <w:szCs w:val="21"/>
              </w:rPr>
              <w:t>液体</w:t>
            </w:r>
          </w:p>
        </w:tc>
        <w:tc>
          <w:tcPr>
            <w:tcW w:w="950" w:type="dxa"/>
            <w:tcBorders>
              <w:tl2br w:val="nil"/>
              <w:tr2bl w:val="nil"/>
            </w:tcBorders>
            <w:vAlign w:val="center"/>
          </w:tcPr>
          <w:p>
            <w:pPr>
              <w:pStyle w:val="48"/>
              <w:rPr>
                <w:color w:val="auto"/>
                <w:szCs w:val="21"/>
              </w:rPr>
            </w:pPr>
            <w:r>
              <w:rPr>
                <w:rFonts w:hint="eastAsia"/>
                <w:color w:val="auto"/>
                <w:szCs w:val="21"/>
              </w:rPr>
              <w:t>1</w:t>
            </w:r>
          </w:p>
        </w:tc>
        <w:tc>
          <w:tcPr>
            <w:tcW w:w="1037" w:type="dxa"/>
            <w:tcBorders>
              <w:tl2br w:val="nil"/>
              <w:tr2bl w:val="nil"/>
            </w:tcBorders>
            <w:vAlign w:val="center"/>
          </w:tcPr>
          <w:p>
            <w:pPr>
              <w:pStyle w:val="48"/>
              <w:rPr>
                <w:color w:val="auto"/>
                <w:szCs w:val="21"/>
              </w:rPr>
            </w:pPr>
            <w:r>
              <w:rPr>
                <w:rFonts w:hint="eastAsia"/>
                <w:color w:val="auto"/>
                <w:szCs w:val="21"/>
              </w:rPr>
              <w:t>0.5</w:t>
            </w:r>
          </w:p>
        </w:tc>
        <w:tc>
          <w:tcPr>
            <w:tcW w:w="1080" w:type="dxa"/>
            <w:tcBorders>
              <w:tl2br w:val="nil"/>
              <w:tr2bl w:val="nil"/>
            </w:tcBorders>
            <w:vAlign w:val="center"/>
          </w:tcPr>
          <w:p>
            <w:pPr>
              <w:pStyle w:val="48"/>
              <w:rPr>
                <w:color w:val="auto"/>
                <w:szCs w:val="21"/>
              </w:rPr>
            </w:pPr>
            <w:r>
              <w:rPr>
                <w:color w:val="auto"/>
                <w:szCs w:val="21"/>
              </w:rPr>
              <w:t>40公斤/</w:t>
            </w:r>
            <w:r>
              <w:rPr>
                <w:rFonts w:hint="eastAsia"/>
                <w:color w:val="auto"/>
                <w:szCs w:val="21"/>
              </w:rPr>
              <w:t>桶</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pStyle w:val="48"/>
              <w:rPr>
                <w:color w:val="auto"/>
                <w:szCs w:val="21"/>
              </w:rPr>
            </w:pPr>
            <w:r>
              <w:rPr>
                <w:color w:val="auto"/>
                <w:szCs w:val="21"/>
              </w:rPr>
              <w:t>外购，</w:t>
            </w:r>
            <w:r>
              <w:rPr>
                <w:rFonts w:hint="eastAsia"/>
                <w:color w:val="auto"/>
                <w:szCs w:val="21"/>
              </w:rPr>
              <w:t>作为加热介质用于导热油炉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dxa"/>
            <w:tcBorders>
              <w:tl2br w:val="nil"/>
              <w:tr2bl w:val="nil"/>
            </w:tcBorders>
            <w:vAlign w:val="center"/>
          </w:tcPr>
          <w:p>
            <w:pPr>
              <w:pStyle w:val="48"/>
              <w:rPr>
                <w:color w:val="auto"/>
                <w:szCs w:val="21"/>
              </w:rPr>
            </w:pPr>
            <w:r>
              <w:rPr>
                <w:rFonts w:hint="eastAsia"/>
                <w:color w:val="auto"/>
                <w:szCs w:val="21"/>
              </w:rPr>
              <w:t>10</w:t>
            </w:r>
          </w:p>
        </w:tc>
        <w:tc>
          <w:tcPr>
            <w:tcW w:w="1077" w:type="dxa"/>
            <w:tcBorders>
              <w:tl2br w:val="nil"/>
              <w:tr2bl w:val="nil"/>
            </w:tcBorders>
            <w:vAlign w:val="center"/>
          </w:tcPr>
          <w:p>
            <w:pPr>
              <w:pStyle w:val="48"/>
              <w:rPr>
                <w:color w:val="auto"/>
                <w:szCs w:val="21"/>
              </w:rPr>
            </w:pPr>
            <w:r>
              <w:rPr>
                <w:rFonts w:hint="eastAsia"/>
                <w:color w:val="auto"/>
                <w:szCs w:val="21"/>
              </w:rPr>
              <w:t>润滑油</w:t>
            </w:r>
          </w:p>
        </w:tc>
        <w:tc>
          <w:tcPr>
            <w:tcW w:w="888" w:type="dxa"/>
            <w:tcBorders>
              <w:tl2br w:val="nil"/>
              <w:tr2bl w:val="nil"/>
            </w:tcBorders>
            <w:vAlign w:val="center"/>
          </w:tcPr>
          <w:p>
            <w:pPr>
              <w:pStyle w:val="48"/>
              <w:rPr>
                <w:color w:val="auto"/>
                <w:szCs w:val="21"/>
              </w:rPr>
            </w:pPr>
            <w:r>
              <w:rPr>
                <w:color w:val="auto"/>
                <w:szCs w:val="21"/>
              </w:rPr>
              <w:t>液体</w:t>
            </w:r>
          </w:p>
        </w:tc>
        <w:tc>
          <w:tcPr>
            <w:tcW w:w="950" w:type="dxa"/>
            <w:tcBorders>
              <w:tl2br w:val="nil"/>
              <w:tr2bl w:val="nil"/>
            </w:tcBorders>
            <w:vAlign w:val="center"/>
          </w:tcPr>
          <w:p>
            <w:pPr>
              <w:pStyle w:val="48"/>
              <w:rPr>
                <w:color w:val="auto"/>
                <w:szCs w:val="21"/>
              </w:rPr>
            </w:pPr>
            <w:r>
              <w:rPr>
                <w:color w:val="auto"/>
                <w:szCs w:val="21"/>
              </w:rPr>
              <w:t>0.08</w:t>
            </w:r>
          </w:p>
        </w:tc>
        <w:tc>
          <w:tcPr>
            <w:tcW w:w="1037" w:type="dxa"/>
            <w:tcBorders>
              <w:tl2br w:val="nil"/>
              <w:tr2bl w:val="nil"/>
            </w:tcBorders>
            <w:vAlign w:val="center"/>
          </w:tcPr>
          <w:p>
            <w:pPr>
              <w:pStyle w:val="48"/>
              <w:rPr>
                <w:color w:val="auto"/>
                <w:szCs w:val="21"/>
              </w:rPr>
            </w:pPr>
            <w:r>
              <w:rPr>
                <w:color w:val="auto"/>
                <w:szCs w:val="21"/>
              </w:rPr>
              <w:t>0.04</w:t>
            </w:r>
          </w:p>
        </w:tc>
        <w:tc>
          <w:tcPr>
            <w:tcW w:w="1080" w:type="dxa"/>
            <w:tcBorders>
              <w:tl2br w:val="nil"/>
              <w:tr2bl w:val="nil"/>
            </w:tcBorders>
            <w:vAlign w:val="center"/>
          </w:tcPr>
          <w:p>
            <w:pPr>
              <w:pStyle w:val="48"/>
              <w:rPr>
                <w:color w:val="auto"/>
                <w:szCs w:val="21"/>
              </w:rPr>
            </w:pPr>
            <w:r>
              <w:rPr>
                <w:color w:val="auto"/>
                <w:szCs w:val="21"/>
              </w:rPr>
              <w:t>40公斤/</w:t>
            </w:r>
            <w:r>
              <w:rPr>
                <w:rFonts w:hint="eastAsia"/>
                <w:color w:val="auto"/>
                <w:szCs w:val="21"/>
              </w:rPr>
              <w:t>桶</w:t>
            </w:r>
          </w:p>
        </w:tc>
        <w:tc>
          <w:tcPr>
            <w:tcW w:w="1309" w:type="dxa"/>
            <w:tcBorders>
              <w:tl2br w:val="nil"/>
              <w:tr2bl w:val="nil"/>
            </w:tcBorders>
            <w:vAlign w:val="center"/>
          </w:tcPr>
          <w:p>
            <w:pPr>
              <w:jc w:val="center"/>
              <w:rPr>
                <w:color w:val="auto"/>
                <w:szCs w:val="21"/>
              </w:rPr>
            </w:pPr>
            <w:r>
              <w:rPr>
                <w:color w:val="auto"/>
                <w:szCs w:val="21"/>
              </w:rPr>
              <w:t>原料堆放区</w:t>
            </w:r>
          </w:p>
        </w:tc>
        <w:tc>
          <w:tcPr>
            <w:tcW w:w="2172" w:type="dxa"/>
            <w:tcBorders>
              <w:tl2br w:val="nil"/>
              <w:tr2bl w:val="nil"/>
            </w:tcBorders>
            <w:vAlign w:val="center"/>
          </w:tcPr>
          <w:p>
            <w:pPr>
              <w:pStyle w:val="48"/>
              <w:rPr>
                <w:color w:val="auto"/>
                <w:szCs w:val="21"/>
              </w:rPr>
            </w:pPr>
            <w:r>
              <w:rPr>
                <w:color w:val="auto"/>
                <w:szCs w:val="21"/>
              </w:rPr>
              <w:t>设备维护</w:t>
            </w:r>
          </w:p>
        </w:tc>
      </w:tr>
    </w:tbl>
    <w:p>
      <w:pPr>
        <w:spacing w:line="360" w:lineRule="auto"/>
        <w:ind w:firstLine="480"/>
        <w:rPr>
          <w:color w:val="auto"/>
          <w:sz w:val="24"/>
        </w:rPr>
      </w:pPr>
      <w:r>
        <w:rPr>
          <w:rFonts w:hint="eastAsia"/>
          <w:color w:val="auto"/>
          <w:sz w:val="24"/>
        </w:rPr>
        <w:t>2、</w:t>
      </w:r>
      <w:r>
        <w:rPr>
          <w:color w:val="auto"/>
          <w:sz w:val="24"/>
        </w:rPr>
        <w:t>原辅材料理化</w:t>
      </w:r>
      <w:r>
        <w:rPr>
          <w:rFonts w:hint="eastAsia"/>
          <w:color w:val="auto"/>
          <w:sz w:val="24"/>
        </w:rPr>
        <w:t>性质</w:t>
      </w:r>
    </w:p>
    <w:p>
      <w:pPr>
        <w:spacing w:line="360" w:lineRule="auto"/>
        <w:ind w:firstLine="480"/>
        <w:rPr>
          <w:color w:val="auto"/>
          <w:sz w:val="24"/>
        </w:rPr>
      </w:pPr>
      <w:r>
        <w:rPr>
          <w:color w:val="auto"/>
          <w:sz w:val="24"/>
        </w:rPr>
        <w:t>（1）</w:t>
      </w:r>
      <w:r>
        <w:rPr>
          <w:rFonts w:hint="eastAsia"/>
          <w:color w:val="auto"/>
          <w:sz w:val="24"/>
        </w:rPr>
        <w:t>覆铜板</w:t>
      </w:r>
    </w:p>
    <w:p>
      <w:pPr>
        <w:adjustRightInd w:val="0"/>
        <w:snapToGrid w:val="0"/>
        <w:spacing w:line="360" w:lineRule="auto"/>
        <w:ind w:firstLine="480" w:firstLineChars="200"/>
        <w:rPr>
          <w:color w:val="auto"/>
          <w:sz w:val="24"/>
          <w:shd w:val="clear" w:color="auto" w:fill="FFFFFF"/>
        </w:rPr>
      </w:pPr>
      <w:r>
        <w:rPr>
          <w:color w:val="auto"/>
          <w:sz w:val="24"/>
          <w:shd w:val="clear" w:color="auto" w:fill="FFFFFF"/>
        </w:rPr>
        <w:t>覆铜板（CopperCladLaminate，全称覆铜箔层压板，英文简称CCL），是将电子</w:t>
      </w:r>
      <w:r>
        <w:rPr>
          <w:color w:val="auto"/>
          <w:sz w:val="24"/>
          <w:shd w:val="clear" w:color="auto" w:fill="FFFFFF"/>
        </w:rPr>
        <w:fldChar w:fldCharType="begin"/>
      </w:r>
      <w:r>
        <w:rPr>
          <w:color w:val="auto"/>
          <w:sz w:val="24"/>
          <w:shd w:val="clear" w:color="auto" w:fill="FFFFFF"/>
        </w:rPr>
        <w:instrText xml:space="preserve"> HYPERLINK "https://baike.baidu.com/item/%E7%8E%BB%E7%BA%A4%E5%B8%83/5216299" \t "https://baike.baidu.com/item/%E8%A6%86%E9%93%9C%E7%AE%94%E5%B1%82%E5%8E%8B%E6%9D%BF/_blank" </w:instrText>
      </w:r>
      <w:r>
        <w:rPr>
          <w:color w:val="auto"/>
          <w:sz w:val="24"/>
          <w:shd w:val="clear" w:color="auto" w:fill="FFFFFF"/>
        </w:rPr>
        <w:fldChar w:fldCharType="separate"/>
      </w:r>
      <w:r>
        <w:rPr>
          <w:rStyle w:val="27"/>
          <w:color w:val="auto"/>
          <w:sz w:val="24"/>
          <w:u w:val="none"/>
          <w:shd w:val="clear" w:color="auto" w:fill="FFFFFF"/>
        </w:rPr>
        <w:t>玻纤布</w:t>
      </w:r>
      <w:r>
        <w:rPr>
          <w:color w:val="auto"/>
          <w:sz w:val="24"/>
          <w:shd w:val="clear" w:color="auto" w:fill="FFFFFF"/>
        </w:rPr>
        <w:fldChar w:fldCharType="end"/>
      </w:r>
      <w:r>
        <w:rPr>
          <w:color w:val="auto"/>
          <w:sz w:val="24"/>
          <w:shd w:val="clear" w:color="auto" w:fill="FFFFFF"/>
        </w:rPr>
        <w:t>或其它增强材料浸以树脂，一面或双面覆以铜箔并经热压而制成的一种板状材料。在其基础上进行加工、</w:t>
      </w:r>
      <w:r>
        <w:rPr>
          <w:color w:val="auto"/>
        </w:rPr>
        <w:fldChar w:fldCharType="begin"/>
      </w:r>
      <w:r>
        <w:rPr>
          <w:color w:val="auto"/>
        </w:rPr>
        <w:instrText xml:space="preserve"> HYPERLINK "https://baike.baidu.com/item/%E8%9A%80%E5%88%BB/5492484" \t "https://baike.baidu.com/item/%E8%A6%86%E9%93%9C%E7%AE%94%E5%B1%82%E5%8E%8B%E6%9D%BF/_blank" </w:instrText>
      </w:r>
      <w:r>
        <w:rPr>
          <w:color w:val="auto"/>
        </w:rPr>
        <w:fldChar w:fldCharType="separate"/>
      </w:r>
      <w:r>
        <w:rPr>
          <w:rStyle w:val="27"/>
          <w:color w:val="auto"/>
          <w:sz w:val="24"/>
          <w:u w:val="none"/>
          <w:shd w:val="clear" w:color="auto" w:fill="FFFFFF"/>
        </w:rPr>
        <w:t>蚀刻</w:t>
      </w:r>
      <w:r>
        <w:rPr>
          <w:rStyle w:val="27"/>
          <w:color w:val="auto"/>
          <w:sz w:val="24"/>
          <w:u w:val="none"/>
          <w:shd w:val="clear" w:color="auto" w:fill="FFFFFF"/>
        </w:rPr>
        <w:fldChar w:fldCharType="end"/>
      </w:r>
      <w:r>
        <w:rPr>
          <w:color w:val="auto"/>
          <w:sz w:val="24"/>
          <w:shd w:val="clear" w:color="auto" w:fill="FFFFFF"/>
        </w:rPr>
        <w:t>、钻孔及镀铜等工序，可制成不同的印制电路。</w:t>
      </w:r>
    </w:p>
    <w:p>
      <w:pPr>
        <w:adjustRightInd w:val="0"/>
        <w:snapToGrid w:val="0"/>
        <w:spacing w:line="360" w:lineRule="auto"/>
        <w:ind w:firstLine="480" w:firstLineChars="200"/>
        <w:rPr>
          <w:color w:val="auto"/>
          <w:sz w:val="24"/>
          <w:shd w:val="clear" w:color="auto" w:fill="FFFFFF"/>
        </w:rPr>
      </w:pPr>
      <w:r>
        <w:rPr>
          <w:color w:val="auto"/>
          <w:sz w:val="24"/>
          <w:shd w:val="clear" w:color="auto" w:fill="FFFFFF"/>
        </w:rPr>
        <w:t>覆铜板结构比较单一，其主要由基板、铜箔和粘合剂3种材料组成。基板一般为高分子合成树脂和增强材料组成的绝缘层压板。合成树脂的种类繁多，常用的有酚醛树脂、环氧树脂、聚四氟乙烯等。增强材料一般有纸质和布质两种，它们决定了基板的机械性能，如耐浸焊性、抗弯强度等。铜箔是制造</w:t>
      </w:r>
      <w:r>
        <w:rPr>
          <w:rFonts w:hint="eastAsia"/>
          <w:color w:val="auto"/>
          <w:sz w:val="24"/>
          <w:shd w:val="clear" w:color="auto" w:fill="FFFFFF"/>
        </w:rPr>
        <w:t>覆</w:t>
      </w:r>
      <w:r>
        <w:rPr>
          <w:color w:val="auto"/>
          <w:sz w:val="24"/>
          <w:shd w:val="clear" w:color="auto" w:fill="FFFFFF"/>
        </w:rPr>
        <w:t>铜板的关键材料，由纯铜构成，覆盖在覆铜板表面，厚度较薄，从18至105μm不等。粘合剂主要将铜箔固定、粘合在基板表面，是铜箔能否牢固地覆在基板上的重要因素。</w:t>
      </w:r>
    </w:p>
    <w:p>
      <w:pPr>
        <w:spacing w:line="360" w:lineRule="auto"/>
        <w:ind w:firstLine="480"/>
        <w:rPr>
          <w:color w:val="auto"/>
          <w:sz w:val="24"/>
          <w:shd w:val="clear" w:color="auto" w:fill="FFFFFF"/>
        </w:rPr>
      </w:pPr>
      <w:r>
        <w:rPr>
          <w:color w:val="auto"/>
          <w:sz w:val="24"/>
          <w:shd w:val="clear" w:color="auto" w:fill="FFFFFF"/>
        </w:rPr>
        <w:t>项目</w:t>
      </w:r>
      <w:r>
        <w:rPr>
          <w:color w:val="auto"/>
          <w:sz w:val="24"/>
        </w:rPr>
        <w:t>主要面向新型电子</w:t>
      </w:r>
      <w:r>
        <w:rPr>
          <w:rFonts w:hint="eastAsia"/>
          <w:color w:val="auto"/>
          <w:sz w:val="24"/>
        </w:rPr>
        <w:t>板加工</w:t>
      </w:r>
      <w:r>
        <w:rPr>
          <w:color w:val="auto"/>
          <w:sz w:val="24"/>
        </w:rPr>
        <w:t>企业回收废覆铜板，收取的废覆铜板全部采用无铅焊锡，且不含元器件、芯片、插件、贴脚等。</w:t>
      </w:r>
      <w:r>
        <w:rPr>
          <w:color w:val="auto"/>
          <w:sz w:val="24"/>
          <w:shd w:val="clear" w:color="auto" w:fill="FFFFFF"/>
        </w:rPr>
        <w:t>属于一般固体废物，经破碎处理后可得树脂粉末和铜粉</w:t>
      </w:r>
      <w:r>
        <w:rPr>
          <w:rFonts w:hint="eastAsia"/>
          <w:color w:val="auto"/>
          <w:sz w:val="24"/>
          <w:shd w:val="clear" w:color="auto" w:fill="FFFFFF"/>
        </w:rPr>
        <w:t>。</w:t>
      </w:r>
    </w:p>
    <w:p>
      <w:pPr>
        <w:spacing w:line="360" w:lineRule="auto"/>
        <w:ind w:firstLine="480"/>
        <w:rPr>
          <w:rFonts w:ascii="MicrosoftYaHei" w:hAnsi="MicrosoftYaHei" w:eastAsia="MicrosoftYaHei"/>
          <w:color w:val="auto"/>
          <w:sz w:val="24"/>
        </w:rPr>
      </w:pPr>
      <w:r>
        <w:rPr>
          <w:rFonts w:hint="eastAsia"/>
          <w:color w:val="auto"/>
          <w:sz w:val="24"/>
          <w:shd w:val="clear" w:color="auto" w:fill="FFFFFF"/>
        </w:rPr>
        <w:t>为明确项目回收回来的覆铜板的成分，项目于2020年5月8日对现有项目的回收的覆铜板进行了随机取样，并委托</w:t>
      </w:r>
      <w:r>
        <w:rPr>
          <w:rFonts w:hint="eastAsia" w:ascii="MicrosoftYaHei" w:hAnsi="MicrosoftYaHei" w:eastAsia="MicrosoftYaHei"/>
          <w:color w:val="auto"/>
          <w:sz w:val="24"/>
        </w:rPr>
        <w:t>广州博诺通技术股份有限公司对其进行成分分</w:t>
      </w:r>
      <w:r>
        <w:rPr>
          <w:rFonts w:hint="eastAsia"/>
          <w:color w:val="auto"/>
          <w:sz w:val="24"/>
          <w:shd w:val="clear" w:color="auto" w:fill="FFFFFF"/>
        </w:rPr>
        <w:t>析,（报告编号：BNT20200513001），分</w:t>
      </w:r>
      <w:r>
        <w:rPr>
          <w:rFonts w:hint="eastAsia" w:ascii="MicrosoftYaHei" w:hAnsi="MicrosoftYaHei" w:eastAsia="MicrosoftYaHei"/>
          <w:color w:val="auto"/>
          <w:sz w:val="24"/>
        </w:rPr>
        <w:t>析结果如下表。</w:t>
      </w:r>
    </w:p>
    <w:p>
      <w:pPr>
        <w:spacing w:line="360" w:lineRule="auto"/>
        <w:ind w:firstLine="480"/>
        <w:jc w:val="center"/>
        <w:rPr>
          <w:b/>
          <w:bCs/>
          <w:color w:val="auto"/>
          <w:szCs w:val="21"/>
        </w:rPr>
      </w:pPr>
      <w:r>
        <w:rPr>
          <w:b/>
          <w:bCs/>
          <w:color w:val="auto"/>
          <w:szCs w:val="21"/>
        </w:rPr>
        <w:t>表4.3-2  项目回收的覆铜板成分分析结果</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276"/>
        <w:gridCol w:w="1706"/>
        <w:gridCol w:w="1491"/>
        <w:gridCol w:w="1492"/>
        <w:gridCol w:w="1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73" w:type="dxa"/>
            <w:gridSpan w:val="3"/>
            <w:vAlign w:val="center"/>
          </w:tcPr>
          <w:p>
            <w:pPr>
              <w:spacing w:line="300" w:lineRule="auto"/>
              <w:jc w:val="center"/>
              <w:rPr>
                <w:color w:val="auto"/>
                <w:szCs w:val="21"/>
              </w:rPr>
            </w:pPr>
            <w:r>
              <w:rPr>
                <w:color w:val="auto"/>
                <w:szCs w:val="21"/>
              </w:rPr>
              <w:t>测试项目</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1#样品</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2#样品</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3#样品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restart"/>
            <w:vAlign w:val="center"/>
          </w:tcPr>
          <w:p>
            <w:pPr>
              <w:spacing w:line="300" w:lineRule="auto"/>
              <w:jc w:val="center"/>
              <w:rPr>
                <w:color w:val="auto"/>
                <w:szCs w:val="21"/>
              </w:rPr>
            </w:pPr>
            <w:r>
              <w:rPr>
                <w:color w:val="auto"/>
                <w:szCs w:val="21"/>
              </w:rPr>
              <w:t>非金属成分</w:t>
            </w:r>
          </w:p>
        </w:tc>
        <w:tc>
          <w:tcPr>
            <w:tcW w:w="2982" w:type="dxa"/>
            <w:gridSpan w:val="2"/>
            <w:vAlign w:val="center"/>
          </w:tcPr>
          <w:p>
            <w:pPr>
              <w:spacing w:line="300" w:lineRule="auto"/>
              <w:jc w:val="center"/>
              <w:rPr>
                <w:color w:val="auto"/>
                <w:szCs w:val="21"/>
              </w:rPr>
            </w:pPr>
            <w:r>
              <w:rPr>
                <w:color w:val="auto"/>
                <w:szCs w:val="21"/>
              </w:rPr>
              <w:t>树脂（%）</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1.67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15.77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spacing w:line="300" w:lineRule="auto"/>
              <w:jc w:val="center"/>
              <w:rPr>
                <w:color w:val="auto"/>
                <w:szCs w:val="21"/>
              </w:rPr>
            </w:pPr>
            <w:r>
              <w:rPr>
                <w:color w:val="auto"/>
                <w:szCs w:val="21"/>
              </w:rPr>
              <w:t>玻璃纤维（%）</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2.73</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39.89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硅-</w:t>
            </w:r>
            <w:r>
              <w:rPr>
                <w:color w:val="auto"/>
                <w:szCs w:val="21"/>
                <w:lang w:bidi="zh-CN"/>
              </w:rPr>
              <w:t>Si（mg/kg）</w:t>
            </w:r>
          </w:p>
        </w:tc>
        <w:tc>
          <w:tcPr>
            <w:tcW w:w="1491" w:type="dxa"/>
            <w:vAlign w:val="center"/>
          </w:tcPr>
          <w:p>
            <w:pPr>
              <w:widowControl/>
              <w:spacing w:line="300" w:lineRule="auto"/>
              <w:jc w:val="center"/>
              <w:textAlignment w:val="bottom"/>
              <w:rPr>
                <w:color w:val="auto"/>
                <w:szCs w:val="21"/>
              </w:rPr>
            </w:pPr>
            <w:r>
              <w:rPr>
                <w:color w:val="auto"/>
                <w:szCs w:val="21"/>
                <w:lang w:bidi="zh-CN"/>
              </w:rPr>
              <w:t>1337.1</w:t>
            </w:r>
          </w:p>
        </w:tc>
        <w:tc>
          <w:tcPr>
            <w:tcW w:w="1492" w:type="dxa"/>
            <w:vAlign w:val="center"/>
          </w:tcPr>
          <w:p>
            <w:pPr>
              <w:widowControl/>
              <w:spacing w:line="300" w:lineRule="auto"/>
              <w:jc w:val="center"/>
              <w:textAlignment w:val="bottom"/>
              <w:rPr>
                <w:color w:val="auto"/>
                <w:szCs w:val="21"/>
              </w:rPr>
            </w:pPr>
            <w:r>
              <w:rPr>
                <w:color w:val="auto"/>
                <w:szCs w:val="21"/>
                <w:lang w:bidi="zh-CN"/>
              </w:rPr>
              <w:t>77272.3</w:t>
            </w:r>
          </w:p>
        </w:tc>
        <w:tc>
          <w:tcPr>
            <w:tcW w:w="1492" w:type="dxa"/>
            <w:vAlign w:val="center"/>
          </w:tcPr>
          <w:p>
            <w:pPr>
              <w:widowControl/>
              <w:spacing w:line="300" w:lineRule="auto"/>
              <w:jc w:val="center"/>
              <w:textAlignment w:val="bottom"/>
              <w:rPr>
                <w:color w:val="auto"/>
                <w:szCs w:val="21"/>
              </w:rPr>
            </w:pPr>
            <w:r>
              <w:rPr>
                <w:color w:val="auto"/>
                <w:szCs w:val="21"/>
                <w:lang w:bidi="zh-CN"/>
              </w:rPr>
              <w:t>2238.7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lang w:bidi="zh-CN"/>
              </w:rPr>
            </w:pPr>
            <w:r>
              <w:rPr>
                <w:rFonts w:hint="eastAsia"/>
                <w:color w:val="auto"/>
                <w:szCs w:val="21"/>
                <w:lang w:bidi="zh-CN"/>
              </w:rPr>
              <w:t>硼-</w:t>
            </w:r>
            <w:r>
              <w:rPr>
                <w:color w:val="auto"/>
                <w:szCs w:val="21"/>
                <w:lang w:bidi="zh-CN"/>
              </w:rPr>
              <w:t>B（mg/kg）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3415.8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lang w:bidi="zh-CN"/>
              </w:rPr>
            </w:pPr>
            <w:r>
              <w:rPr>
                <w:rFonts w:hint="eastAsia"/>
                <w:color w:val="auto"/>
                <w:szCs w:val="21"/>
                <w:lang w:bidi="zh-CN"/>
              </w:rPr>
              <w:t>磷</w:t>
            </w:r>
            <w:r>
              <w:rPr>
                <w:color w:val="auto"/>
                <w:szCs w:val="21"/>
                <w:lang w:bidi="zh-CN"/>
              </w:rPr>
              <w:t>P（mg/kg）</w:t>
            </w:r>
          </w:p>
        </w:tc>
        <w:tc>
          <w:tcPr>
            <w:tcW w:w="1491" w:type="dxa"/>
            <w:vAlign w:val="center"/>
          </w:tcPr>
          <w:p>
            <w:pPr>
              <w:widowControl/>
              <w:spacing w:line="300" w:lineRule="auto"/>
              <w:jc w:val="center"/>
              <w:textAlignment w:val="bottom"/>
              <w:rPr>
                <w:color w:val="auto"/>
                <w:szCs w:val="21"/>
              </w:rPr>
            </w:pPr>
            <w:r>
              <w:rPr>
                <w:color w:val="auto"/>
                <w:szCs w:val="21"/>
                <w:lang w:bidi="zh-CN"/>
              </w:rPr>
              <w:t>23.1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16.9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1276" w:type="dxa"/>
            <w:vMerge w:val="restart"/>
            <w:vAlign w:val="center"/>
          </w:tcPr>
          <w:p>
            <w:pPr>
              <w:spacing w:line="300" w:lineRule="auto"/>
              <w:jc w:val="center"/>
              <w:rPr>
                <w:color w:val="auto"/>
                <w:szCs w:val="21"/>
              </w:rPr>
            </w:pPr>
            <w:r>
              <w:rPr>
                <w:color w:val="auto"/>
                <w:szCs w:val="21"/>
              </w:rPr>
              <w:t>卤素含量</w:t>
            </w:r>
          </w:p>
        </w:tc>
        <w:tc>
          <w:tcPr>
            <w:tcW w:w="1706" w:type="dxa"/>
            <w:vAlign w:val="center"/>
          </w:tcPr>
          <w:p>
            <w:pPr>
              <w:pStyle w:val="11"/>
              <w:spacing w:line="300" w:lineRule="auto"/>
              <w:jc w:val="center"/>
              <w:rPr>
                <w:rFonts w:ascii="Times New Roman" w:hAnsi="Times New Roman" w:cs="Times New Roman"/>
                <w:color w:val="auto"/>
                <w:lang w:val="en-US"/>
              </w:rPr>
            </w:pPr>
            <w:r>
              <w:rPr>
                <w:rFonts w:hint="eastAsia" w:ascii="Times New Roman" w:hAnsi="Times New Roman" w:cs="Times New Roman"/>
                <w:color w:val="auto"/>
                <w:lang w:val="en-US"/>
              </w:rPr>
              <w:t>氟-</w:t>
            </w:r>
            <w:r>
              <w:rPr>
                <w:rFonts w:ascii="Times New Roman" w:hAnsi="Times New Roman" w:cs="Times New Roman"/>
                <w:color w:val="auto"/>
                <w:lang w:val="en-US"/>
              </w:rPr>
              <w:t>F（mg/kg）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44.9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486.3</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1276" w:type="dxa"/>
            <w:vMerge w:val="continue"/>
            <w:vAlign w:val="center"/>
          </w:tcPr>
          <w:p>
            <w:pPr>
              <w:spacing w:line="300" w:lineRule="auto"/>
              <w:jc w:val="center"/>
              <w:rPr>
                <w:color w:val="auto"/>
                <w:szCs w:val="21"/>
              </w:rPr>
            </w:pPr>
          </w:p>
        </w:tc>
        <w:tc>
          <w:tcPr>
            <w:tcW w:w="1706" w:type="dxa"/>
            <w:vAlign w:val="center"/>
          </w:tcPr>
          <w:p>
            <w:pPr>
              <w:pStyle w:val="11"/>
              <w:spacing w:line="300" w:lineRule="auto"/>
              <w:jc w:val="center"/>
              <w:rPr>
                <w:rFonts w:ascii="Times New Roman" w:hAnsi="Times New Roman" w:cs="Times New Roman"/>
                <w:color w:val="auto"/>
                <w:lang w:val="en-US"/>
              </w:rPr>
            </w:pPr>
            <w:r>
              <w:rPr>
                <w:rFonts w:hint="eastAsia" w:ascii="Times New Roman" w:hAnsi="Times New Roman" w:cs="Times New Roman"/>
                <w:color w:val="auto"/>
                <w:lang w:val="en-US"/>
              </w:rPr>
              <w:t>氯-</w:t>
            </w:r>
            <w:r>
              <w:rPr>
                <w:rFonts w:ascii="Times New Roman" w:hAnsi="Times New Roman" w:cs="Times New Roman"/>
                <w:color w:val="auto"/>
                <w:lang w:val="en-US"/>
              </w:rPr>
              <w:t>Cl（mg/kg）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92.8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260.7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1276" w:type="dxa"/>
            <w:vMerge w:val="continue"/>
            <w:vAlign w:val="center"/>
          </w:tcPr>
          <w:p>
            <w:pPr>
              <w:spacing w:line="300" w:lineRule="auto"/>
              <w:jc w:val="center"/>
              <w:rPr>
                <w:color w:val="auto"/>
                <w:szCs w:val="21"/>
              </w:rPr>
            </w:pPr>
          </w:p>
        </w:tc>
        <w:tc>
          <w:tcPr>
            <w:tcW w:w="1706" w:type="dxa"/>
            <w:vAlign w:val="center"/>
          </w:tcPr>
          <w:p>
            <w:pPr>
              <w:pStyle w:val="11"/>
              <w:spacing w:line="300" w:lineRule="auto"/>
              <w:jc w:val="center"/>
              <w:rPr>
                <w:rFonts w:ascii="Times New Roman" w:hAnsi="Times New Roman" w:cs="Times New Roman"/>
                <w:color w:val="auto"/>
                <w:lang w:val="en-US"/>
              </w:rPr>
            </w:pPr>
            <w:r>
              <w:rPr>
                <w:rFonts w:hint="eastAsia" w:ascii="Times New Roman" w:hAnsi="Times New Roman" w:cs="Times New Roman"/>
                <w:color w:val="auto"/>
                <w:lang w:val="en-US"/>
              </w:rPr>
              <w:t>溴-</w:t>
            </w:r>
            <w:r>
              <w:rPr>
                <w:rFonts w:ascii="Times New Roman" w:hAnsi="Times New Roman" w:cs="Times New Roman"/>
                <w:color w:val="auto"/>
                <w:lang w:val="en-US"/>
              </w:rPr>
              <w:t>Br（mg/kg）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788.7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41.2</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1276" w:type="dxa"/>
            <w:vMerge w:val="continue"/>
            <w:vAlign w:val="center"/>
          </w:tcPr>
          <w:p>
            <w:pPr>
              <w:spacing w:line="300" w:lineRule="auto"/>
              <w:jc w:val="center"/>
              <w:rPr>
                <w:color w:val="auto"/>
                <w:szCs w:val="21"/>
              </w:rPr>
            </w:pPr>
          </w:p>
        </w:tc>
        <w:tc>
          <w:tcPr>
            <w:tcW w:w="1706" w:type="dxa"/>
            <w:vAlign w:val="center"/>
          </w:tcPr>
          <w:p>
            <w:pPr>
              <w:pStyle w:val="11"/>
              <w:spacing w:line="300" w:lineRule="auto"/>
              <w:jc w:val="center"/>
              <w:rPr>
                <w:rFonts w:ascii="Times New Roman" w:hAnsi="Times New Roman" w:cs="Times New Roman"/>
                <w:color w:val="auto"/>
                <w:lang w:val="en-US"/>
              </w:rPr>
            </w:pPr>
            <w:r>
              <w:rPr>
                <w:rFonts w:hint="eastAsia" w:ascii="Times New Roman" w:hAnsi="Times New Roman" w:cs="Times New Roman"/>
                <w:color w:val="auto"/>
                <w:lang w:val="en-US"/>
              </w:rPr>
              <w:t>碘-</w:t>
            </w:r>
            <w:r>
              <w:rPr>
                <w:rFonts w:ascii="Times New Roman" w:hAnsi="Times New Roman" w:cs="Times New Roman"/>
                <w:color w:val="auto"/>
                <w:lang w:val="en-US"/>
              </w:rPr>
              <w:t>I（mg/kg）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＜5.0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272.4</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restart"/>
            <w:vAlign w:val="center"/>
          </w:tcPr>
          <w:p>
            <w:pPr>
              <w:spacing w:line="300" w:lineRule="auto"/>
              <w:jc w:val="center"/>
              <w:rPr>
                <w:color w:val="auto"/>
                <w:szCs w:val="21"/>
              </w:rPr>
            </w:pPr>
            <w:r>
              <w:rPr>
                <w:color w:val="auto"/>
                <w:szCs w:val="21"/>
              </w:rPr>
              <w:t>金属成分</w:t>
            </w:r>
          </w:p>
        </w:tc>
        <w:tc>
          <w:tcPr>
            <w:tcW w:w="2982" w:type="dxa"/>
            <w:gridSpan w:val="2"/>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总金属含量（%）</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95.60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44.34</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95.80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pStyle w:val="11"/>
              <w:spacing w:line="300" w:lineRule="auto"/>
              <w:jc w:val="center"/>
              <w:rPr>
                <w:rFonts w:ascii="Times New Roman" w:hAnsi="Times New Roman" w:cs="Times New Roman"/>
                <w:color w:val="auto"/>
                <w:lang w:val="en-US"/>
              </w:rPr>
            </w:pPr>
            <w:r>
              <w:rPr>
                <w:rFonts w:hint="eastAsia" w:ascii="Times New Roman" w:hAnsi="Times New Roman" w:cs="Times New Roman"/>
                <w:color w:val="auto"/>
                <w:lang w:val="en-US"/>
              </w:rPr>
              <w:t>铜-</w:t>
            </w:r>
            <w:r>
              <w:rPr>
                <w:rFonts w:ascii="Times New Roman" w:hAnsi="Times New Roman" w:cs="Times New Roman"/>
                <w:color w:val="auto"/>
                <w:lang w:val="en-US"/>
              </w:rPr>
              <w:t>Cu（%）</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95.0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95.1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锌-</w:t>
            </w:r>
            <w:r>
              <w:rPr>
                <w:color w:val="auto"/>
                <w:szCs w:val="21"/>
                <w:lang w:bidi="zh-CN"/>
              </w:rPr>
              <w:t>Zn（mg/kg）</w:t>
            </w:r>
          </w:p>
        </w:tc>
        <w:tc>
          <w:tcPr>
            <w:tcW w:w="1491" w:type="dxa"/>
            <w:vAlign w:val="center"/>
          </w:tcPr>
          <w:p>
            <w:pPr>
              <w:widowControl/>
              <w:spacing w:line="300" w:lineRule="auto"/>
              <w:jc w:val="center"/>
              <w:textAlignment w:val="bottom"/>
              <w:rPr>
                <w:color w:val="auto"/>
                <w:szCs w:val="21"/>
              </w:rPr>
            </w:pPr>
            <w:r>
              <w:rPr>
                <w:color w:val="auto"/>
                <w:szCs w:val="21"/>
                <w:lang w:bidi="zh-CN"/>
              </w:rPr>
              <w:t>846.9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399.1</w:t>
            </w:r>
          </w:p>
        </w:tc>
        <w:tc>
          <w:tcPr>
            <w:tcW w:w="1492" w:type="dxa"/>
            <w:vAlign w:val="center"/>
          </w:tcPr>
          <w:p>
            <w:pPr>
              <w:widowControl/>
              <w:spacing w:line="300" w:lineRule="auto"/>
              <w:jc w:val="center"/>
              <w:textAlignment w:val="bottom"/>
              <w:rPr>
                <w:color w:val="auto"/>
                <w:szCs w:val="21"/>
              </w:rPr>
            </w:pPr>
            <w:r>
              <w:rPr>
                <w:color w:val="auto"/>
                <w:szCs w:val="21"/>
                <w:lang w:bidi="zh-CN"/>
              </w:rPr>
              <w:t>1159.2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钙-</w:t>
            </w:r>
            <w:r>
              <w:rPr>
                <w:color w:val="auto"/>
                <w:szCs w:val="21"/>
                <w:lang w:bidi="zh-CN"/>
              </w:rPr>
              <w:t>Ca（mg/kg）</w:t>
            </w:r>
          </w:p>
        </w:tc>
        <w:tc>
          <w:tcPr>
            <w:tcW w:w="1491" w:type="dxa"/>
            <w:vAlign w:val="center"/>
          </w:tcPr>
          <w:p>
            <w:pPr>
              <w:widowControl/>
              <w:spacing w:line="300" w:lineRule="auto"/>
              <w:jc w:val="center"/>
              <w:textAlignment w:val="bottom"/>
              <w:rPr>
                <w:color w:val="auto"/>
                <w:szCs w:val="21"/>
              </w:rPr>
            </w:pPr>
            <w:r>
              <w:rPr>
                <w:color w:val="auto"/>
                <w:szCs w:val="21"/>
                <w:lang w:bidi="zh-CN"/>
              </w:rPr>
              <w:t>808.8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28213.2</w:t>
            </w:r>
          </w:p>
        </w:tc>
        <w:tc>
          <w:tcPr>
            <w:tcW w:w="1492" w:type="dxa"/>
            <w:vAlign w:val="center"/>
          </w:tcPr>
          <w:p>
            <w:pPr>
              <w:widowControl/>
              <w:spacing w:line="300" w:lineRule="auto"/>
              <w:jc w:val="center"/>
              <w:textAlignment w:val="bottom"/>
              <w:rPr>
                <w:color w:val="auto"/>
                <w:szCs w:val="21"/>
              </w:rPr>
            </w:pPr>
            <w:r>
              <w:rPr>
                <w:color w:val="auto"/>
                <w:szCs w:val="21"/>
                <w:lang w:bidi="zh-CN"/>
              </w:rPr>
              <w:t>932.3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锡-</w:t>
            </w:r>
            <w:r>
              <w:rPr>
                <w:color w:val="auto"/>
                <w:szCs w:val="21"/>
                <w:lang w:bidi="zh-CN"/>
              </w:rPr>
              <w:t>Sn（mg/kg）</w:t>
            </w:r>
          </w:p>
        </w:tc>
        <w:tc>
          <w:tcPr>
            <w:tcW w:w="1491" w:type="dxa"/>
            <w:vAlign w:val="center"/>
          </w:tcPr>
          <w:p>
            <w:pPr>
              <w:widowControl/>
              <w:spacing w:line="300" w:lineRule="auto"/>
              <w:jc w:val="center"/>
              <w:textAlignment w:val="bottom"/>
              <w:rPr>
                <w:color w:val="auto"/>
                <w:szCs w:val="21"/>
              </w:rPr>
            </w:pPr>
            <w:r>
              <w:rPr>
                <w:color w:val="auto"/>
                <w:szCs w:val="21"/>
                <w:lang w:bidi="zh-CN"/>
              </w:rPr>
              <w:t>381.7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175.8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钠-</w:t>
            </w:r>
            <w:r>
              <w:rPr>
                <w:color w:val="auto"/>
                <w:szCs w:val="21"/>
                <w:lang w:bidi="zh-CN"/>
              </w:rPr>
              <w:t>Na（mg/kg）</w:t>
            </w:r>
          </w:p>
        </w:tc>
        <w:tc>
          <w:tcPr>
            <w:tcW w:w="1491" w:type="dxa"/>
            <w:vAlign w:val="center"/>
          </w:tcPr>
          <w:p>
            <w:pPr>
              <w:widowControl/>
              <w:spacing w:line="300" w:lineRule="auto"/>
              <w:jc w:val="center"/>
              <w:textAlignment w:val="bottom"/>
              <w:rPr>
                <w:color w:val="auto"/>
                <w:szCs w:val="21"/>
              </w:rPr>
            </w:pPr>
            <w:r>
              <w:rPr>
                <w:color w:val="auto"/>
                <w:szCs w:val="21"/>
                <w:lang w:bidi="zh-CN"/>
              </w:rPr>
              <w:t>300.7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1472.1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铁-</w:t>
            </w:r>
            <w:r>
              <w:rPr>
                <w:color w:val="auto"/>
                <w:szCs w:val="21"/>
                <w:lang w:bidi="zh-CN"/>
              </w:rPr>
              <w:t>Fe（mg/kg）</w:t>
            </w:r>
          </w:p>
        </w:tc>
        <w:tc>
          <w:tcPr>
            <w:tcW w:w="1491" w:type="dxa"/>
            <w:vAlign w:val="center"/>
          </w:tcPr>
          <w:p>
            <w:pPr>
              <w:widowControl/>
              <w:spacing w:line="300" w:lineRule="auto"/>
              <w:jc w:val="center"/>
              <w:textAlignment w:val="bottom"/>
              <w:rPr>
                <w:color w:val="auto"/>
                <w:szCs w:val="21"/>
              </w:rPr>
            </w:pPr>
            <w:r>
              <w:rPr>
                <w:color w:val="auto"/>
                <w:szCs w:val="21"/>
                <w:lang w:bidi="zh-CN"/>
              </w:rPr>
              <w:t>287.9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785.3</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镁-</w:t>
            </w:r>
            <w:r>
              <w:rPr>
                <w:color w:val="auto"/>
                <w:szCs w:val="21"/>
                <w:lang w:bidi="zh-CN"/>
              </w:rPr>
              <w:t>Mg（mg/kg）</w:t>
            </w:r>
          </w:p>
        </w:tc>
        <w:tc>
          <w:tcPr>
            <w:tcW w:w="1491" w:type="dxa"/>
            <w:vAlign w:val="center"/>
          </w:tcPr>
          <w:p>
            <w:pPr>
              <w:widowControl/>
              <w:spacing w:line="300" w:lineRule="auto"/>
              <w:jc w:val="center"/>
              <w:textAlignment w:val="bottom"/>
              <w:rPr>
                <w:color w:val="auto"/>
                <w:szCs w:val="21"/>
              </w:rPr>
            </w:pPr>
            <w:r>
              <w:rPr>
                <w:color w:val="auto"/>
                <w:szCs w:val="21"/>
                <w:lang w:bidi="zh-CN"/>
              </w:rPr>
              <w:t>249.5</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2097.7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铝-</w:t>
            </w:r>
            <w:r>
              <w:rPr>
                <w:color w:val="auto"/>
                <w:szCs w:val="21"/>
                <w:lang w:bidi="zh-CN"/>
              </w:rPr>
              <w:t>Al（mg/kg）</w:t>
            </w:r>
          </w:p>
        </w:tc>
        <w:tc>
          <w:tcPr>
            <w:tcW w:w="1491" w:type="dxa"/>
            <w:vAlign w:val="center"/>
          </w:tcPr>
          <w:p>
            <w:pPr>
              <w:widowControl/>
              <w:spacing w:line="300" w:lineRule="auto"/>
              <w:jc w:val="center"/>
              <w:textAlignment w:val="bottom"/>
              <w:rPr>
                <w:color w:val="auto"/>
                <w:szCs w:val="21"/>
              </w:rPr>
            </w:pPr>
            <w:r>
              <w:rPr>
                <w:color w:val="auto"/>
                <w:szCs w:val="21"/>
                <w:lang w:bidi="zh-CN"/>
              </w:rPr>
              <w:t>111.0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20631.9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377.9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镍-</w:t>
            </w:r>
            <w:r>
              <w:rPr>
                <w:color w:val="auto"/>
                <w:szCs w:val="21"/>
                <w:lang w:bidi="zh-CN"/>
              </w:rPr>
              <w:t>Ni（mg/kg）</w:t>
            </w:r>
          </w:p>
        </w:tc>
        <w:tc>
          <w:tcPr>
            <w:tcW w:w="1491" w:type="dxa"/>
            <w:vAlign w:val="center"/>
          </w:tcPr>
          <w:p>
            <w:pPr>
              <w:widowControl/>
              <w:spacing w:line="300" w:lineRule="auto"/>
              <w:jc w:val="center"/>
              <w:textAlignment w:val="bottom"/>
              <w:rPr>
                <w:color w:val="auto"/>
                <w:szCs w:val="21"/>
              </w:rPr>
            </w:pPr>
            <w:r>
              <w:rPr>
                <w:color w:val="auto"/>
                <w:szCs w:val="21"/>
                <w:lang w:bidi="zh-CN"/>
              </w:rPr>
              <w:t>40.4</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钡-</w:t>
            </w:r>
            <w:r>
              <w:rPr>
                <w:color w:val="auto"/>
                <w:szCs w:val="21"/>
                <w:lang w:bidi="zh-CN"/>
              </w:rPr>
              <w:t>Ba（mg/kg）</w:t>
            </w:r>
          </w:p>
        </w:tc>
        <w:tc>
          <w:tcPr>
            <w:tcW w:w="1491" w:type="dxa"/>
            <w:vAlign w:val="center"/>
          </w:tcPr>
          <w:p>
            <w:pPr>
              <w:widowControl/>
              <w:spacing w:line="300" w:lineRule="auto"/>
              <w:jc w:val="center"/>
              <w:textAlignment w:val="bottom"/>
              <w:rPr>
                <w:color w:val="auto"/>
                <w:szCs w:val="21"/>
              </w:rPr>
            </w:pPr>
            <w:r>
              <w:rPr>
                <w:color w:val="auto"/>
                <w:szCs w:val="21"/>
                <w:lang w:bidi="zh-CN"/>
              </w:rPr>
              <w:t>29.9</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420.5</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锰-</w:t>
            </w:r>
            <w:r>
              <w:rPr>
                <w:color w:val="auto"/>
                <w:szCs w:val="21"/>
                <w:lang w:bidi="zh-CN"/>
              </w:rPr>
              <w:t>Mn（mg/kg）</w:t>
            </w:r>
          </w:p>
        </w:tc>
        <w:tc>
          <w:tcPr>
            <w:tcW w:w="1491" w:type="dxa"/>
            <w:vAlign w:val="center"/>
          </w:tcPr>
          <w:p>
            <w:pPr>
              <w:widowControl/>
              <w:spacing w:line="300" w:lineRule="auto"/>
              <w:jc w:val="center"/>
              <w:textAlignment w:val="bottom"/>
              <w:rPr>
                <w:color w:val="auto"/>
                <w:szCs w:val="21"/>
              </w:rPr>
            </w:pPr>
            <w:r>
              <w:rPr>
                <w:color w:val="auto"/>
                <w:szCs w:val="21"/>
                <w:lang w:bidi="zh-CN"/>
              </w:rPr>
              <w:t>20.2</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29.7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铅-</w:t>
            </w:r>
            <w:r>
              <w:rPr>
                <w:color w:val="auto"/>
                <w:szCs w:val="21"/>
                <w:lang w:bidi="zh-CN"/>
              </w:rPr>
              <w:t>Pb（mg/kg）</w:t>
            </w:r>
          </w:p>
        </w:tc>
        <w:tc>
          <w:tcPr>
            <w:tcW w:w="1491" w:type="dxa"/>
            <w:vAlign w:val="center"/>
          </w:tcPr>
          <w:p>
            <w:pPr>
              <w:widowControl/>
              <w:spacing w:line="300" w:lineRule="auto"/>
              <w:jc w:val="center"/>
              <w:textAlignment w:val="bottom"/>
              <w:rPr>
                <w:color w:val="auto"/>
                <w:szCs w:val="21"/>
              </w:rPr>
            </w:pPr>
            <w:r>
              <w:rPr>
                <w:color w:val="auto"/>
                <w:szCs w:val="21"/>
                <w:lang w:bidi="zh-CN"/>
              </w:rPr>
              <w:t>19.1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22.2</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rFonts w:hint="eastAsia"/>
                <w:color w:val="auto"/>
                <w:szCs w:val="21"/>
                <w:lang w:bidi="zh-CN"/>
              </w:rPr>
              <w:t>钾-</w:t>
            </w:r>
            <w:r>
              <w:rPr>
                <w:color w:val="auto"/>
                <w:szCs w:val="21"/>
                <w:lang w:bidi="zh-CN"/>
              </w:rPr>
              <w:t>K（mg/kg）</w:t>
            </w:r>
          </w:p>
        </w:tc>
        <w:tc>
          <w:tcPr>
            <w:tcW w:w="1491" w:type="dxa"/>
            <w:vAlign w:val="center"/>
          </w:tcPr>
          <w:p>
            <w:pPr>
              <w:widowControl/>
              <w:spacing w:line="300" w:lineRule="auto"/>
              <w:jc w:val="center"/>
              <w:textAlignment w:val="bottom"/>
              <w:rPr>
                <w:color w:val="auto"/>
                <w:szCs w:val="21"/>
              </w:rPr>
            </w:pPr>
            <w:r>
              <w:rPr>
                <w:color w:val="auto"/>
                <w:szCs w:val="21"/>
                <w:lang w:bidi="zh-CN"/>
              </w:rPr>
              <w:t>8.2</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2321.3</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lang w:bidi="zh-CN"/>
              </w:rPr>
              <w:t>铬-Cr（mg/kg）</w:t>
            </w:r>
          </w:p>
        </w:tc>
        <w:tc>
          <w:tcPr>
            <w:tcW w:w="1491" w:type="dxa"/>
            <w:vAlign w:val="center"/>
          </w:tcPr>
          <w:p>
            <w:pPr>
              <w:widowControl/>
              <w:spacing w:line="300" w:lineRule="auto"/>
              <w:jc w:val="center"/>
              <w:textAlignment w:val="bottom"/>
              <w:rPr>
                <w:color w:val="auto"/>
                <w:szCs w:val="21"/>
              </w:rPr>
            </w:pPr>
            <w:r>
              <w:rPr>
                <w:color w:val="auto"/>
                <w:szCs w:val="21"/>
                <w:lang w:bidi="zh-CN"/>
              </w:rPr>
              <w:t>1.8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lang w:bidi="zh-CN"/>
              </w:rPr>
              <w:t>银-Ag（mg/kg）</w:t>
            </w:r>
          </w:p>
        </w:tc>
        <w:tc>
          <w:tcPr>
            <w:tcW w:w="1491" w:type="dxa"/>
            <w:vAlign w:val="center"/>
          </w:tcPr>
          <w:p>
            <w:pPr>
              <w:widowControl/>
              <w:spacing w:line="300" w:lineRule="auto"/>
              <w:jc w:val="center"/>
              <w:textAlignment w:val="bottom"/>
              <w:rPr>
                <w:color w:val="auto"/>
                <w:szCs w:val="21"/>
              </w:rPr>
            </w:pPr>
            <w:r>
              <w:rPr>
                <w:color w:val="auto"/>
                <w:szCs w:val="21"/>
                <w:lang w:bidi="zh-CN"/>
              </w:rPr>
              <w:t>1.8</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shd w:val="clear" w:color="auto" w:fill="FFFFFF"/>
              </w:rPr>
              <w:t>钒-</w:t>
            </w:r>
            <w:r>
              <w:rPr>
                <w:color w:val="auto"/>
                <w:szCs w:val="21"/>
                <w:lang w:bidi="zh-CN"/>
              </w:rPr>
              <w:t>V（mg/kg）</w:t>
            </w:r>
          </w:p>
        </w:tc>
        <w:tc>
          <w:tcPr>
            <w:tcW w:w="1491" w:type="dxa"/>
            <w:vAlign w:val="center"/>
          </w:tcPr>
          <w:p>
            <w:pPr>
              <w:widowControl/>
              <w:spacing w:line="300" w:lineRule="auto"/>
              <w:jc w:val="center"/>
              <w:textAlignment w:val="bottom"/>
              <w:rPr>
                <w:color w:val="auto"/>
                <w:szCs w:val="21"/>
              </w:rPr>
            </w:pPr>
            <w:r>
              <w:rPr>
                <w:color w:val="auto"/>
                <w:szCs w:val="21"/>
                <w:lang w:bidi="zh-CN"/>
              </w:rPr>
              <w:t>1.1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1.1</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lang w:bidi="zh-CN"/>
              </w:rPr>
            </w:pPr>
            <w:r>
              <w:rPr>
                <w:color w:val="auto"/>
                <w:szCs w:val="21"/>
                <w:lang w:bidi="zh-CN"/>
              </w:rPr>
              <w:t>钼-Mo（mg/kg）</w:t>
            </w:r>
          </w:p>
        </w:tc>
        <w:tc>
          <w:tcPr>
            <w:tcW w:w="1491" w:type="dxa"/>
            <w:vAlign w:val="center"/>
          </w:tcPr>
          <w:p>
            <w:pPr>
              <w:widowControl/>
              <w:spacing w:line="300" w:lineRule="auto"/>
              <w:jc w:val="center"/>
              <w:textAlignment w:val="bottom"/>
              <w:rPr>
                <w:color w:val="auto"/>
                <w:szCs w:val="21"/>
              </w:rPr>
            </w:pPr>
            <w:r>
              <w:rPr>
                <w:color w:val="auto"/>
                <w:szCs w:val="21"/>
                <w:lang w:bidi="zh-CN"/>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lang w:bidi="zh-CN"/>
              </w:rPr>
            </w:pPr>
            <w:r>
              <w:rPr>
                <w:color w:val="auto"/>
              </w:rPr>
              <w:fldChar w:fldCharType="begin"/>
            </w:r>
            <w:r>
              <w:rPr>
                <w:color w:val="auto"/>
              </w:rPr>
              <w:instrText xml:space="preserve"> HYPERLINK "http://www.baidu.com/link?url=MOuFUaqKp7rpzby4xtLLiZvrrSMmGZxFql_jr8UW29ZsZPLzVhjzzhkTgs942sZNSjmLJwO09dxI6oiO1rCD3_oN6SZP3xRBBp9e_fOcVyi" \t "https://www.baidu.com/_blank" </w:instrText>
            </w:r>
            <w:r>
              <w:rPr>
                <w:color w:val="auto"/>
              </w:rPr>
              <w:fldChar w:fldCharType="separate"/>
            </w:r>
            <w:r>
              <w:rPr>
                <w:color w:val="auto"/>
                <w:szCs w:val="21"/>
                <w:lang w:bidi="zh-CN"/>
              </w:rPr>
              <w:t>锑</w:t>
            </w:r>
            <w:r>
              <w:rPr>
                <w:color w:val="auto"/>
                <w:szCs w:val="21"/>
                <w:lang w:bidi="zh-CN"/>
              </w:rPr>
              <w:fldChar w:fldCharType="end"/>
            </w:r>
            <w:r>
              <w:rPr>
                <w:color w:val="auto"/>
                <w:szCs w:val="21"/>
                <w:lang w:bidi="zh-CN"/>
              </w:rPr>
              <w:t>-Sb（mg/kg）</w:t>
            </w:r>
          </w:p>
        </w:tc>
        <w:tc>
          <w:tcPr>
            <w:tcW w:w="1491"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114.7</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lang w:bidi="zh-CN"/>
              </w:rPr>
              <w:t>钛-Ti（mg/kg）</w:t>
            </w:r>
          </w:p>
        </w:tc>
        <w:tc>
          <w:tcPr>
            <w:tcW w:w="1491" w:type="dxa"/>
            <w:vAlign w:val="center"/>
          </w:tcPr>
          <w:p>
            <w:pPr>
              <w:spacing w:line="300" w:lineRule="auto"/>
              <w:jc w:val="center"/>
              <w:rPr>
                <w:color w:val="auto"/>
                <w:szCs w:val="21"/>
              </w:rPr>
            </w:pPr>
            <w:r>
              <w:rPr>
                <w:color w:val="auto"/>
                <w:szCs w:val="21"/>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561.7</w:t>
            </w:r>
          </w:p>
        </w:tc>
        <w:tc>
          <w:tcPr>
            <w:tcW w:w="1492" w:type="dxa"/>
            <w:vAlign w:val="center"/>
          </w:tcPr>
          <w:p>
            <w:pPr>
              <w:spacing w:line="300" w:lineRule="auto"/>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shd w:val="clear" w:color="auto" w:fill="FFFFFF"/>
              </w:rPr>
              <w:t>锶-</w:t>
            </w:r>
            <w:r>
              <w:rPr>
                <w:color w:val="auto"/>
                <w:szCs w:val="21"/>
                <w:lang w:bidi="zh-CN"/>
              </w:rPr>
              <w:t>Sr（mg/kg）</w:t>
            </w:r>
          </w:p>
        </w:tc>
        <w:tc>
          <w:tcPr>
            <w:tcW w:w="1491" w:type="dxa"/>
            <w:vAlign w:val="center"/>
          </w:tcPr>
          <w:p>
            <w:pPr>
              <w:spacing w:line="300" w:lineRule="auto"/>
              <w:jc w:val="center"/>
              <w:rPr>
                <w:color w:val="auto"/>
                <w:szCs w:val="21"/>
              </w:rPr>
            </w:pPr>
            <w:r>
              <w:rPr>
                <w:color w:val="auto"/>
                <w:szCs w:val="21"/>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333.5</w:t>
            </w:r>
          </w:p>
        </w:tc>
        <w:tc>
          <w:tcPr>
            <w:tcW w:w="1492" w:type="dxa"/>
            <w:vAlign w:val="center"/>
          </w:tcPr>
          <w:p>
            <w:pPr>
              <w:spacing w:line="300" w:lineRule="auto"/>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shd w:val="clear" w:color="auto" w:fill="FFFFFF"/>
              </w:rPr>
              <w:t>锆-</w:t>
            </w:r>
            <w:r>
              <w:rPr>
                <w:color w:val="auto"/>
                <w:szCs w:val="21"/>
                <w:lang w:bidi="zh-CN"/>
              </w:rPr>
              <w:t>Zr（mg/kg）</w:t>
            </w:r>
          </w:p>
        </w:tc>
        <w:tc>
          <w:tcPr>
            <w:tcW w:w="1491" w:type="dxa"/>
            <w:vAlign w:val="center"/>
          </w:tcPr>
          <w:p>
            <w:pPr>
              <w:spacing w:line="300" w:lineRule="auto"/>
              <w:jc w:val="center"/>
              <w:rPr>
                <w:color w:val="auto"/>
                <w:szCs w:val="21"/>
              </w:rPr>
            </w:pPr>
            <w:r>
              <w:rPr>
                <w:color w:val="auto"/>
                <w:szCs w:val="21"/>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55.1</w:t>
            </w:r>
          </w:p>
        </w:tc>
        <w:tc>
          <w:tcPr>
            <w:tcW w:w="1492" w:type="dxa"/>
            <w:vAlign w:val="center"/>
          </w:tcPr>
          <w:p>
            <w:pPr>
              <w:spacing w:line="300" w:lineRule="auto"/>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vMerge w:val="continue"/>
            <w:vAlign w:val="center"/>
          </w:tcPr>
          <w:p>
            <w:pPr>
              <w:spacing w:line="300" w:lineRule="auto"/>
              <w:jc w:val="center"/>
              <w:rPr>
                <w:color w:val="auto"/>
                <w:szCs w:val="21"/>
              </w:rPr>
            </w:pPr>
          </w:p>
        </w:tc>
        <w:tc>
          <w:tcPr>
            <w:tcW w:w="2982" w:type="dxa"/>
            <w:gridSpan w:val="2"/>
            <w:vAlign w:val="center"/>
          </w:tcPr>
          <w:p>
            <w:pPr>
              <w:widowControl/>
              <w:spacing w:line="300" w:lineRule="auto"/>
              <w:jc w:val="center"/>
              <w:textAlignment w:val="center"/>
              <w:rPr>
                <w:color w:val="auto"/>
                <w:szCs w:val="21"/>
              </w:rPr>
            </w:pPr>
            <w:r>
              <w:rPr>
                <w:color w:val="auto"/>
                <w:szCs w:val="21"/>
                <w:lang w:bidi="zh-CN"/>
              </w:rPr>
              <w:t>锂-Li（mg/kg）</w:t>
            </w:r>
          </w:p>
        </w:tc>
        <w:tc>
          <w:tcPr>
            <w:tcW w:w="1491" w:type="dxa"/>
            <w:vAlign w:val="center"/>
          </w:tcPr>
          <w:p>
            <w:pPr>
              <w:spacing w:line="300" w:lineRule="auto"/>
              <w:jc w:val="center"/>
              <w:rPr>
                <w:color w:val="auto"/>
                <w:szCs w:val="21"/>
              </w:rPr>
            </w:pPr>
            <w:r>
              <w:rPr>
                <w:color w:val="auto"/>
                <w:szCs w:val="21"/>
              </w:rPr>
              <w:t>＜1.0</w:t>
            </w:r>
          </w:p>
        </w:tc>
        <w:tc>
          <w:tcPr>
            <w:tcW w:w="1492" w:type="dxa"/>
            <w:vAlign w:val="center"/>
          </w:tcPr>
          <w:p>
            <w:pPr>
              <w:pStyle w:val="11"/>
              <w:spacing w:line="300" w:lineRule="auto"/>
              <w:jc w:val="center"/>
              <w:rPr>
                <w:rFonts w:ascii="Times New Roman" w:hAnsi="Times New Roman" w:cs="Times New Roman"/>
                <w:color w:val="auto"/>
                <w:lang w:val="en-US"/>
              </w:rPr>
            </w:pPr>
            <w:r>
              <w:rPr>
                <w:rFonts w:ascii="Times New Roman" w:hAnsi="Times New Roman" w:cs="Times New Roman"/>
                <w:color w:val="auto"/>
                <w:lang w:val="en-US"/>
              </w:rPr>
              <w:t>29.5</w:t>
            </w:r>
          </w:p>
        </w:tc>
        <w:tc>
          <w:tcPr>
            <w:tcW w:w="1492" w:type="dxa"/>
            <w:vAlign w:val="center"/>
          </w:tcPr>
          <w:p>
            <w:pPr>
              <w:spacing w:line="300" w:lineRule="auto"/>
              <w:jc w:val="center"/>
              <w:rPr>
                <w:color w:val="auto"/>
                <w:szCs w:val="21"/>
              </w:rPr>
            </w:pPr>
            <w:r>
              <w:rPr>
                <w:color w:val="auto"/>
                <w:szCs w:val="21"/>
              </w:rPr>
              <w:t>＜1.0</w:t>
            </w:r>
          </w:p>
        </w:tc>
      </w:tr>
    </w:tbl>
    <w:p>
      <w:pPr>
        <w:spacing w:line="360" w:lineRule="auto"/>
        <w:ind w:firstLine="480" w:firstLineChars="200"/>
        <w:rPr>
          <w:color w:val="auto"/>
          <w:sz w:val="24"/>
        </w:rPr>
      </w:pPr>
      <w:r>
        <w:rPr>
          <w:color w:val="auto"/>
          <w:sz w:val="24"/>
        </w:rPr>
        <w:t>由上表可知，本项目回收的覆铜板含铜量较高，平均含铜量78.58%，树脂含量为6.34%和玻璃纤维含量为15.08%。</w:t>
      </w:r>
      <w:r>
        <w:rPr>
          <w:rFonts w:hint="eastAsia"/>
          <w:color w:val="auto"/>
          <w:sz w:val="24"/>
        </w:rPr>
        <w:t>此外，</w:t>
      </w:r>
      <w:r>
        <w:rPr>
          <w:color w:val="auto"/>
          <w:sz w:val="24"/>
        </w:rPr>
        <w:t>覆铜板</w:t>
      </w:r>
      <w:r>
        <w:rPr>
          <w:rFonts w:hint="eastAsia"/>
          <w:color w:val="auto"/>
          <w:sz w:val="24"/>
        </w:rPr>
        <w:t>中的铬、锰、镍、铅等重金属含量极低。</w:t>
      </w:r>
    </w:p>
    <w:p>
      <w:pPr>
        <w:spacing w:line="360" w:lineRule="auto"/>
        <w:ind w:firstLine="480" w:firstLineChars="200"/>
        <w:rPr>
          <w:color w:val="auto"/>
          <w:sz w:val="24"/>
        </w:rPr>
      </w:pPr>
      <w:r>
        <w:rPr>
          <w:color w:val="auto"/>
          <w:sz w:val="24"/>
        </w:rPr>
        <w:t>就本</w:t>
      </w:r>
      <w:r>
        <w:rPr>
          <w:rFonts w:hint="eastAsia"/>
          <w:color w:val="auto"/>
          <w:sz w:val="24"/>
        </w:rPr>
        <w:t>迁</w:t>
      </w:r>
      <w:r>
        <w:rPr>
          <w:color w:val="auto"/>
          <w:sz w:val="24"/>
        </w:rPr>
        <w:t>改扩</w:t>
      </w:r>
      <w:r>
        <w:rPr>
          <w:rFonts w:hint="eastAsia"/>
          <w:color w:val="auto"/>
          <w:sz w:val="24"/>
        </w:rPr>
        <w:t>建</w:t>
      </w:r>
      <w:r>
        <w:rPr>
          <w:color w:val="auto"/>
          <w:sz w:val="24"/>
        </w:rPr>
        <w:t>项目所拟处理的</w:t>
      </w:r>
      <w:r>
        <w:rPr>
          <w:rFonts w:hint="eastAsia"/>
          <w:color w:val="auto"/>
          <w:sz w:val="24"/>
        </w:rPr>
        <w:t>覆铜板</w:t>
      </w:r>
      <w:r>
        <w:rPr>
          <w:color w:val="auto"/>
          <w:sz w:val="24"/>
        </w:rPr>
        <w:t>来源问题，建设单位保证控制原料进货渠道，</w:t>
      </w:r>
      <w:r>
        <w:rPr>
          <w:rFonts w:hint="eastAsia"/>
          <w:color w:val="auto"/>
          <w:sz w:val="24"/>
        </w:rPr>
        <w:t>并对回收的</w:t>
      </w:r>
      <w:r>
        <w:rPr>
          <w:color w:val="auto"/>
          <w:sz w:val="24"/>
        </w:rPr>
        <w:t>原料进行甄别，发现含铅焊锡的挑拣出来，确保</w:t>
      </w:r>
      <w:r>
        <w:rPr>
          <w:rFonts w:hint="eastAsia"/>
          <w:color w:val="auto"/>
          <w:sz w:val="24"/>
        </w:rPr>
        <w:t>回收的覆铜板中</w:t>
      </w:r>
      <w:r>
        <w:rPr>
          <w:color w:val="auto"/>
          <w:sz w:val="24"/>
        </w:rPr>
        <w:t>不含</w:t>
      </w:r>
      <w:r>
        <w:rPr>
          <w:rFonts w:hint="eastAsia"/>
          <w:color w:val="auto"/>
          <w:sz w:val="24"/>
        </w:rPr>
        <w:t>大量的</w:t>
      </w:r>
      <w:r>
        <w:rPr>
          <w:color w:val="auto"/>
          <w:sz w:val="24"/>
        </w:rPr>
        <w:t>铅</w:t>
      </w:r>
      <w:r>
        <w:rPr>
          <w:rFonts w:hint="eastAsia"/>
          <w:color w:val="auto"/>
          <w:sz w:val="24"/>
        </w:rPr>
        <w:t>，</w:t>
      </w:r>
      <w:r>
        <w:rPr>
          <w:color w:val="auto"/>
          <w:sz w:val="24"/>
        </w:rPr>
        <w:t>由此确保本企业未来所排放的废气中不含铅。</w:t>
      </w:r>
    </w:p>
    <w:p>
      <w:pPr>
        <w:spacing w:line="360" w:lineRule="auto"/>
        <w:ind w:firstLine="480"/>
        <w:rPr>
          <w:color w:val="auto"/>
          <w:sz w:val="24"/>
        </w:rPr>
      </w:pPr>
      <w:r>
        <w:rPr>
          <w:color w:val="auto"/>
          <w:sz w:val="24"/>
        </w:rPr>
        <w:t>（2）石油沥青</w:t>
      </w:r>
    </w:p>
    <w:p>
      <w:pPr>
        <w:spacing w:line="360" w:lineRule="auto"/>
        <w:ind w:firstLine="480"/>
        <w:rPr>
          <w:color w:val="auto"/>
          <w:sz w:val="24"/>
          <w:shd w:val="clear" w:color="auto" w:fill="FFFFFF"/>
        </w:rPr>
      </w:pPr>
      <w:r>
        <w:rPr>
          <w:color w:val="auto"/>
          <w:sz w:val="24"/>
          <w:shd w:val="clear" w:color="auto" w:fill="FFFFFF"/>
        </w:rPr>
        <w:t>沥青是由不同分子量的碳氢化合物及其</w:t>
      </w:r>
      <w:r>
        <w:rPr>
          <w:color w:val="auto"/>
          <w:sz w:val="24"/>
          <w:shd w:val="clear" w:color="auto" w:fill="FFFFFF"/>
        </w:rPr>
        <w:fldChar w:fldCharType="begin"/>
      </w:r>
      <w:r>
        <w:rPr>
          <w:color w:val="auto"/>
          <w:sz w:val="24"/>
          <w:shd w:val="clear" w:color="auto" w:fill="FFFFFF"/>
        </w:rPr>
        <w:instrText xml:space="preserve"> HYPERLINK "https://baike.baidu.com/item/%E9%9D%9E%E9%87%91%E5%B1%9E/8585052" \t "https://baike.baidu.com/item/%E6%B2%A5%E9%9D%92/_blank" </w:instrText>
      </w:r>
      <w:r>
        <w:rPr>
          <w:color w:val="auto"/>
          <w:sz w:val="24"/>
          <w:shd w:val="clear" w:color="auto" w:fill="FFFFFF"/>
        </w:rPr>
        <w:fldChar w:fldCharType="separate"/>
      </w:r>
      <w:r>
        <w:rPr>
          <w:rStyle w:val="27"/>
          <w:color w:val="auto"/>
          <w:sz w:val="24"/>
          <w:u w:val="none"/>
          <w:shd w:val="clear" w:color="auto" w:fill="FFFFFF"/>
        </w:rPr>
        <w:t>非金属</w:t>
      </w:r>
      <w:r>
        <w:rPr>
          <w:color w:val="auto"/>
          <w:sz w:val="24"/>
          <w:shd w:val="clear" w:color="auto" w:fill="FFFFFF"/>
        </w:rPr>
        <w:fldChar w:fldCharType="end"/>
      </w:r>
      <w:r>
        <w:rPr>
          <w:color w:val="auto"/>
        </w:rPr>
        <w:fldChar w:fldCharType="begin"/>
      </w:r>
      <w:r>
        <w:rPr>
          <w:color w:val="auto"/>
        </w:rPr>
        <w:instrText xml:space="preserve"> HYPERLINK "https://baike.baidu.com/item/%E8%A1%8D%E7%94%9F%E7%89%A9/3756240" \t "https://baike.baidu.com/item/%E6%B2%A5%E9%9D%92/_blank" </w:instrText>
      </w:r>
      <w:r>
        <w:rPr>
          <w:color w:val="auto"/>
        </w:rPr>
        <w:fldChar w:fldCharType="separate"/>
      </w:r>
      <w:r>
        <w:rPr>
          <w:rStyle w:val="27"/>
          <w:color w:val="auto"/>
          <w:sz w:val="24"/>
          <w:u w:val="none"/>
          <w:shd w:val="clear" w:color="auto" w:fill="FFFFFF"/>
        </w:rPr>
        <w:t>衍生物</w:t>
      </w:r>
      <w:r>
        <w:rPr>
          <w:rStyle w:val="27"/>
          <w:color w:val="auto"/>
          <w:sz w:val="24"/>
          <w:u w:val="none"/>
          <w:shd w:val="clear" w:color="auto" w:fill="FFFFFF"/>
        </w:rPr>
        <w:fldChar w:fldCharType="end"/>
      </w:r>
      <w:r>
        <w:rPr>
          <w:color w:val="auto"/>
          <w:sz w:val="24"/>
          <w:shd w:val="clear" w:color="auto" w:fill="FFFFFF"/>
        </w:rPr>
        <w:t>组成的黑褐色复杂混合物，是高</w:t>
      </w:r>
      <w:r>
        <w:rPr>
          <w:color w:val="auto"/>
        </w:rPr>
        <w:fldChar w:fldCharType="begin"/>
      </w:r>
      <w:r>
        <w:rPr>
          <w:color w:val="auto"/>
        </w:rPr>
        <w:instrText xml:space="preserve"> HYPERLINK "https://baike.baidu.com/item/%E9%BB%8F%E5%BA%A6/1929866" \t "https://baike.baidu.com/item/%E6%B2%A5%E9%9D%92/_blank" </w:instrText>
      </w:r>
      <w:r>
        <w:rPr>
          <w:color w:val="auto"/>
        </w:rPr>
        <w:fldChar w:fldCharType="separate"/>
      </w:r>
      <w:r>
        <w:rPr>
          <w:rStyle w:val="27"/>
          <w:color w:val="auto"/>
          <w:sz w:val="24"/>
          <w:u w:val="none"/>
          <w:shd w:val="clear" w:color="auto" w:fill="FFFFFF"/>
        </w:rPr>
        <w:t>黏度</w:t>
      </w:r>
      <w:r>
        <w:rPr>
          <w:rStyle w:val="27"/>
          <w:color w:val="auto"/>
          <w:sz w:val="24"/>
          <w:u w:val="none"/>
          <w:shd w:val="clear" w:color="auto" w:fill="FFFFFF"/>
        </w:rPr>
        <w:fldChar w:fldCharType="end"/>
      </w:r>
      <w:r>
        <w:rPr>
          <w:color w:val="auto"/>
        </w:rPr>
        <w:fldChar w:fldCharType="begin"/>
      </w:r>
      <w:r>
        <w:rPr>
          <w:color w:val="auto"/>
        </w:rPr>
        <w:instrText xml:space="preserve"> HYPERLINK "https://baike.baidu.com/item/%E6%9C%89%E6%9C%BA" \t "https://baike.baidu.com/item/%E6%B2%A5%E9%9D%92/_blank" </w:instrText>
      </w:r>
      <w:r>
        <w:rPr>
          <w:color w:val="auto"/>
        </w:rPr>
        <w:fldChar w:fldCharType="separate"/>
      </w:r>
      <w:r>
        <w:rPr>
          <w:rStyle w:val="27"/>
          <w:color w:val="auto"/>
          <w:sz w:val="24"/>
          <w:u w:val="none"/>
          <w:shd w:val="clear" w:color="auto" w:fill="FFFFFF"/>
        </w:rPr>
        <w:t>有机</w:t>
      </w:r>
      <w:r>
        <w:rPr>
          <w:rStyle w:val="27"/>
          <w:color w:val="auto"/>
          <w:sz w:val="24"/>
          <w:u w:val="none"/>
          <w:shd w:val="clear" w:color="auto" w:fill="FFFFFF"/>
        </w:rPr>
        <w:fldChar w:fldCharType="end"/>
      </w:r>
      <w:r>
        <w:rPr>
          <w:color w:val="auto"/>
          <w:sz w:val="24"/>
          <w:shd w:val="clear" w:color="auto" w:fill="FFFFFF"/>
        </w:rPr>
        <w:t>液体的一种，呈</w:t>
      </w:r>
      <w:r>
        <w:rPr>
          <w:color w:val="auto"/>
        </w:rPr>
        <w:fldChar w:fldCharType="begin"/>
      </w:r>
      <w:r>
        <w:rPr>
          <w:color w:val="auto"/>
        </w:rPr>
        <w:instrText xml:space="preserve"> HYPERLINK "https://baike.baidu.com/item/%E6%B6%B2%E6%80%81/10919666" \t "https://baike.baidu.com/item/%E6%B2%A5%E9%9D%92/_blank" </w:instrText>
      </w:r>
      <w:r>
        <w:rPr>
          <w:color w:val="auto"/>
        </w:rPr>
        <w:fldChar w:fldCharType="separate"/>
      </w:r>
      <w:r>
        <w:rPr>
          <w:rStyle w:val="27"/>
          <w:color w:val="auto"/>
          <w:sz w:val="24"/>
          <w:u w:val="none"/>
          <w:shd w:val="clear" w:color="auto" w:fill="FFFFFF"/>
        </w:rPr>
        <w:t>液态</w:t>
      </w:r>
      <w:r>
        <w:rPr>
          <w:rStyle w:val="27"/>
          <w:color w:val="auto"/>
          <w:sz w:val="24"/>
          <w:u w:val="none"/>
          <w:shd w:val="clear" w:color="auto" w:fill="FFFFFF"/>
        </w:rPr>
        <w:fldChar w:fldCharType="end"/>
      </w:r>
      <w:r>
        <w:rPr>
          <w:color w:val="auto"/>
          <w:sz w:val="24"/>
          <w:shd w:val="clear" w:color="auto" w:fill="FFFFFF"/>
        </w:rPr>
        <w:t>，表面呈黑色，可溶于</w:t>
      </w:r>
      <w:r>
        <w:rPr>
          <w:color w:val="auto"/>
        </w:rPr>
        <w:fldChar w:fldCharType="begin"/>
      </w:r>
      <w:r>
        <w:rPr>
          <w:color w:val="auto"/>
        </w:rPr>
        <w:instrText xml:space="preserve"> HYPERLINK "https://baike.baidu.com/item/%E4%BA%8C%E7%A1%AB%E5%8C%96%E7%A2%B3/6032457" \t "https://baike.baidu.com/item/%E6%B2%A5%E9%9D%92/_blank" </w:instrText>
      </w:r>
      <w:r>
        <w:rPr>
          <w:color w:val="auto"/>
        </w:rPr>
        <w:fldChar w:fldCharType="separate"/>
      </w:r>
      <w:r>
        <w:rPr>
          <w:rStyle w:val="27"/>
          <w:color w:val="auto"/>
          <w:sz w:val="24"/>
          <w:u w:val="none"/>
          <w:shd w:val="clear" w:color="auto" w:fill="FFFFFF"/>
        </w:rPr>
        <w:t>二硫化碳</w:t>
      </w:r>
      <w:r>
        <w:rPr>
          <w:rStyle w:val="27"/>
          <w:color w:val="auto"/>
          <w:sz w:val="24"/>
          <w:u w:val="none"/>
          <w:shd w:val="clear" w:color="auto" w:fill="FFFFFF"/>
        </w:rPr>
        <w:fldChar w:fldCharType="end"/>
      </w:r>
      <w:r>
        <w:rPr>
          <w:color w:val="auto"/>
          <w:sz w:val="24"/>
          <w:shd w:val="clear" w:color="auto" w:fill="FFFFFF"/>
        </w:rPr>
        <w:t>。项目使用的石油沥青是原油加工过程的一种产品，在常温下是黑色或黑褐色的粘稠的</w:t>
      </w:r>
      <w:r>
        <w:rPr>
          <w:color w:val="auto"/>
        </w:rPr>
        <w:fldChar w:fldCharType="begin"/>
      </w:r>
      <w:r>
        <w:rPr>
          <w:color w:val="auto"/>
        </w:rPr>
        <w:instrText xml:space="preserve"> HYPERLINK "https://baike.baidu.com/item/%E6%B6%B2%E4%BD%93" \t "https://baike.baidu.com/item/%E6%B2%A5%E9%9D%92/_blank" </w:instrText>
      </w:r>
      <w:r>
        <w:rPr>
          <w:color w:val="auto"/>
        </w:rPr>
        <w:fldChar w:fldCharType="separate"/>
      </w:r>
      <w:r>
        <w:rPr>
          <w:rStyle w:val="27"/>
          <w:color w:val="auto"/>
          <w:sz w:val="24"/>
          <w:u w:val="none"/>
          <w:shd w:val="clear" w:color="auto" w:fill="FFFFFF"/>
        </w:rPr>
        <w:t>液体</w:t>
      </w:r>
      <w:r>
        <w:rPr>
          <w:rStyle w:val="27"/>
          <w:color w:val="auto"/>
          <w:sz w:val="24"/>
          <w:u w:val="none"/>
          <w:shd w:val="clear" w:color="auto" w:fill="FFFFFF"/>
        </w:rPr>
        <w:fldChar w:fldCharType="end"/>
      </w:r>
      <w:r>
        <w:rPr>
          <w:color w:val="auto"/>
          <w:sz w:val="24"/>
          <w:shd w:val="clear" w:color="auto" w:fill="FFFFFF"/>
        </w:rPr>
        <w:t>、半固体或固体，主要含有可溶于</w:t>
      </w:r>
      <w:r>
        <w:rPr>
          <w:color w:val="auto"/>
        </w:rPr>
        <w:fldChar w:fldCharType="begin"/>
      </w:r>
      <w:r>
        <w:rPr>
          <w:color w:val="auto"/>
        </w:rPr>
        <w:instrText xml:space="preserve"> HYPERLINK "https://baike.baidu.com/item/%E6%B0%AF%E4%BB%BF" \t "https://baike.baidu.com/item/%E6%B2%A5%E9%9D%92/_blank" </w:instrText>
      </w:r>
      <w:r>
        <w:rPr>
          <w:color w:val="auto"/>
        </w:rPr>
        <w:fldChar w:fldCharType="separate"/>
      </w:r>
      <w:r>
        <w:rPr>
          <w:rStyle w:val="27"/>
          <w:color w:val="auto"/>
          <w:sz w:val="24"/>
          <w:u w:val="none"/>
          <w:shd w:val="clear" w:color="auto" w:fill="FFFFFF"/>
        </w:rPr>
        <w:t>氯仿</w:t>
      </w:r>
      <w:r>
        <w:rPr>
          <w:rStyle w:val="27"/>
          <w:color w:val="auto"/>
          <w:sz w:val="24"/>
          <w:u w:val="none"/>
          <w:shd w:val="clear" w:color="auto" w:fill="FFFFFF"/>
        </w:rPr>
        <w:fldChar w:fldCharType="end"/>
      </w:r>
      <w:r>
        <w:rPr>
          <w:color w:val="auto"/>
          <w:sz w:val="24"/>
          <w:shd w:val="clear" w:color="auto" w:fill="FFFFFF"/>
        </w:rPr>
        <w:t>的烃类及非烃类衍生物，其性质和组成随原油来源和生产方法的不同而变化。石油沥青的主要组分是油分、树脂和</w:t>
      </w:r>
      <w:r>
        <w:rPr>
          <w:color w:val="auto"/>
        </w:rPr>
        <w:fldChar w:fldCharType="begin"/>
      </w:r>
      <w:r>
        <w:rPr>
          <w:color w:val="auto"/>
        </w:rPr>
        <w:instrText xml:space="preserve"> HYPERLINK "https://baike.baidu.com/item/%E5%9C%B0%E6%B2%A5%E9%9D%92%E8%B4%A8" \t "https://baike.baidu.com/item/%E6%B2%A5%E9%9D%92/_blank" </w:instrText>
      </w:r>
      <w:r>
        <w:rPr>
          <w:color w:val="auto"/>
        </w:rPr>
        <w:fldChar w:fldCharType="separate"/>
      </w:r>
      <w:r>
        <w:rPr>
          <w:rStyle w:val="27"/>
          <w:color w:val="auto"/>
          <w:sz w:val="24"/>
          <w:u w:val="none"/>
          <w:shd w:val="clear" w:color="auto" w:fill="FFFFFF"/>
        </w:rPr>
        <w:t>地沥青质</w:t>
      </w:r>
      <w:r>
        <w:rPr>
          <w:rStyle w:val="27"/>
          <w:color w:val="auto"/>
          <w:sz w:val="24"/>
          <w:u w:val="none"/>
          <w:shd w:val="clear" w:color="auto" w:fill="FFFFFF"/>
        </w:rPr>
        <w:fldChar w:fldCharType="end"/>
      </w:r>
      <w:r>
        <w:rPr>
          <w:color w:val="auto"/>
          <w:sz w:val="24"/>
          <w:shd w:val="clear" w:color="auto" w:fill="FFFFFF"/>
        </w:rPr>
        <w:t>。还含2%~3%的沥青碳和似碳物，还含有蜡。沥青中的油分和树脂能浸润</w:t>
      </w:r>
      <w:r>
        <w:rPr>
          <w:color w:val="auto"/>
          <w:sz w:val="24"/>
          <w:shd w:val="clear" w:color="auto" w:fill="FFFFFF"/>
        </w:rPr>
        <w:fldChar w:fldCharType="begin"/>
      </w:r>
      <w:r>
        <w:rPr>
          <w:color w:val="auto"/>
          <w:sz w:val="24"/>
          <w:shd w:val="clear" w:color="auto" w:fill="FFFFFF"/>
        </w:rPr>
        <w:instrText xml:space="preserve"> HYPERLINK "https://baike.baidu.com/item/%E6%B2%A5%E9%9D%92%E8%B4%A8" \t "https://baike.baidu.com/item/%E6%B2%A5%E9%9D%92/_blank" </w:instrText>
      </w:r>
      <w:r>
        <w:rPr>
          <w:color w:val="auto"/>
          <w:sz w:val="24"/>
          <w:shd w:val="clear" w:color="auto" w:fill="FFFFFF"/>
        </w:rPr>
        <w:fldChar w:fldCharType="separate"/>
      </w:r>
      <w:r>
        <w:rPr>
          <w:rStyle w:val="27"/>
          <w:color w:val="auto"/>
          <w:sz w:val="24"/>
          <w:u w:val="none"/>
          <w:shd w:val="clear" w:color="auto" w:fill="FFFFFF"/>
        </w:rPr>
        <w:t>沥青质</w:t>
      </w:r>
      <w:r>
        <w:rPr>
          <w:color w:val="auto"/>
          <w:sz w:val="24"/>
          <w:shd w:val="clear" w:color="auto" w:fill="FFFFFF"/>
        </w:rPr>
        <w:fldChar w:fldCharType="end"/>
      </w:r>
      <w:r>
        <w:rPr>
          <w:color w:val="auto"/>
          <w:sz w:val="24"/>
          <w:shd w:val="clear" w:color="auto" w:fill="FFFFFF"/>
        </w:rPr>
        <w:t>。沥青的结构以</w:t>
      </w:r>
      <w:r>
        <w:rPr>
          <w:color w:val="auto"/>
        </w:rPr>
        <w:fldChar w:fldCharType="begin"/>
      </w:r>
      <w:r>
        <w:rPr>
          <w:color w:val="auto"/>
        </w:rPr>
        <w:instrText xml:space="preserve"> HYPERLINK "https://baike.baidu.com/item/%E5%9C%B0%E6%B2%A5%E9%9D%92%E8%B4%A8" \t "https://baike.baidu.com/item/%E6%B2%A5%E9%9D%92/_blank" </w:instrText>
      </w:r>
      <w:r>
        <w:rPr>
          <w:color w:val="auto"/>
        </w:rPr>
        <w:fldChar w:fldCharType="separate"/>
      </w:r>
      <w:r>
        <w:rPr>
          <w:rStyle w:val="27"/>
          <w:color w:val="auto"/>
          <w:sz w:val="24"/>
          <w:u w:val="none"/>
          <w:shd w:val="clear" w:color="auto" w:fill="FFFFFF"/>
        </w:rPr>
        <w:t>地沥青质</w:t>
      </w:r>
      <w:r>
        <w:rPr>
          <w:rStyle w:val="27"/>
          <w:color w:val="auto"/>
          <w:sz w:val="24"/>
          <w:u w:val="none"/>
          <w:shd w:val="clear" w:color="auto" w:fill="FFFFFF"/>
        </w:rPr>
        <w:fldChar w:fldCharType="end"/>
      </w:r>
      <w:r>
        <w:rPr>
          <w:color w:val="auto"/>
          <w:sz w:val="24"/>
          <w:shd w:val="clear" w:color="auto" w:fill="FFFFFF"/>
        </w:rPr>
        <w:t>为核心，吸附部分树脂和油分，构成胶团。无固定熔点，闪点为204.4℃，沸点＜470℃，密度1.15-1.25t/</w:t>
      </w:r>
      <w:r>
        <w:rPr>
          <w:rFonts w:hint="eastAsia"/>
          <w:color w:val="auto"/>
          <w:sz w:val="24"/>
          <w:shd w:val="clear" w:color="auto" w:fill="FFFFFF"/>
        </w:rPr>
        <w:t>m</w:t>
      </w:r>
      <w:r>
        <w:rPr>
          <w:color w:val="auto"/>
          <w:sz w:val="24"/>
          <w:shd w:val="clear" w:color="auto" w:fill="FFFFFF"/>
          <w:vertAlign w:val="superscript"/>
        </w:rPr>
        <w:t>3</w:t>
      </w:r>
      <w:r>
        <w:rPr>
          <w:color w:val="auto"/>
          <w:sz w:val="24"/>
          <w:shd w:val="clear" w:color="auto" w:fill="FFFFFF"/>
        </w:rPr>
        <w:t>。沥青属于憎水性材料，它不透水，也几乎不溶于水、</w:t>
      </w:r>
      <w:r>
        <w:rPr>
          <w:color w:val="auto"/>
          <w:sz w:val="24"/>
          <w:shd w:val="clear" w:color="auto" w:fill="FFFFFF"/>
        </w:rPr>
        <w:fldChar w:fldCharType="begin"/>
      </w:r>
      <w:r>
        <w:rPr>
          <w:color w:val="auto"/>
          <w:sz w:val="24"/>
          <w:shd w:val="clear" w:color="auto" w:fill="FFFFFF"/>
        </w:rPr>
        <w:instrText xml:space="preserve"> HYPERLINK "https://baike.baidu.com/item/%E4%B8%99%E9%85%AE" \t "https://baike.baidu.com/item/%E6%B2%A5%E9%9D%92/_blank" </w:instrText>
      </w:r>
      <w:r>
        <w:rPr>
          <w:color w:val="auto"/>
          <w:sz w:val="24"/>
          <w:shd w:val="clear" w:color="auto" w:fill="FFFFFF"/>
        </w:rPr>
        <w:fldChar w:fldCharType="separate"/>
      </w:r>
      <w:r>
        <w:rPr>
          <w:rStyle w:val="27"/>
          <w:color w:val="auto"/>
          <w:sz w:val="24"/>
          <w:u w:val="none"/>
          <w:shd w:val="clear" w:color="auto" w:fill="FFFFFF"/>
        </w:rPr>
        <w:t>丙酮</w:t>
      </w:r>
      <w:r>
        <w:rPr>
          <w:color w:val="auto"/>
          <w:sz w:val="24"/>
          <w:shd w:val="clear" w:color="auto" w:fill="FFFFFF"/>
        </w:rPr>
        <w:fldChar w:fldCharType="end"/>
      </w:r>
      <w:r>
        <w:rPr>
          <w:color w:val="auto"/>
          <w:sz w:val="24"/>
          <w:shd w:val="clear" w:color="auto" w:fill="FFFFFF"/>
        </w:rPr>
        <w:t>、</w:t>
      </w:r>
      <w:r>
        <w:rPr>
          <w:color w:val="auto"/>
        </w:rPr>
        <w:fldChar w:fldCharType="begin"/>
      </w:r>
      <w:r>
        <w:rPr>
          <w:color w:val="auto"/>
        </w:rPr>
        <w:instrText xml:space="preserve"> HYPERLINK "https://baike.baidu.com/item/%E4%B9%99%E9%86%9A" \t "https://baike.baidu.com/item/%E6%B2%A5%E9%9D%92/_blank" </w:instrText>
      </w:r>
      <w:r>
        <w:rPr>
          <w:color w:val="auto"/>
        </w:rPr>
        <w:fldChar w:fldCharType="separate"/>
      </w:r>
      <w:r>
        <w:rPr>
          <w:rStyle w:val="27"/>
          <w:color w:val="auto"/>
          <w:sz w:val="24"/>
          <w:u w:val="none"/>
          <w:shd w:val="clear" w:color="auto" w:fill="FFFFFF"/>
        </w:rPr>
        <w:t>乙醚</w:t>
      </w:r>
      <w:r>
        <w:rPr>
          <w:rStyle w:val="27"/>
          <w:color w:val="auto"/>
          <w:sz w:val="24"/>
          <w:u w:val="none"/>
          <w:shd w:val="clear" w:color="auto" w:fill="FFFFFF"/>
        </w:rPr>
        <w:fldChar w:fldCharType="end"/>
      </w:r>
      <w:r>
        <w:rPr>
          <w:color w:val="auto"/>
          <w:sz w:val="24"/>
          <w:shd w:val="clear" w:color="auto" w:fill="FFFFFF"/>
        </w:rPr>
        <w:t>、稀</w:t>
      </w:r>
      <w:r>
        <w:rPr>
          <w:color w:val="auto"/>
        </w:rPr>
        <w:fldChar w:fldCharType="begin"/>
      </w:r>
      <w:r>
        <w:rPr>
          <w:color w:val="auto"/>
        </w:rPr>
        <w:instrText xml:space="preserve"> HYPERLINK "https://baike.baidu.com/item/%E4%B9%99%E9%86%87" \t "https://baike.baidu.com/item/%E6%B2%A5%E9%9D%92/_blank" </w:instrText>
      </w:r>
      <w:r>
        <w:rPr>
          <w:color w:val="auto"/>
        </w:rPr>
        <w:fldChar w:fldCharType="separate"/>
      </w:r>
      <w:r>
        <w:rPr>
          <w:rStyle w:val="27"/>
          <w:color w:val="auto"/>
          <w:sz w:val="24"/>
          <w:u w:val="none"/>
          <w:shd w:val="clear" w:color="auto" w:fill="FFFFFF"/>
        </w:rPr>
        <w:t>乙醇</w:t>
      </w:r>
      <w:r>
        <w:rPr>
          <w:rStyle w:val="27"/>
          <w:color w:val="auto"/>
          <w:sz w:val="24"/>
          <w:u w:val="none"/>
          <w:shd w:val="clear" w:color="auto" w:fill="FFFFFF"/>
        </w:rPr>
        <w:fldChar w:fldCharType="end"/>
      </w:r>
      <w:r>
        <w:rPr>
          <w:color w:val="auto"/>
          <w:sz w:val="24"/>
          <w:shd w:val="clear" w:color="auto" w:fill="FFFFFF"/>
        </w:rPr>
        <w:t>，溶于</w:t>
      </w:r>
      <w:r>
        <w:rPr>
          <w:color w:val="auto"/>
        </w:rPr>
        <w:fldChar w:fldCharType="begin"/>
      </w:r>
      <w:r>
        <w:rPr>
          <w:color w:val="auto"/>
        </w:rPr>
        <w:instrText xml:space="preserve"> HYPERLINK "https://baike.baidu.com/item/%E4%BA%8C%E7%A1%AB%E5%8C%96%E7%A2%B3" \t "https://baike.baidu.com/item/%E6%B2%A5%E9%9D%92/_blank" </w:instrText>
      </w:r>
      <w:r>
        <w:rPr>
          <w:color w:val="auto"/>
        </w:rPr>
        <w:fldChar w:fldCharType="separate"/>
      </w:r>
      <w:r>
        <w:rPr>
          <w:rStyle w:val="27"/>
          <w:color w:val="auto"/>
          <w:sz w:val="24"/>
          <w:u w:val="none"/>
          <w:shd w:val="clear" w:color="auto" w:fill="FFFFFF"/>
        </w:rPr>
        <w:t>二硫化碳</w:t>
      </w:r>
      <w:r>
        <w:rPr>
          <w:rStyle w:val="27"/>
          <w:color w:val="auto"/>
          <w:sz w:val="24"/>
          <w:u w:val="none"/>
          <w:shd w:val="clear" w:color="auto" w:fill="FFFFFF"/>
        </w:rPr>
        <w:fldChar w:fldCharType="end"/>
      </w:r>
      <w:r>
        <w:rPr>
          <w:color w:val="auto"/>
          <w:sz w:val="24"/>
          <w:shd w:val="clear" w:color="auto" w:fill="FFFFFF"/>
        </w:rPr>
        <w:t>、</w:t>
      </w:r>
      <w:r>
        <w:rPr>
          <w:color w:val="auto"/>
        </w:rPr>
        <w:fldChar w:fldCharType="begin"/>
      </w:r>
      <w:r>
        <w:rPr>
          <w:color w:val="auto"/>
        </w:rPr>
        <w:instrText xml:space="preserve"> HYPERLINK "https://baike.baidu.com/item/%E5%9B%9B%E6%B0%AF%E5%8C%96%E7%A2%B3" \t "https://baike.baidu.com/item/%E6%B2%A5%E9%9D%92/_blank" </w:instrText>
      </w:r>
      <w:r>
        <w:rPr>
          <w:color w:val="auto"/>
        </w:rPr>
        <w:fldChar w:fldCharType="separate"/>
      </w:r>
      <w:r>
        <w:rPr>
          <w:rStyle w:val="27"/>
          <w:color w:val="auto"/>
          <w:sz w:val="24"/>
          <w:u w:val="none"/>
          <w:shd w:val="clear" w:color="auto" w:fill="FFFFFF"/>
        </w:rPr>
        <w:t>四氯化碳</w:t>
      </w:r>
      <w:r>
        <w:rPr>
          <w:rStyle w:val="27"/>
          <w:color w:val="auto"/>
          <w:sz w:val="24"/>
          <w:u w:val="none"/>
          <w:shd w:val="clear" w:color="auto" w:fill="FFFFFF"/>
        </w:rPr>
        <w:fldChar w:fldCharType="end"/>
      </w:r>
      <w:r>
        <w:rPr>
          <w:color w:val="auto"/>
          <w:sz w:val="24"/>
          <w:shd w:val="clear" w:color="auto" w:fill="FFFFFF"/>
        </w:rPr>
        <w:t>、</w:t>
      </w:r>
      <w:r>
        <w:rPr>
          <w:color w:val="auto"/>
        </w:rPr>
        <w:fldChar w:fldCharType="begin"/>
      </w:r>
      <w:r>
        <w:rPr>
          <w:color w:val="auto"/>
        </w:rPr>
        <w:instrText xml:space="preserve"> HYPERLINK "https://baike.baidu.com/item/%E6%B0%A2%E6%B0%A7%E5%8C%96%E9%92%A0" \t "https://baike.baidu.com/item/%E6%B2%A5%E9%9D%92/_blank" </w:instrText>
      </w:r>
      <w:r>
        <w:rPr>
          <w:color w:val="auto"/>
        </w:rPr>
        <w:fldChar w:fldCharType="separate"/>
      </w:r>
      <w:r>
        <w:rPr>
          <w:rStyle w:val="27"/>
          <w:color w:val="auto"/>
          <w:sz w:val="24"/>
          <w:u w:val="none"/>
          <w:shd w:val="clear" w:color="auto" w:fill="FFFFFF"/>
        </w:rPr>
        <w:t>氢氧化钠</w:t>
      </w:r>
      <w:r>
        <w:rPr>
          <w:rStyle w:val="27"/>
          <w:color w:val="auto"/>
          <w:sz w:val="24"/>
          <w:u w:val="none"/>
          <w:shd w:val="clear" w:color="auto" w:fill="FFFFFF"/>
        </w:rPr>
        <w:fldChar w:fldCharType="end"/>
      </w:r>
      <w:r>
        <w:rPr>
          <w:color w:val="auto"/>
          <w:sz w:val="24"/>
          <w:shd w:val="clear" w:color="auto" w:fill="FFFFFF"/>
        </w:rPr>
        <w:t>。沥青及其烟气对</w:t>
      </w:r>
      <w:r>
        <w:rPr>
          <w:color w:val="auto"/>
        </w:rPr>
        <w:fldChar w:fldCharType="begin"/>
      </w:r>
      <w:r>
        <w:rPr>
          <w:color w:val="auto"/>
        </w:rPr>
        <w:instrText xml:space="preserve"> HYPERLINK "https://baike.baidu.com/item/%E7%9A%AE%E8%82%A4%E7%B2%98%E8%86%9C" \t "https://baike.baidu.com/item/%E6%B2%A5%E9%9D%92/_blank" </w:instrText>
      </w:r>
      <w:r>
        <w:rPr>
          <w:color w:val="auto"/>
        </w:rPr>
        <w:fldChar w:fldCharType="separate"/>
      </w:r>
      <w:r>
        <w:rPr>
          <w:rStyle w:val="27"/>
          <w:color w:val="auto"/>
          <w:sz w:val="24"/>
          <w:u w:val="none"/>
          <w:shd w:val="clear" w:color="auto" w:fill="FFFFFF"/>
        </w:rPr>
        <w:t>皮肤粘膜</w:t>
      </w:r>
      <w:r>
        <w:rPr>
          <w:rStyle w:val="27"/>
          <w:color w:val="auto"/>
          <w:sz w:val="24"/>
          <w:u w:val="none"/>
          <w:shd w:val="clear" w:color="auto" w:fill="FFFFFF"/>
        </w:rPr>
        <w:fldChar w:fldCharType="end"/>
      </w:r>
      <w:r>
        <w:rPr>
          <w:color w:val="auto"/>
          <w:sz w:val="24"/>
          <w:shd w:val="clear" w:color="auto" w:fill="FFFFFF"/>
        </w:rPr>
        <w:t>具有刺激性，有光毒作用和致癌作用。此外，尚有头昏、头胀，头痛、胸闷、乏力、恶心、</w:t>
      </w:r>
      <w:r>
        <w:rPr>
          <w:color w:val="auto"/>
        </w:rPr>
        <w:fldChar w:fldCharType="begin"/>
      </w:r>
      <w:r>
        <w:rPr>
          <w:color w:val="auto"/>
        </w:rPr>
        <w:instrText xml:space="preserve"> HYPERLINK "https://baike.baidu.com/item/%E9%A3%9F%E6%AC%B2%E4%B8%8D%E6%8C%AF" \t "https://baike.baidu.com/item/%E6%B2%A5%E9%9D%92/_blank" </w:instrText>
      </w:r>
      <w:r>
        <w:rPr>
          <w:color w:val="auto"/>
        </w:rPr>
        <w:fldChar w:fldCharType="separate"/>
      </w:r>
      <w:r>
        <w:rPr>
          <w:rStyle w:val="27"/>
          <w:color w:val="auto"/>
          <w:sz w:val="24"/>
          <w:u w:val="none"/>
          <w:shd w:val="clear" w:color="auto" w:fill="FFFFFF"/>
        </w:rPr>
        <w:t>食欲不振</w:t>
      </w:r>
      <w:r>
        <w:rPr>
          <w:rStyle w:val="27"/>
          <w:color w:val="auto"/>
          <w:sz w:val="24"/>
          <w:u w:val="none"/>
          <w:shd w:val="clear" w:color="auto" w:fill="FFFFFF"/>
        </w:rPr>
        <w:fldChar w:fldCharType="end"/>
      </w:r>
      <w:r>
        <w:rPr>
          <w:color w:val="auto"/>
          <w:sz w:val="24"/>
          <w:shd w:val="clear" w:color="auto" w:fill="FFFFFF"/>
        </w:rPr>
        <w:t>等全身症状和眼 、鼻、咽部的刺激症状。在土木工程中，沥青是应用广泛的防水材料和防腐材料，主要应用于屋面、地面、地下结构的防水，木材、钢材的防腐。沥青还是道路工程中应用广泛的路面结构胶结材料，它与不同组成的矿质材料按比例配合后可以建成不同结构的沥青路面，高速公路应用较为广泛。本项目使用其作为主要原料制作防水卷材。</w:t>
      </w:r>
    </w:p>
    <w:p>
      <w:pPr>
        <w:spacing w:line="360" w:lineRule="auto"/>
        <w:ind w:firstLine="480"/>
        <w:rPr>
          <w:color w:val="auto"/>
          <w:sz w:val="24"/>
          <w:shd w:val="clear" w:color="auto" w:fill="FFFFFF"/>
        </w:rPr>
      </w:pPr>
      <w:r>
        <w:rPr>
          <w:color w:val="auto"/>
          <w:sz w:val="24"/>
          <w:shd w:val="clear" w:color="auto" w:fill="FFFFFF"/>
        </w:rPr>
        <w:t>（3）</w:t>
      </w:r>
      <w:r>
        <w:rPr>
          <w:rStyle w:val="38"/>
          <w:rFonts w:hint="default" w:ascii="Times New Roman" w:hAnsi="Times New Roman" w:cs="Times New Roman"/>
          <w:color w:val="auto"/>
          <w:sz w:val="24"/>
          <w:szCs w:val="24"/>
          <w:lang w:bidi="ar"/>
        </w:rPr>
        <w:t>SBS</w:t>
      </w:r>
      <w:r>
        <w:rPr>
          <w:rStyle w:val="49"/>
          <w:rFonts w:hint="default" w:ascii="Times New Roman" w:hAnsi="Times New Roman" w:cs="Times New Roman"/>
          <w:color w:val="auto"/>
          <w:sz w:val="24"/>
          <w:szCs w:val="24"/>
          <w:lang w:bidi="ar"/>
        </w:rPr>
        <w:t>颗粒</w:t>
      </w:r>
    </w:p>
    <w:p>
      <w:pPr>
        <w:spacing w:line="360" w:lineRule="auto"/>
        <w:ind w:firstLine="480"/>
        <w:rPr>
          <w:color w:val="auto"/>
          <w:sz w:val="24"/>
          <w:shd w:val="clear" w:color="auto" w:fill="FFFFFF"/>
        </w:rPr>
      </w:pPr>
      <w:r>
        <w:rPr>
          <w:color w:val="auto"/>
          <w:sz w:val="24"/>
          <w:shd w:val="clear" w:color="auto" w:fill="FFFFFF"/>
        </w:rPr>
        <w:t>SBS热塑性弹性体是是苯乙烯一丁二烯苯乙烯三段共聚物，又称热塑性丁苯嵌段共聚物或热塑性丁苯橡胶，简称SBS。根据合成方法不同，SBS有线型结构和星型结构。SBS为白色或微黄色多孔圆条或圆片形颗粒，相对密度0.92～0.95t/</w:t>
      </w:r>
      <w:r>
        <w:rPr>
          <w:rFonts w:hint="eastAsia"/>
          <w:color w:val="auto"/>
          <w:sz w:val="24"/>
          <w:shd w:val="clear" w:color="auto" w:fill="FFFFFF"/>
        </w:rPr>
        <w:t>m</w:t>
      </w:r>
      <w:r>
        <w:rPr>
          <w:color w:val="auto"/>
          <w:sz w:val="24"/>
          <w:shd w:val="clear" w:color="auto" w:fill="FFFFFF"/>
          <w:vertAlign w:val="superscript"/>
        </w:rPr>
        <w:t>3</w:t>
      </w:r>
      <w:r>
        <w:rPr>
          <w:color w:val="auto"/>
          <w:sz w:val="24"/>
          <w:shd w:val="clear" w:color="auto" w:fill="FFFFFF"/>
        </w:rPr>
        <w:t>。SBS具有优良的拉伸强度、弹性和电性能，永久变形小，屈挠和回弹性好，表面摩擦大。受热后材料可以流动，硬度和黏度增加，容易加工成型。冷却到室温后，聚苯乙烯链段聚集成玻璃态微区，对聚丁二烯链段起到了物理交联点的作用，从而使材料表现出橡胶的特性。因此称之为“热塑性弹性体”。SBS溶于甲苯、二氯甲烷、二氯乙烷等或与溶剂汽油等组成的混合溶剂，不溶于水、乙醇、溶剂汽油、醋酸乙酯、丙酮、环己烷等。</w:t>
      </w:r>
    </w:p>
    <w:p>
      <w:pPr>
        <w:spacing w:line="360" w:lineRule="auto"/>
        <w:ind w:firstLine="480"/>
        <w:rPr>
          <w:color w:val="auto"/>
          <w:sz w:val="24"/>
        </w:rPr>
      </w:pPr>
      <w:r>
        <w:rPr>
          <w:color w:val="auto"/>
          <w:sz w:val="24"/>
        </w:rPr>
        <w:t>（3）PE膜</w:t>
      </w:r>
    </w:p>
    <w:p>
      <w:pPr>
        <w:spacing w:line="360" w:lineRule="auto"/>
        <w:ind w:firstLine="480"/>
        <w:rPr>
          <w:color w:val="auto"/>
          <w:kern w:val="0"/>
          <w:sz w:val="24"/>
          <w:lang w:bidi="ar"/>
        </w:rPr>
      </w:pPr>
      <w:r>
        <w:rPr>
          <w:color w:val="auto"/>
          <w:sz w:val="24"/>
          <w:shd w:val="clear" w:color="auto" w:fill="FFFFFF"/>
        </w:rPr>
        <w:t>PE保护膜，全名为Polyethylene，是结构最简单的高分子有机化合物，当今世界应用最广泛的高分子材料。</w:t>
      </w:r>
      <w:r>
        <w:rPr>
          <w:color w:val="auto"/>
          <w:sz w:val="24"/>
        </w:rPr>
        <w:t>无毒、无味，具有良好的延伸性、电绝缘性，结晶度55-65%，结晶熔点108-126℃</w:t>
      </w:r>
      <w:r>
        <w:rPr>
          <w:rFonts w:hint="eastAsia"/>
          <w:color w:val="auto"/>
          <w:sz w:val="24"/>
        </w:rPr>
        <w:t>。</w:t>
      </w:r>
      <w:r>
        <w:rPr>
          <w:color w:val="auto"/>
          <w:sz w:val="24"/>
          <w:shd w:val="clear" w:color="auto" w:fill="FFFFFF"/>
        </w:rPr>
        <w:t>PE保护膜以特殊聚乙烯</w:t>
      </w:r>
      <w:r>
        <w:rPr>
          <w:i/>
          <w:color w:val="auto"/>
          <w:sz w:val="24"/>
          <w:shd w:val="clear" w:color="auto" w:fill="FFFFFF"/>
        </w:rPr>
        <w:t>（PE）</w:t>
      </w:r>
      <w:r>
        <w:rPr>
          <w:color w:val="auto"/>
          <w:sz w:val="24"/>
          <w:shd w:val="clear" w:color="auto" w:fill="FFFFFF"/>
        </w:rPr>
        <w:t>塑料薄膜为基材，根据密度的不同分为高密度聚乙烯保护膜、中密度聚乙烯和低密度聚乙烯。本项目利用其不透水性，覆盖在卷材中，其防水效果。</w:t>
      </w:r>
    </w:p>
    <w:p>
      <w:pPr>
        <w:spacing w:line="360" w:lineRule="auto"/>
        <w:ind w:firstLine="480"/>
        <w:rPr>
          <w:color w:val="auto"/>
          <w:sz w:val="24"/>
        </w:rPr>
      </w:pPr>
      <w:r>
        <w:rPr>
          <w:color w:val="auto"/>
          <w:sz w:val="24"/>
        </w:rPr>
        <w:t>（4）滑石粉</w:t>
      </w:r>
    </w:p>
    <w:p>
      <w:pPr>
        <w:spacing w:line="360" w:lineRule="auto"/>
        <w:ind w:firstLine="480"/>
        <w:rPr>
          <w:color w:val="auto"/>
          <w:sz w:val="24"/>
          <w:shd w:val="clear" w:color="auto" w:fill="FFFFFF"/>
        </w:rPr>
      </w:pPr>
      <w:r>
        <w:rPr>
          <w:color w:val="auto"/>
          <w:sz w:val="24"/>
          <w:shd w:val="clear" w:color="auto" w:fill="FFFFFF"/>
        </w:rPr>
        <w:t>滑石主要成分是滑石含水的</w:t>
      </w:r>
      <w:r>
        <w:rPr>
          <w:color w:val="auto"/>
          <w:sz w:val="24"/>
          <w:shd w:val="clear" w:color="auto" w:fill="FFFFFF"/>
        </w:rPr>
        <w:fldChar w:fldCharType="begin"/>
      </w:r>
      <w:r>
        <w:rPr>
          <w:color w:val="auto"/>
          <w:sz w:val="24"/>
          <w:shd w:val="clear" w:color="auto" w:fill="FFFFFF"/>
        </w:rPr>
        <w:instrText xml:space="preserve"> HYPERLINK "https://baike.baidu.com/item/%E7%A1%85%E9%85%B8%E9%95%81" \t "https://baike.baidu.com/item/%E6%BB%91%E7%9F%B3%E7%B2%89/_blank" </w:instrText>
      </w:r>
      <w:r>
        <w:rPr>
          <w:color w:val="auto"/>
          <w:sz w:val="24"/>
          <w:shd w:val="clear" w:color="auto" w:fill="FFFFFF"/>
        </w:rPr>
        <w:fldChar w:fldCharType="separate"/>
      </w:r>
      <w:r>
        <w:rPr>
          <w:rStyle w:val="27"/>
          <w:color w:val="auto"/>
          <w:sz w:val="24"/>
          <w:u w:val="none"/>
          <w:shd w:val="clear" w:color="auto" w:fill="FFFFFF"/>
        </w:rPr>
        <w:t>硅酸镁</w:t>
      </w:r>
      <w:r>
        <w:rPr>
          <w:color w:val="auto"/>
          <w:sz w:val="24"/>
          <w:shd w:val="clear" w:color="auto" w:fill="FFFFFF"/>
        </w:rPr>
        <w:fldChar w:fldCharType="end"/>
      </w:r>
      <w:r>
        <w:rPr>
          <w:color w:val="auto"/>
          <w:sz w:val="24"/>
          <w:shd w:val="clear" w:color="auto" w:fill="FFFFFF"/>
        </w:rPr>
        <w:t>，分子式为Mg3[Si4O10](OH)2。滑石属</w:t>
      </w:r>
      <w:r>
        <w:rPr>
          <w:color w:val="auto"/>
          <w:sz w:val="24"/>
          <w:shd w:val="clear" w:color="auto" w:fill="FFFFFF"/>
        </w:rPr>
        <w:fldChar w:fldCharType="begin"/>
      </w:r>
      <w:r>
        <w:rPr>
          <w:color w:val="auto"/>
          <w:sz w:val="24"/>
          <w:shd w:val="clear" w:color="auto" w:fill="FFFFFF"/>
        </w:rPr>
        <w:instrText xml:space="preserve"> HYPERLINK "https://baike.baidu.com/item/%E5%8D%95%E6%96%9C%E6%99%B6%E7%B3%BB/1685656" \t "https://baike.baidu.com/item/%E6%BB%91%E7%9F%B3%E7%B2%89/_blank" </w:instrText>
      </w:r>
      <w:r>
        <w:rPr>
          <w:color w:val="auto"/>
          <w:sz w:val="24"/>
          <w:shd w:val="clear" w:color="auto" w:fill="FFFFFF"/>
        </w:rPr>
        <w:fldChar w:fldCharType="separate"/>
      </w:r>
      <w:r>
        <w:rPr>
          <w:rStyle w:val="27"/>
          <w:color w:val="auto"/>
          <w:sz w:val="24"/>
          <w:u w:val="none"/>
          <w:shd w:val="clear" w:color="auto" w:fill="FFFFFF"/>
        </w:rPr>
        <w:t>单斜晶系</w:t>
      </w:r>
      <w:r>
        <w:rPr>
          <w:color w:val="auto"/>
          <w:sz w:val="24"/>
          <w:shd w:val="clear" w:color="auto" w:fill="FFFFFF"/>
        </w:rPr>
        <w:fldChar w:fldCharType="end"/>
      </w:r>
      <w:r>
        <w:rPr>
          <w:color w:val="auto"/>
          <w:sz w:val="24"/>
          <w:shd w:val="clear" w:color="auto" w:fill="FFFFFF"/>
        </w:rPr>
        <w:t>。晶体呈假六方或菱形的片状，偶见。通常成致密的块状、叶片状 、放射状、纤维状集合体。无色透明或白色，但因含少量的杂质而呈现浅绿、浅黄、浅棕甚至浅红色；解理面上呈珍珠光泽。</w:t>
      </w:r>
      <w:r>
        <w:rPr>
          <w:color w:val="auto"/>
          <w:sz w:val="24"/>
          <w:shd w:val="clear" w:color="auto" w:fill="FFFFFF"/>
        </w:rPr>
        <w:fldChar w:fldCharType="begin"/>
      </w:r>
      <w:r>
        <w:rPr>
          <w:color w:val="auto"/>
          <w:sz w:val="24"/>
          <w:shd w:val="clear" w:color="auto" w:fill="FFFFFF"/>
        </w:rPr>
        <w:instrText xml:space="preserve"> HYPERLINK "https://baike.baidu.com/item/%E7%A1%AC%E5%BA%A6" \t "https://baike.baidu.com/item/%E6%BB%91%E7%9F%B3%E7%B2%89/_blank" </w:instrText>
      </w:r>
      <w:r>
        <w:rPr>
          <w:color w:val="auto"/>
          <w:sz w:val="24"/>
          <w:shd w:val="clear" w:color="auto" w:fill="FFFFFF"/>
        </w:rPr>
        <w:fldChar w:fldCharType="separate"/>
      </w:r>
      <w:r>
        <w:rPr>
          <w:rStyle w:val="27"/>
          <w:color w:val="auto"/>
          <w:sz w:val="24"/>
          <w:u w:val="none"/>
          <w:shd w:val="clear" w:color="auto" w:fill="FFFFFF"/>
        </w:rPr>
        <w:t>硬度</w:t>
      </w:r>
      <w:r>
        <w:rPr>
          <w:color w:val="auto"/>
          <w:sz w:val="24"/>
          <w:shd w:val="clear" w:color="auto" w:fill="FFFFFF"/>
        </w:rPr>
        <w:fldChar w:fldCharType="end"/>
      </w:r>
      <w:r>
        <w:rPr>
          <w:color w:val="auto"/>
          <w:sz w:val="24"/>
          <w:shd w:val="clear" w:color="auto" w:fill="FFFFFF"/>
        </w:rPr>
        <w:t>1，比重2.7～2.8。具有润滑性、耐火性、抗酸性、绝缘性、熔点高、化学性不活泼、遮盖力良好、柔软、光泽好、吸附力强等优良物理、化学特性，由于滑石的结晶构造是呈层状的，所以具有易分裂成鳞片的趋向和特殊的滑润性。常用于塑料类、纸类产品的填料，橡胶填料和橡胶制品防黏剂，高级油漆涂料等。本项目使用其作为防水卷材的主要填料。</w:t>
      </w:r>
    </w:p>
    <w:p>
      <w:pPr>
        <w:spacing w:line="360" w:lineRule="auto"/>
        <w:ind w:firstLine="480"/>
        <w:rPr>
          <w:rStyle w:val="38"/>
          <w:rFonts w:hint="default" w:ascii="Times New Roman" w:hAnsi="Times New Roman" w:cs="Times New Roman"/>
          <w:color w:val="auto"/>
          <w:sz w:val="24"/>
          <w:szCs w:val="24"/>
          <w:lang w:bidi="ar"/>
        </w:rPr>
      </w:pPr>
      <w:r>
        <w:rPr>
          <w:color w:val="auto"/>
          <w:sz w:val="24"/>
          <w:shd w:val="clear" w:color="auto" w:fill="FFFFFF"/>
        </w:rPr>
        <w:t>（5）</w:t>
      </w:r>
      <w:r>
        <w:rPr>
          <w:rStyle w:val="38"/>
          <w:rFonts w:hint="default" w:ascii="Times New Roman" w:hAnsi="Times New Roman" w:cs="Times New Roman"/>
          <w:color w:val="auto"/>
          <w:sz w:val="24"/>
          <w:szCs w:val="24"/>
          <w:lang w:bidi="ar"/>
        </w:rPr>
        <w:t>SBR颗粒</w:t>
      </w:r>
    </w:p>
    <w:p>
      <w:pPr>
        <w:pStyle w:val="32"/>
        <w:spacing w:line="360" w:lineRule="auto"/>
        <w:ind w:firstLine="480" w:firstLineChars="200"/>
        <w:rPr>
          <w:color w:val="auto"/>
          <w:shd w:val="clear" w:color="auto" w:fill="FFFFFF"/>
        </w:rPr>
      </w:pPr>
      <w:r>
        <w:rPr>
          <w:color w:val="auto"/>
          <w:shd w:val="clear" w:color="auto" w:fill="FFFFFF"/>
        </w:rPr>
        <w:t>丁苯橡胶（SBR) ，又称聚苯乙烯丁二烯共聚物。其物理机构性能，加工性能及制品的使用性能接近于天然橡胶，有些性能如耐磨、耐热、耐老化及硫化速度较天然橡胶更为优良，可与天然橡胶及多种合成橡胶并用，广泛用于轮胎、胶带、胶管、电线电缆、</w:t>
      </w:r>
      <w:r>
        <w:rPr>
          <w:color w:val="auto"/>
        </w:rPr>
        <w:fldChar w:fldCharType="begin"/>
      </w:r>
      <w:r>
        <w:rPr>
          <w:color w:val="auto"/>
        </w:rPr>
        <w:instrText xml:space="preserve"> HYPERLINK "https://baike.baidu.com/item/%E5%8C%BB%E7%96%97/3232414" \t "https://baike.baidu.com/item/%E4%B8%81%E8%8B%AF%E6%A9%A1%E8%83%B6/_blank" </w:instrText>
      </w:r>
      <w:r>
        <w:rPr>
          <w:color w:val="auto"/>
        </w:rPr>
        <w:fldChar w:fldCharType="separate"/>
      </w:r>
      <w:r>
        <w:rPr>
          <w:rStyle w:val="27"/>
          <w:color w:val="auto"/>
          <w:u w:val="none"/>
          <w:shd w:val="clear" w:color="auto" w:fill="FFFFFF"/>
        </w:rPr>
        <w:t>医疗</w:t>
      </w:r>
      <w:r>
        <w:rPr>
          <w:rStyle w:val="27"/>
          <w:color w:val="auto"/>
          <w:u w:val="none"/>
          <w:shd w:val="clear" w:color="auto" w:fill="FFFFFF"/>
        </w:rPr>
        <w:fldChar w:fldCharType="end"/>
      </w:r>
      <w:r>
        <w:rPr>
          <w:color w:val="auto"/>
          <w:shd w:val="clear" w:color="auto" w:fill="FFFFFF"/>
        </w:rPr>
        <w:t>器具及各种橡胶制品的生产等领域，是最大的通用合成橡胶品种，也是最早实现工业化生产的橡胶品种之一。是世界上出现较早并广泛使用的沥青改性剂，也是我国较早开始研究和推广的沥青改性剂之一。加入后可以使卷材延展性增强。</w:t>
      </w:r>
    </w:p>
    <w:p>
      <w:pPr>
        <w:spacing w:line="360" w:lineRule="auto"/>
        <w:ind w:firstLine="480" w:firstLineChars="200"/>
        <w:jc w:val="left"/>
        <w:rPr>
          <w:color w:val="auto"/>
          <w:kern w:val="0"/>
          <w:sz w:val="24"/>
          <w:shd w:val="clear" w:color="auto" w:fill="FFFFFF"/>
        </w:rPr>
      </w:pPr>
      <w:r>
        <w:rPr>
          <w:rFonts w:hint="eastAsia"/>
          <w:color w:val="auto"/>
          <w:kern w:val="0"/>
          <w:sz w:val="24"/>
          <w:shd w:val="clear" w:color="auto" w:fill="FFFFFF"/>
        </w:rPr>
        <w:t>（6）软化油</w:t>
      </w:r>
    </w:p>
    <w:p>
      <w:pPr>
        <w:spacing w:line="360" w:lineRule="auto"/>
        <w:ind w:firstLine="480" w:firstLineChars="200"/>
        <w:rPr>
          <w:color w:val="auto"/>
          <w:kern w:val="0"/>
          <w:sz w:val="24"/>
          <w:shd w:val="clear" w:color="auto" w:fill="FFFFFF"/>
        </w:rPr>
      </w:pPr>
      <w:r>
        <w:rPr>
          <w:rFonts w:hint="eastAsia"/>
          <w:color w:val="auto"/>
          <w:kern w:val="0"/>
          <w:sz w:val="24"/>
          <w:shd w:val="clear" w:color="auto" w:fill="FFFFFF"/>
        </w:rPr>
        <w:t>即环烷油，以环烷烃为主要成分的石油馏分，饱和烃含量87.55%～93.86%。外观与性状：产品为水白色，清亮透明、无荧光、无异味。主要用途：天然橡胶、丁苯橡胶、顺丁橡胶、乙丙橡胶以及热塑性橡胶作为软化剂操作油，相对密度0.89～0.95，闪点＞160℃，酸值＜0.1mgKOH/g，苯胺点66～82℃，流动点-40～-12℃。环烷油具有饱和环状</w:t>
      </w:r>
      <w:r>
        <w:rPr>
          <w:color w:val="auto"/>
          <w:kern w:val="0"/>
          <w:sz w:val="24"/>
          <w:shd w:val="clear" w:color="auto" w:fill="FFFFFF"/>
        </w:rPr>
        <w:fldChar w:fldCharType="begin"/>
      </w:r>
      <w:r>
        <w:rPr>
          <w:color w:val="auto"/>
          <w:kern w:val="0"/>
          <w:sz w:val="24"/>
          <w:shd w:val="clear" w:color="auto" w:fill="FFFFFF"/>
        </w:rPr>
        <w:instrText xml:space="preserve"> HYPERLINK "https://baike.baidu.com/item/%E7%A2%B3%E9%93%BE/6845472" \t "https://baike.baidu.com/item/%E7%8E%AF%E7%83%B7%E6%B2%B9/_blank" </w:instrText>
      </w:r>
      <w:r>
        <w:rPr>
          <w:color w:val="auto"/>
          <w:kern w:val="0"/>
          <w:sz w:val="24"/>
          <w:shd w:val="clear" w:color="auto" w:fill="FFFFFF"/>
        </w:rPr>
        <w:fldChar w:fldCharType="separate"/>
      </w:r>
      <w:r>
        <w:rPr>
          <w:color w:val="auto"/>
          <w:kern w:val="0"/>
          <w:sz w:val="24"/>
          <w:shd w:val="clear" w:color="auto" w:fill="FFFFFF"/>
        </w:rPr>
        <w:t>碳链</w:t>
      </w:r>
      <w:r>
        <w:rPr>
          <w:color w:val="auto"/>
          <w:kern w:val="0"/>
          <w:sz w:val="24"/>
          <w:shd w:val="clear" w:color="auto" w:fill="FFFFFF"/>
        </w:rPr>
        <w:fldChar w:fldCharType="end"/>
      </w:r>
      <w:r>
        <w:rPr>
          <w:color w:val="auto"/>
          <w:kern w:val="0"/>
          <w:sz w:val="24"/>
          <w:shd w:val="clear" w:color="auto" w:fill="FFFFFF"/>
        </w:rPr>
        <w:t>结构，具有低</w:t>
      </w:r>
      <w:r>
        <w:rPr>
          <w:color w:val="auto"/>
        </w:rPr>
        <w:fldChar w:fldCharType="begin"/>
      </w:r>
      <w:r>
        <w:rPr>
          <w:color w:val="auto"/>
        </w:rPr>
        <w:instrText xml:space="preserve"> HYPERLINK "https://baike.baidu.com/item/%E5%80%BE%E7%82%B9/10362124" \t "https://baike.baidu.com/item/%E7%8E%AF%E7%83%B7%E6%B2%B9/_blank" </w:instrText>
      </w:r>
      <w:r>
        <w:rPr>
          <w:color w:val="auto"/>
        </w:rPr>
        <w:fldChar w:fldCharType="separate"/>
      </w:r>
      <w:r>
        <w:rPr>
          <w:color w:val="auto"/>
          <w:kern w:val="0"/>
          <w:sz w:val="24"/>
          <w:shd w:val="clear" w:color="auto" w:fill="FFFFFF"/>
        </w:rPr>
        <w:t>倾点</w:t>
      </w:r>
      <w:r>
        <w:rPr>
          <w:color w:val="auto"/>
          <w:kern w:val="0"/>
          <w:sz w:val="24"/>
          <w:shd w:val="clear" w:color="auto" w:fill="FFFFFF"/>
        </w:rPr>
        <w:fldChar w:fldCharType="end"/>
      </w:r>
      <w:r>
        <w:rPr>
          <w:color w:val="auto"/>
          <w:kern w:val="0"/>
          <w:sz w:val="24"/>
          <w:shd w:val="clear" w:color="auto" w:fill="FFFFFF"/>
        </w:rPr>
        <w:t>，高密度、高粘度、无毒副作用等特点</w:t>
      </w:r>
      <w:r>
        <w:rPr>
          <w:rFonts w:hint="eastAsia"/>
          <w:color w:val="auto"/>
          <w:kern w:val="0"/>
          <w:sz w:val="24"/>
          <w:shd w:val="clear" w:color="auto" w:fill="FFFFFF"/>
        </w:rPr>
        <w:t>。</w:t>
      </w:r>
    </w:p>
    <w:p>
      <w:pPr>
        <w:spacing w:line="360" w:lineRule="auto"/>
        <w:ind w:firstLine="480" w:firstLineChars="200"/>
        <w:jc w:val="left"/>
        <w:rPr>
          <w:color w:val="auto"/>
          <w:kern w:val="0"/>
          <w:sz w:val="24"/>
          <w:shd w:val="clear" w:color="auto" w:fill="FFFFFF"/>
        </w:rPr>
      </w:pPr>
      <w:r>
        <w:rPr>
          <w:rFonts w:hint="eastAsia"/>
          <w:color w:val="auto"/>
          <w:kern w:val="0"/>
          <w:sz w:val="24"/>
          <w:shd w:val="clear" w:color="auto" w:fill="FFFFFF"/>
        </w:rPr>
        <w:t>（7）胎体</w:t>
      </w:r>
    </w:p>
    <w:p>
      <w:pPr>
        <w:spacing w:line="360" w:lineRule="auto"/>
        <w:ind w:firstLine="480" w:firstLineChars="200"/>
        <w:jc w:val="left"/>
        <w:rPr>
          <w:color w:val="auto"/>
          <w:kern w:val="0"/>
          <w:sz w:val="24"/>
          <w:shd w:val="clear" w:color="auto" w:fill="FFFFFF"/>
        </w:rPr>
      </w:pPr>
      <w:r>
        <w:rPr>
          <w:rFonts w:hint="eastAsia"/>
          <w:color w:val="auto"/>
          <w:kern w:val="0"/>
          <w:sz w:val="24"/>
          <w:shd w:val="clear" w:color="auto" w:fill="FFFFFF"/>
        </w:rPr>
        <w:t>属于无纺布的一种，又可以称之为：聚酯油毡基布，胎基布，油毡基布，防水基布。具有高强度、高延伸和耐穿刺，重量轻、抗拉强度高、渗透性好、耐高温、抗冷冻、耐老化、耐腐蚀。作为沥青防水卷材的胎基在建筑行业以得到广泛应用。</w:t>
      </w:r>
    </w:p>
    <w:p>
      <w:pPr>
        <w:spacing w:line="360" w:lineRule="auto"/>
        <w:ind w:firstLine="480" w:firstLineChars="200"/>
        <w:jc w:val="left"/>
        <w:rPr>
          <w:color w:val="auto"/>
          <w:kern w:val="0"/>
          <w:sz w:val="24"/>
          <w:shd w:val="clear" w:color="auto" w:fill="FFFFFF"/>
        </w:rPr>
      </w:pPr>
      <w:bookmarkStart w:id="449" w:name="_Toc11593"/>
      <w:r>
        <w:rPr>
          <w:rFonts w:hint="eastAsia"/>
          <w:color w:val="auto"/>
          <w:kern w:val="0"/>
          <w:sz w:val="24"/>
          <w:shd w:val="clear" w:color="auto" w:fill="FFFFFF"/>
        </w:rPr>
        <w:t>（8）导热油</w:t>
      </w:r>
    </w:p>
    <w:p>
      <w:pPr>
        <w:spacing w:line="360" w:lineRule="auto"/>
        <w:ind w:firstLine="480" w:firstLineChars="200"/>
        <w:jc w:val="left"/>
        <w:rPr>
          <w:color w:val="auto"/>
          <w:kern w:val="0"/>
          <w:sz w:val="24"/>
          <w:shd w:val="clear" w:color="auto" w:fill="FFFFFF"/>
        </w:rPr>
      </w:pPr>
      <w:r>
        <w:rPr>
          <w:rFonts w:hint="eastAsia"/>
          <w:color w:val="auto"/>
          <w:kern w:val="0"/>
          <w:sz w:val="24"/>
          <w:shd w:val="clear" w:color="auto" w:fill="FFFFFF"/>
        </w:rPr>
        <w:t>是用于传递热量的一类热稳定性较好的专用油品。由于其具有加热均匀，调温控制准确，能在低蒸汽气压下产生高温，传热效果好，节能，输送和操作方便等特点，近年来被广泛用于各种场合，而且其用途和用量越来越多。本项目所用的导热油为烷基萘型导热油，这一类型导热油的结构为苯环上连接烷烃支链的化合物，沸点在280℃左右。</w:t>
      </w:r>
    </w:p>
    <w:p>
      <w:pPr>
        <w:spacing w:line="360" w:lineRule="auto"/>
        <w:ind w:firstLine="480" w:firstLineChars="200"/>
        <w:jc w:val="left"/>
        <w:rPr>
          <w:color w:val="auto"/>
          <w:kern w:val="0"/>
          <w:sz w:val="24"/>
          <w:shd w:val="clear" w:color="auto" w:fill="FFFFFF"/>
        </w:rPr>
      </w:pPr>
      <w:r>
        <w:rPr>
          <w:rFonts w:hint="eastAsia"/>
          <w:color w:val="auto"/>
          <w:kern w:val="0"/>
          <w:sz w:val="24"/>
          <w:shd w:val="clear" w:color="auto" w:fill="FFFFFF"/>
        </w:rPr>
        <w:t>（9）润滑油</w:t>
      </w:r>
    </w:p>
    <w:p>
      <w:pPr>
        <w:spacing w:line="360" w:lineRule="auto"/>
        <w:ind w:firstLine="480" w:firstLineChars="200"/>
        <w:jc w:val="left"/>
        <w:rPr>
          <w:color w:val="auto"/>
          <w:sz w:val="24"/>
        </w:rPr>
      </w:pPr>
      <w:r>
        <w:rPr>
          <w:rFonts w:hint="eastAsia"/>
          <w:color w:val="auto"/>
          <w:kern w:val="0"/>
          <w:sz w:val="24"/>
          <w:shd w:val="clear" w:color="auto" w:fill="FFFFFF"/>
        </w:rPr>
        <w:t>润滑油</w:t>
      </w:r>
      <w:r>
        <w:rPr>
          <w:color w:val="auto"/>
          <w:kern w:val="0"/>
          <w:sz w:val="24"/>
          <w:shd w:val="clear" w:color="auto" w:fill="FFFFFF"/>
        </w:rPr>
        <w:t>是用在各种类型汽车、机械设备上以减少摩擦，保护机械及加工件的液体或半固体润滑剂，主要起润滑、辅助冷却、</w:t>
      </w:r>
      <w:r>
        <w:rPr>
          <w:color w:val="auto"/>
        </w:rPr>
        <w:fldChar w:fldCharType="begin"/>
      </w:r>
      <w:r>
        <w:rPr>
          <w:color w:val="auto"/>
        </w:rPr>
        <w:instrText xml:space="preserve"> HYPERLINK "https://baike.baidu.com/item/%E9%98%B2%E9%94%88/4591680" \t "https://baike.baidu.com/item/%E6%B6%A6%E6%BB%91%E6%B2%B9/_blank" </w:instrText>
      </w:r>
      <w:r>
        <w:rPr>
          <w:color w:val="auto"/>
        </w:rPr>
        <w:fldChar w:fldCharType="separate"/>
      </w:r>
      <w:r>
        <w:rPr>
          <w:color w:val="auto"/>
          <w:sz w:val="24"/>
        </w:rPr>
        <w:t>防锈</w:t>
      </w:r>
      <w:r>
        <w:rPr>
          <w:color w:val="auto"/>
          <w:sz w:val="24"/>
        </w:rPr>
        <w:fldChar w:fldCharType="end"/>
      </w:r>
      <w:r>
        <w:rPr>
          <w:color w:val="auto"/>
          <w:sz w:val="24"/>
        </w:rPr>
        <w:t>、清洁、</w:t>
      </w:r>
      <w:r>
        <w:rPr>
          <w:color w:val="auto"/>
        </w:rPr>
        <w:fldChar w:fldCharType="begin"/>
      </w:r>
      <w:r>
        <w:rPr>
          <w:color w:val="auto"/>
        </w:rPr>
        <w:instrText xml:space="preserve"> HYPERLINK "https://baike.baidu.com/item/%E5%AF%86%E5%B0%81/7558996" \t "https://baike.baidu.com/item/%E6%B6%A6%E6%BB%91%E6%B2%B9/_blank" </w:instrText>
      </w:r>
      <w:r>
        <w:rPr>
          <w:color w:val="auto"/>
        </w:rPr>
        <w:fldChar w:fldCharType="separate"/>
      </w:r>
      <w:r>
        <w:rPr>
          <w:color w:val="auto"/>
          <w:sz w:val="24"/>
        </w:rPr>
        <w:t>密封</w:t>
      </w:r>
      <w:r>
        <w:rPr>
          <w:color w:val="auto"/>
          <w:sz w:val="24"/>
        </w:rPr>
        <w:fldChar w:fldCharType="end"/>
      </w:r>
      <w:r>
        <w:rPr>
          <w:color w:val="auto"/>
          <w:sz w:val="24"/>
        </w:rPr>
        <w:t>和缓冲等作用。</w:t>
      </w:r>
      <w:r>
        <w:rPr>
          <w:rFonts w:hint="eastAsia"/>
          <w:color w:val="auto"/>
          <w:sz w:val="24"/>
        </w:rPr>
        <w:t>润滑油</w:t>
      </w:r>
      <w:r>
        <w:rPr>
          <w:color w:val="auto"/>
          <w:sz w:val="24"/>
        </w:rPr>
        <w:t>一般由基础油和添加剂两部分组成。基础油是</w:t>
      </w:r>
      <w:r>
        <w:rPr>
          <w:rFonts w:hint="eastAsia"/>
          <w:color w:val="auto"/>
          <w:sz w:val="24"/>
        </w:rPr>
        <w:t>润滑油</w:t>
      </w:r>
      <w:r>
        <w:rPr>
          <w:color w:val="auto"/>
          <w:sz w:val="24"/>
        </w:rPr>
        <w:t>的主要成分，决定着</w:t>
      </w:r>
      <w:r>
        <w:rPr>
          <w:rFonts w:hint="eastAsia"/>
          <w:color w:val="auto"/>
          <w:sz w:val="24"/>
        </w:rPr>
        <w:t>润滑油</w:t>
      </w:r>
      <w:r>
        <w:rPr>
          <w:color w:val="auto"/>
          <w:sz w:val="24"/>
        </w:rPr>
        <w:t>的基本性质，添加剂则可弥补和改善基础油性能方面的不足，赋予某些新的性能，是</w:t>
      </w:r>
      <w:r>
        <w:rPr>
          <w:rFonts w:hint="eastAsia"/>
          <w:color w:val="auto"/>
          <w:sz w:val="24"/>
        </w:rPr>
        <w:t>润滑油</w:t>
      </w:r>
      <w:r>
        <w:rPr>
          <w:color w:val="auto"/>
          <w:sz w:val="24"/>
        </w:rPr>
        <w:t>的重要组成部分。本项目使用的</w:t>
      </w:r>
      <w:r>
        <w:rPr>
          <w:rFonts w:hint="eastAsia"/>
          <w:color w:val="auto"/>
          <w:sz w:val="24"/>
        </w:rPr>
        <w:t>润滑油</w:t>
      </w:r>
      <w:r>
        <w:rPr>
          <w:color w:val="auto"/>
          <w:sz w:val="24"/>
        </w:rPr>
        <w:t>基础油主要</w:t>
      </w:r>
      <w:r>
        <w:rPr>
          <w:rFonts w:hint="eastAsia"/>
          <w:color w:val="auto"/>
          <w:sz w:val="24"/>
        </w:rPr>
        <w:t>为</w:t>
      </w:r>
      <w:r>
        <w:rPr>
          <w:color w:val="auto"/>
          <w:sz w:val="24"/>
        </w:rPr>
        <w:t>矿物基础油。</w:t>
      </w:r>
    </w:p>
    <w:p>
      <w:pPr>
        <w:pStyle w:val="32"/>
        <w:spacing w:line="360" w:lineRule="auto"/>
        <w:ind w:firstLine="480" w:firstLineChars="200"/>
        <w:rPr>
          <w:color w:val="auto"/>
          <w:kern w:val="2"/>
        </w:rPr>
      </w:pPr>
      <w:r>
        <w:rPr>
          <w:rFonts w:hint="eastAsia"/>
          <w:color w:val="auto"/>
          <w:kern w:val="2"/>
        </w:rPr>
        <w:t>3、原辅材料使用可行性分析</w:t>
      </w:r>
    </w:p>
    <w:p>
      <w:pPr>
        <w:pStyle w:val="32"/>
        <w:spacing w:line="360" w:lineRule="auto"/>
        <w:ind w:firstLine="480" w:firstLineChars="200"/>
        <w:rPr>
          <w:color w:val="auto"/>
          <w:kern w:val="2"/>
        </w:rPr>
      </w:pPr>
      <w:r>
        <w:rPr>
          <w:rFonts w:hint="eastAsia"/>
          <w:color w:val="auto"/>
          <w:kern w:val="2"/>
        </w:rPr>
        <w:t>（1）覆铜板回收可行性分析</w:t>
      </w:r>
    </w:p>
    <w:p>
      <w:pPr>
        <w:tabs>
          <w:tab w:val="left" w:pos="840"/>
          <w:tab w:val="left" w:pos="945"/>
        </w:tabs>
        <w:adjustRightInd w:val="0"/>
        <w:snapToGrid w:val="0"/>
        <w:spacing w:line="360" w:lineRule="auto"/>
        <w:ind w:firstLine="480" w:firstLineChars="200"/>
        <w:rPr>
          <w:color w:val="auto"/>
          <w:kern w:val="0"/>
          <w:sz w:val="24"/>
          <w:shd w:val="clear" w:color="auto" w:fill="FFFFFF"/>
        </w:rPr>
      </w:pPr>
      <w:r>
        <w:rPr>
          <w:rFonts w:hint="eastAsia"/>
          <w:color w:val="auto"/>
          <w:sz w:val="24"/>
        </w:rPr>
        <w:t>本项目回收的覆铜板不含元器件、</w:t>
      </w:r>
      <w:r>
        <w:rPr>
          <w:color w:val="auto"/>
          <w:sz w:val="24"/>
        </w:rPr>
        <w:t>芯片、插件、贴脚等</w:t>
      </w:r>
      <w:r>
        <w:rPr>
          <w:rFonts w:hint="eastAsia"/>
          <w:color w:val="auto"/>
          <w:sz w:val="24"/>
        </w:rPr>
        <w:t>，属于一般固体废物，主要来自于清远本地的企业。</w:t>
      </w:r>
      <w:r>
        <w:rPr>
          <w:rFonts w:hint="eastAsia"/>
          <w:color w:val="auto"/>
          <w:kern w:val="0"/>
          <w:sz w:val="24"/>
          <w:shd w:val="clear" w:color="auto" w:fill="FFFFFF"/>
        </w:rPr>
        <w:t>由于运输路途较短，运输量不大，故</w:t>
      </w:r>
      <w:r>
        <w:rPr>
          <w:color w:val="auto"/>
          <w:kern w:val="0"/>
          <w:sz w:val="24"/>
          <w:shd w:val="clear" w:color="auto" w:fill="FFFFFF"/>
        </w:rPr>
        <w:t>运输方式</w:t>
      </w:r>
      <w:r>
        <w:rPr>
          <w:rFonts w:hint="eastAsia"/>
          <w:color w:val="auto"/>
          <w:kern w:val="0"/>
          <w:sz w:val="24"/>
          <w:shd w:val="clear" w:color="auto" w:fill="FFFFFF"/>
        </w:rPr>
        <w:t>宜选择</w:t>
      </w:r>
      <w:r>
        <w:rPr>
          <w:color w:val="auto"/>
          <w:kern w:val="0"/>
          <w:sz w:val="24"/>
          <w:shd w:val="clear" w:color="auto" w:fill="FFFFFF"/>
        </w:rPr>
        <w:t>较为方便的</w:t>
      </w:r>
      <w:r>
        <w:rPr>
          <w:rFonts w:hint="eastAsia"/>
          <w:color w:val="auto"/>
          <w:kern w:val="0"/>
          <w:sz w:val="24"/>
          <w:shd w:val="clear" w:color="auto" w:fill="FFFFFF"/>
        </w:rPr>
        <w:t>灵活的道路汽车运输。</w:t>
      </w:r>
    </w:p>
    <w:p>
      <w:pPr>
        <w:tabs>
          <w:tab w:val="left" w:pos="840"/>
          <w:tab w:val="left" w:pos="945"/>
        </w:tabs>
        <w:adjustRightInd w:val="0"/>
        <w:snapToGrid w:val="0"/>
        <w:spacing w:line="360" w:lineRule="auto"/>
        <w:ind w:firstLine="480" w:firstLineChars="200"/>
        <w:rPr>
          <w:color w:val="auto"/>
          <w:sz w:val="24"/>
        </w:rPr>
      </w:pPr>
      <w:r>
        <w:rPr>
          <w:rFonts w:hint="eastAsia"/>
          <w:color w:val="auto"/>
          <w:kern w:val="0"/>
          <w:sz w:val="24"/>
          <w:shd w:val="clear" w:color="auto" w:fill="FFFFFF"/>
        </w:rPr>
        <w:t>本项目</w:t>
      </w:r>
      <w:r>
        <w:rPr>
          <w:color w:val="auto"/>
          <w:sz w:val="24"/>
        </w:rPr>
        <w:t>采用</w:t>
      </w:r>
      <w:r>
        <w:rPr>
          <w:rFonts w:hint="eastAsia"/>
          <w:color w:val="auto"/>
          <w:sz w:val="24"/>
        </w:rPr>
        <w:t>简单且</w:t>
      </w:r>
      <w:r>
        <w:rPr>
          <w:color w:val="auto"/>
          <w:sz w:val="24"/>
        </w:rPr>
        <w:t>成熟的“破碎+</w:t>
      </w:r>
      <w:r>
        <w:rPr>
          <w:rFonts w:hint="eastAsia"/>
          <w:color w:val="auto"/>
          <w:sz w:val="24"/>
        </w:rPr>
        <w:t>筛分</w:t>
      </w:r>
      <w:r>
        <w:rPr>
          <w:color w:val="auto"/>
          <w:sz w:val="24"/>
        </w:rPr>
        <w:t>”工艺，</w:t>
      </w:r>
      <w:r>
        <w:rPr>
          <w:rFonts w:hint="eastAsia"/>
          <w:color w:val="auto"/>
          <w:kern w:val="0"/>
          <w:sz w:val="24"/>
          <w:shd w:val="clear" w:color="auto" w:fill="FFFFFF"/>
        </w:rPr>
        <w:t>项目从各企业将覆铜板运回后经地磅称重后堆放于原料堆放区内，随即可以投入破碎机中进行破碎。</w:t>
      </w:r>
      <w:r>
        <w:rPr>
          <w:rFonts w:hint="eastAsia"/>
          <w:color w:val="auto"/>
          <w:sz w:val="24"/>
        </w:rPr>
        <w:t>将废覆铜板处理后可</w:t>
      </w:r>
      <w:r>
        <w:rPr>
          <w:color w:val="auto"/>
          <w:sz w:val="24"/>
        </w:rPr>
        <w:t>得到</w:t>
      </w:r>
      <w:r>
        <w:rPr>
          <w:rFonts w:hint="eastAsia"/>
          <w:color w:val="auto"/>
          <w:sz w:val="24"/>
        </w:rPr>
        <w:t>铜粉</w:t>
      </w:r>
      <w:r>
        <w:rPr>
          <w:color w:val="auto"/>
          <w:sz w:val="24"/>
        </w:rPr>
        <w:t>和</w:t>
      </w:r>
      <w:r>
        <w:rPr>
          <w:rFonts w:hint="eastAsia"/>
          <w:color w:val="auto"/>
          <w:sz w:val="24"/>
        </w:rPr>
        <w:t>废</w:t>
      </w:r>
      <w:r>
        <w:rPr>
          <w:color w:val="auto"/>
          <w:sz w:val="24"/>
        </w:rPr>
        <w:t>树脂</w:t>
      </w:r>
      <w:r>
        <w:rPr>
          <w:rFonts w:hint="eastAsia"/>
          <w:color w:val="auto"/>
          <w:sz w:val="24"/>
        </w:rPr>
        <w:t>粉</w:t>
      </w:r>
      <w:r>
        <w:rPr>
          <w:color w:val="auto"/>
          <w:sz w:val="24"/>
        </w:rPr>
        <w:t>。</w:t>
      </w:r>
      <w:r>
        <w:rPr>
          <w:rFonts w:hint="eastAsia"/>
          <w:color w:val="auto"/>
          <w:sz w:val="24"/>
        </w:rPr>
        <w:t>其中取得的铜粉可直接外售，废树脂粉全部用于防水卷材的生产。本项目对废树脂粉有完善、合理的处理方案和办法，对废覆铜板的回收是可行的。</w:t>
      </w:r>
    </w:p>
    <w:p>
      <w:pPr>
        <w:tabs>
          <w:tab w:val="left" w:pos="840"/>
          <w:tab w:val="left" w:pos="945"/>
        </w:tabs>
        <w:adjustRightInd w:val="0"/>
        <w:snapToGrid w:val="0"/>
        <w:spacing w:line="360" w:lineRule="auto"/>
        <w:ind w:firstLine="480" w:firstLineChars="200"/>
        <w:rPr>
          <w:color w:val="auto"/>
          <w:sz w:val="24"/>
        </w:rPr>
      </w:pPr>
      <w:r>
        <w:rPr>
          <w:rFonts w:hint="eastAsia"/>
          <w:color w:val="auto"/>
          <w:sz w:val="24"/>
        </w:rPr>
        <w:t>（2）卷材生产线原辅料用量可行性分析</w:t>
      </w:r>
    </w:p>
    <w:p>
      <w:pPr>
        <w:snapToGrid w:val="0"/>
        <w:spacing w:line="360" w:lineRule="auto"/>
        <w:ind w:firstLine="480" w:firstLineChars="200"/>
        <w:rPr>
          <w:color w:val="auto"/>
          <w:sz w:val="24"/>
        </w:rPr>
      </w:pPr>
      <w:r>
        <w:rPr>
          <w:rFonts w:hint="eastAsia"/>
          <w:color w:val="auto"/>
          <w:sz w:val="24"/>
        </w:rPr>
        <w:t>根据调查，同类沥青防水卷材项目与本项目沥青与粉料（滑石粉）的用量比例统计如下表。</w:t>
      </w:r>
    </w:p>
    <w:p>
      <w:pPr>
        <w:adjustRightInd w:val="0"/>
        <w:snapToGrid w:val="0"/>
        <w:spacing w:line="360" w:lineRule="auto"/>
        <w:ind w:firstLine="422" w:firstLineChars="200"/>
        <w:jc w:val="center"/>
        <w:rPr>
          <w:b/>
          <w:color w:val="auto"/>
          <w:szCs w:val="21"/>
        </w:rPr>
      </w:pPr>
      <w:r>
        <w:rPr>
          <w:rFonts w:hint="eastAsia"/>
          <w:b/>
          <w:color w:val="auto"/>
          <w:szCs w:val="21"/>
        </w:rPr>
        <w:t xml:space="preserve">表4.3-3  </w:t>
      </w:r>
      <w:r>
        <w:rPr>
          <w:b/>
          <w:color w:val="auto"/>
          <w:szCs w:val="21"/>
        </w:rPr>
        <w:t>防水卷材生产线</w:t>
      </w:r>
      <w:r>
        <w:rPr>
          <w:rFonts w:hint="eastAsia"/>
          <w:b/>
          <w:color w:val="auto"/>
          <w:szCs w:val="21"/>
        </w:rPr>
        <w:t>沥青与粉料（滑石粉）及其他辅料的用量比例统计</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23"/>
        <w:gridCol w:w="1173"/>
        <w:gridCol w:w="1820"/>
        <w:gridCol w:w="2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2978" w:type="dxa"/>
            <w:vAlign w:val="center"/>
          </w:tcPr>
          <w:p>
            <w:pPr>
              <w:adjustRightInd w:val="0"/>
              <w:snapToGrid w:val="0"/>
              <w:jc w:val="center"/>
              <w:rPr>
                <w:color w:val="auto"/>
                <w:szCs w:val="21"/>
              </w:rPr>
            </w:pPr>
            <w:r>
              <w:rPr>
                <w:color w:val="auto"/>
                <w:szCs w:val="21"/>
              </w:rPr>
              <w:t>项目名称</w:t>
            </w:r>
          </w:p>
        </w:tc>
        <w:tc>
          <w:tcPr>
            <w:tcW w:w="723" w:type="dxa"/>
            <w:vAlign w:val="center"/>
          </w:tcPr>
          <w:p>
            <w:pPr>
              <w:adjustRightInd w:val="0"/>
              <w:snapToGrid w:val="0"/>
              <w:jc w:val="center"/>
              <w:rPr>
                <w:color w:val="auto"/>
                <w:szCs w:val="21"/>
              </w:rPr>
            </w:pPr>
            <w:r>
              <w:rPr>
                <w:color w:val="auto"/>
                <w:szCs w:val="21"/>
              </w:rPr>
              <w:t>产品</w:t>
            </w:r>
          </w:p>
        </w:tc>
        <w:tc>
          <w:tcPr>
            <w:tcW w:w="1173" w:type="dxa"/>
            <w:vAlign w:val="center"/>
          </w:tcPr>
          <w:p>
            <w:pPr>
              <w:adjustRightInd w:val="0"/>
              <w:snapToGrid w:val="0"/>
              <w:jc w:val="center"/>
              <w:rPr>
                <w:color w:val="auto"/>
                <w:szCs w:val="21"/>
              </w:rPr>
            </w:pPr>
            <w:r>
              <w:rPr>
                <w:color w:val="auto"/>
                <w:szCs w:val="21"/>
              </w:rPr>
              <w:t>产量</w:t>
            </w:r>
          </w:p>
          <w:p>
            <w:pPr>
              <w:adjustRightInd w:val="0"/>
              <w:snapToGrid w:val="0"/>
              <w:rPr>
                <w:color w:val="auto"/>
                <w:szCs w:val="21"/>
              </w:rPr>
            </w:pPr>
            <w:r>
              <w:rPr>
                <w:color w:val="auto"/>
                <w:szCs w:val="21"/>
              </w:rPr>
              <w:t>（万m</w:t>
            </w:r>
            <w:r>
              <w:rPr>
                <w:color w:val="auto"/>
                <w:szCs w:val="21"/>
                <w:vertAlign w:val="superscript"/>
              </w:rPr>
              <w:t>3</w:t>
            </w:r>
            <w:r>
              <w:rPr>
                <w:color w:val="auto"/>
                <w:szCs w:val="21"/>
              </w:rPr>
              <w:t>/a）</w:t>
            </w:r>
          </w:p>
        </w:tc>
        <w:tc>
          <w:tcPr>
            <w:tcW w:w="1820" w:type="dxa"/>
            <w:vAlign w:val="center"/>
          </w:tcPr>
          <w:p>
            <w:pPr>
              <w:adjustRightInd w:val="0"/>
              <w:snapToGrid w:val="0"/>
              <w:jc w:val="center"/>
              <w:rPr>
                <w:color w:val="auto"/>
                <w:szCs w:val="21"/>
              </w:rPr>
            </w:pPr>
            <w:r>
              <w:rPr>
                <w:color w:val="auto"/>
                <w:szCs w:val="21"/>
              </w:rPr>
              <w:t>原辅料用量（t/a）</w:t>
            </w:r>
          </w:p>
        </w:tc>
        <w:tc>
          <w:tcPr>
            <w:tcW w:w="2254" w:type="dxa"/>
            <w:vAlign w:val="center"/>
          </w:tcPr>
          <w:p>
            <w:pPr>
              <w:adjustRightInd w:val="0"/>
              <w:snapToGrid w:val="0"/>
              <w:jc w:val="center"/>
              <w:rPr>
                <w:color w:val="auto"/>
                <w:szCs w:val="21"/>
              </w:rPr>
            </w:pPr>
            <w:r>
              <w:rPr>
                <w:color w:val="auto"/>
                <w:szCs w:val="21"/>
              </w:rPr>
              <w:t>沥青、粉料（废树脂粉、滑石粉）的用量比例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color w:val="auto"/>
                <w:szCs w:val="21"/>
              </w:rPr>
            </w:pPr>
            <w:r>
              <w:rPr>
                <w:color w:val="auto"/>
                <w:szCs w:val="21"/>
              </w:rPr>
              <w:t>河南一帆防水科技有限公司年产 3000 万平方米防水卷材项目</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color w:val="auto"/>
                <w:szCs w:val="21"/>
              </w:rPr>
            </w:pPr>
            <w:r>
              <w:rPr>
                <w:color w:val="auto"/>
                <w:szCs w:val="21"/>
              </w:rPr>
              <w:t>3000</w:t>
            </w:r>
          </w:p>
        </w:tc>
        <w:tc>
          <w:tcPr>
            <w:tcW w:w="1820" w:type="dxa"/>
            <w:vAlign w:val="center"/>
          </w:tcPr>
          <w:p>
            <w:pPr>
              <w:adjustRightInd w:val="0"/>
              <w:snapToGrid w:val="0"/>
              <w:jc w:val="center"/>
              <w:rPr>
                <w:color w:val="auto"/>
                <w:szCs w:val="21"/>
              </w:rPr>
            </w:pPr>
            <w:r>
              <w:rPr>
                <w:color w:val="auto"/>
                <w:szCs w:val="21"/>
              </w:rPr>
              <w:t>沥青6500，滑石粉10000</w:t>
            </w:r>
          </w:p>
        </w:tc>
        <w:tc>
          <w:tcPr>
            <w:tcW w:w="2254" w:type="dxa"/>
            <w:vAlign w:val="center"/>
          </w:tcPr>
          <w:p>
            <w:pPr>
              <w:adjustRightInd w:val="0"/>
              <w:snapToGrid w:val="0"/>
              <w:jc w:val="center"/>
              <w:rPr>
                <w:color w:val="auto"/>
                <w:szCs w:val="21"/>
              </w:rPr>
            </w:pPr>
            <w:r>
              <w:rPr>
                <w:color w:val="auto"/>
                <w:szCs w:val="21"/>
              </w:rPr>
              <w:t>0.65:1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color w:val="auto"/>
                <w:szCs w:val="21"/>
              </w:rPr>
            </w:pPr>
            <w:r>
              <w:rPr>
                <w:rFonts w:hint="eastAsia"/>
                <w:color w:val="auto"/>
                <w:szCs w:val="21"/>
              </w:rPr>
              <w:t>惠州市佳值化工有限公司新建项目</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color w:val="auto"/>
                <w:szCs w:val="21"/>
              </w:rPr>
            </w:pPr>
            <w:r>
              <w:rPr>
                <w:color w:val="auto"/>
                <w:szCs w:val="21"/>
              </w:rPr>
              <w:t>1000</w:t>
            </w:r>
          </w:p>
        </w:tc>
        <w:tc>
          <w:tcPr>
            <w:tcW w:w="1820" w:type="dxa"/>
            <w:vAlign w:val="center"/>
          </w:tcPr>
          <w:p>
            <w:pPr>
              <w:adjustRightInd w:val="0"/>
              <w:snapToGrid w:val="0"/>
              <w:jc w:val="center"/>
              <w:rPr>
                <w:color w:val="auto"/>
                <w:szCs w:val="21"/>
              </w:rPr>
            </w:pPr>
            <w:r>
              <w:rPr>
                <w:color w:val="auto"/>
                <w:szCs w:val="21"/>
              </w:rPr>
              <w:t>沥青3030.28，滑石粉4016.33</w:t>
            </w:r>
          </w:p>
        </w:tc>
        <w:tc>
          <w:tcPr>
            <w:tcW w:w="2254" w:type="dxa"/>
            <w:vAlign w:val="center"/>
          </w:tcPr>
          <w:p>
            <w:pPr>
              <w:adjustRightInd w:val="0"/>
              <w:snapToGrid w:val="0"/>
              <w:jc w:val="center"/>
              <w:rPr>
                <w:color w:val="auto"/>
                <w:szCs w:val="21"/>
              </w:rPr>
            </w:pPr>
            <w:r>
              <w:rPr>
                <w:color w:val="auto"/>
                <w:szCs w:val="21"/>
              </w:rPr>
              <w:t>0.75:1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color w:val="auto"/>
                <w:szCs w:val="21"/>
              </w:rPr>
            </w:pPr>
            <w:r>
              <w:rPr>
                <w:rFonts w:hint="eastAsia"/>
                <w:color w:val="auto"/>
                <w:szCs w:val="21"/>
              </w:rPr>
              <w:t>淮坊市万发防水</w:t>
            </w:r>
            <w:r>
              <w:rPr>
                <w:color w:val="auto"/>
                <w:szCs w:val="21"/>
              </w:rPr>
              <w:t>材料</w:t>
            </w:r>
            <w:r>
              <w:rPr>
                <w:rFonts w:hint="eastAsia"/>
                <w:color w:val="auto"/>
                <w:szCs w:val="21"/>
              </w:rPr>
              <w:t>有限</w:t>
            </w:r>
            <w:r>
              <w:rPr>
                <w:color w:val="auto"/>
                <w:szCs w:val="21"/>
              </w:rPr>
              <w:t>公司改性</w:t>
            </w:r>
            <w:r>
              <w:rPr>
                <w:rFonts w:hint="eastAsia"/>
                <w:color w:val="auto"/>
                <w:szCs w:val="21"/>
              </w:rPr>
              <w:t>沥青防水</w:t>
            </w:r>
            <w:r>
              <w:rPr>
                <w:color w:val="auto"/>
                <w:szCs w:val="21"/>
              </w:rPr>
              <w:t>卷材项目</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color w:val="auto"/>
                <w:szCs w:val="21"/>
              </w:rPr>
            </w:pPr>
            <w:r>
              <w:rPr>
                <w:color w:val="auto"/>
                <w:szCs w:val="21"/>
              </w:rPr>
              <w:t>1000</w:t>
            </w:r>
          </w:p>
        </w:tc>
        <w:tc>
          <w:tcPr>
            <w:tcW w:w="1820" w:type="dxa"/>
            <w:vAlign w:val="center"/>
          </w:tcPr>
          <w:p>
            <w:pPr>
              <w:adjustRightInd w:val="0"/>
              <w:snapToGrid w:val="0"/>
              <w:jc w:val="center"/>
              <w:rPr>
                <w:color w:val="auto"/>
                <w:szCs w:val="21"/>
              </w:rPr>
            </w:pPr>
            <w:r>
              <w:rPr>
                <w:color w:val="auto"/>
                <w:szCs w:val="21"/>
              </w:rPr>
              <w:t>沥青5000，滑石粉3500</w:t>
            </w:r>
          </w:p>
        </w:tc>
        <w:tc>
          <w:tcPr>
            <w:tcW w:w="2254" w:type="dxa"/>
            <w:vAlign w:val="center"/>
          </w:tcPr>
          <w:p>
            <w:pPr>
              <w:adjustRightInd w:val="0"/>
              <w:snapToGrid w:val="0"/>
              <w:jc w:val="center"/>
              <w:rPr>
                <w:color w:val="auto"/>
                <w:szCs w:val="21"/>
              </w:rPr>
            </w:pPr>
            <w:r>
              <w:rPr>
                <w:color w:val="auto"/>
                <w:szCs w:val="21"/>
              </w:rPr>
              <w:t>1.42</w:t>
            </w:r>
            <w:r>
              <w:rPr>
                <w:rFonts w:hint="eastAsia"/>
                <w:color w:val="auto"/>
                <w:szCs w:val="21"/>
              </w:rPr>
              <w:t>:</w:t>
            </w: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color w:val="auto"/>
                <w:szCs w:val="21"/>
              </w:rPr>
            </w:pPr>
            <w:r>
              <w:rPr>
                <w:rFonts w:hint="eastAsia"/>
                <w:color w:val="auto"/>
                <w:szCs w:val="21"/>
              </w:rPr>
              <w:t>陕西省建海防水工程有限公司</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color w:val="auto"/>
                <w:szCs w:val="21"/>
              </w:rPr>
            </w:pPr>
            <w:r>
              <w:rPr>
                <w:rFonts w:hint="eastAsia"/>
                <w:color w:val="auto"/>
                <w:szCs w:val="21"/>
              </w:rPr>
              <w:t>1</w:t>
            </w:r>
            <w:r>
              <w:rPr>
                <w:color w:val="auto"/>
                <w:szCs w:val="21"/>
              </w:rPr>
              <w:t>100</w:t>
            </w:r>
          </w:p>
        </w:tc>
        <w:tc>
          <w:tcPr>
            <w:tcW w:w="1820" w:type="dxa"/>
            <w:vAlign w:val="center"/>
          </w:tcPr>
          <w:p>
            <w:pPr>
              <w:adjustRightInd w:val="0"/>
              <w:snapToGrid w:val="0"/>
              <w:jc w:val="center"/>
              <w:rPr>
                <w:color w:val="auto"/>
                <w:szCs w:val="21"/>
              </w:rPr>
            </w:pPr>
            <w:r>
              <w:rPr>
                <w:color w:val="auto"/>
                <w:szCs w:val="21"/>
              </w:rPr>
              <w:t>沥青</w:t>
            </w:r>
            <w:r>
              <w:rPr>
                <w:rFonts w:hint="eastAsia"/>
                <w:color w:val="auto"/>
                <w:szCs w:val="21"/>
              </w:rPr>
              <w:t>30000</w:t>
            </w:r>
            <w:r>
              <w:rPr>
                <w:color w:val="auto"/>
                <w:szCs w:val="21"/>
              </w:rPr>
              <w:t>，滑石粉20000</w:t>
            </w:r>
          </w:p>
        </w:tc>
        <w:tc>
          <w:tcPr>
            <w:tcW w:w="2254" w:type="dxa"/>
            <w:vAlign w:val="center"/>
          </w:tcPr>
          <w:p>
            <w:pPr>
              <w:adjustRightInd w:val="0"/>
              <w:snapToGrid w:val="0"/>
              <w:jc w:val="center"/>
              <w:rPr>
                <w:color w:val="auto"/>
                <w:szCs w:val="21"/>
              </w:rPr>
            </w:pPr>
            <w:r>
              <w:rPr>
                <w:color w:val="auto"/>
                <w:szCs w:val="21"/>
              </w:rPr>
              <w:t>0.9</w:t>
            </w:r>
            <w:r>
              <w:rPr>
                <w:rFonts w:hint="eastAsia"/>
                <w:color w:val="auto"/>
                <w:szCs w:val="21"/>
              </w:rPr>
              <w:t>:</w:t>
            </w: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rFonts w:eastAsiaTheme="minorEastAsia"/>
                <w:color w:val="auto"/>
                <w:szCs w:val="21"/>
              </w:rPr>
            </w:pPr>
            <w:r>
              <w:rPr>
                <w:rFonts w:hint="eastAsia"/>
                <w:color w:val="auto"/>
                <w:szCs w:val="21"/>
              </w:rPr>
              <w:t>清远金运再生资源公司工业固体废弃物综合利用</w:t>
            </w:r>
            <w:r>
              <w:rPr>
                <w:rFonts w:hint="eastAsia"/>
                <w:color w:val="auto"/>
                <w:szCs w:val="21"/>
                <w:lang w:eastAsia="zh-CN"/>
              </w:rPr>
              <w:t>迁改扩</w:t>
            </w:r>
            <w:r>
              <w:rPr>
                <w:rFonts w:hint="eastAsia"/>
                <w:color w:val="auto"/>
                <w:szCs w:val="21"/>
              </w:rPr>
              <w:t>建项目</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color w:val="auto"/>
                <w:szCs w:val="21"/>
              </w:rPr>
            </w:pPr>
            <w:r>
              <w:rPr>
                <w:color w:val="auto"/>
                <w:szCs w:val="21"/>
              </w:rPr>
              <w:t>2000</w:t>
            </w:r>
          </w:p>
        </w:tc>
        <w:tc>
          <w:tcPr>
            <w:tcW w:w="1820" w:type="dxa"/>
            <w:vAlign w:val="center"/>
          </w:tcPr>
          <w:p>
            <w:pPr>
              <w:adjustRightInd w:val="0"/>
              <w:snapToGrid w:val="0"/>
              <w:jc w:val="center"/>
              <w:rPr>
                <w:color w:val="auto"/>
                <w:szCs w:val="21"/>
              </w:rPr>
            </w:pPr>
            <w:r>
              <w:rPr>
                <w:color w:val="auto"/>
                <w:szCs w:val="21"/>
              </w:rPr>
              <w:t>沥青32890，滑石粉/树脂粉28900</w:t>
            </w:r>
          </w:p>
        </w:tc>
        <w:tc>
          <w:tcPr>
            <w:tcW w:w="2254" w:type="dxa"/>
            <w:vAlign w:val="center"/>
          </w:tcPr>
          <w:p>
            <w:pPr>
              <w:adjustRightInd w:val="0"/>
              <w:snapToGrid w:val="0"/>
              <w:jc w:val="center"/>
              <w:rPr>
                <w:color w:val="auto"/>
                <w:szCs w:val="21"/>
              </w:rPr>
            </w:pPr>
            <w:r>
              <w:rPr>
                <w:color w:val="auto"/>
                <w:szCs w:val="21"/>
              </w:rPr>
              <w:t>1.14:1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978" w:type="dxa"/>
            <w:vAlign w:val="center"/>
          </w:tcPr>
          <w:p>
            <w:pPr>
              <w:adjustRightInd w:val="0"/>
              <w:snapToGrid w:val="0"/>
              <w:jc w:val="center"/>
              <w:rPr>
                <w:color w:val="auto"/>
                <w:szCs w:val="21"/>
              </w:rPr>
            </w:pPr>
            <w:r>
              <w:rPr>
                <w:color w:val="auto"/>
                <w:szCs w:val="21"/>
              </w:rPr>
              <w:t>本项目</w:t>
            </w:r>
          </w:p>
        </w:tc>
        <w:tc>
          <w:tcPr>
            <w:tcW w:w="723" w:type="dxa"/>
            <w:vAlign w:val="center"/>
          </w:tcPr>
          <w:p>
            <w:pPr>
              <w:jc w:val="center"/>
              <w:rPr>
                <w:color w:val="auto"/>
                <w:szCs w:val="21"/>
              </w:rPr>
            </w:pPr>
            <w:r>
              <w:rPr>
                <w:color w:val="auto"/>
                <w:szCs w:val="21"/>
              </w:rPr>
              <w:t>防水卷材</w:t>
            </w:r>
          </w:p>
        </w:tc>
        <w:tc>
          <w:tcPr>
            <w:tcW w:w="1173" w:type="dxa"/>
            <w:vAlign w:val="center"/>
          </w:tcPr>
          <w:p>
            <w:pPr>
              <w:adjustRightInd w:val="0"/>
              <w:snapToGrid w:val="0"/>
              <w:jc w:val="center"/>
              <w:rPr>
                <w:rFonts w:eastAsiaTheme="minorEastAsia"/>
                <w:color w:val="auto"/>
                <w:szCs w:val="21"/>
              </w:rPr>
            </w:pPr>
            <w:r>
              <w:rPr>
                <w:rFonts w:hint="eastAsia"/>
                <w:color w:val="auto"/>
                <w:szCs w:val="21"/>
              </w:rPr>
              <w:t>1000</w:t>
            </w:r>
          </w:p>
        </w:tc>
        <w:tc>
          <w:tcPr>
            <w:tcW w:w="1820" w:type="dxa"/>
            <w:vAlign w:val="center"/>
          </w:tcPr>
          <w:p>
            <w:pPr>
              <w:adjustRightInd w:val="0"/>
              <w:snapToGrid w:val="0"/>
              <w:jc w:val="center"/>
              <w:rPr>
                <w:color w:val="auto"/>
                <w:szCs w:val="21"/>
              </w:rPr>
            </w:pPr>
            <w:r>
              <w:rPr>
                <w:color w:val="auto"/>
                <w:szCs w:val="21"/>
              </w:rPr>
              <w:t>沥青</w:t>
            </w:r>
            <w:r>
              <w:rPr>
                <w:rFonts w:hint="eastAsia"/>
                <w:color w:val="auto"/>
                <w:szCs w:val="21"/>
              </w:rPr>
              <w:t>4000</w:t>
            </w:r>
            <w:r>
              <w:rPr>
                <w:color w:val="auto"/>
                <w:szCs w:val="21"/>
              </w:rPr>
              <w:t>，滑石粉</w:t>
            </w:r>
            <w:r>
              <w:rPr>
                <w:rFonts w:hint="eastAsia"/>
                <w:color w:val="auto"/>
                <w:szCs w:val="21"/>
              </w:rPr>
              <w:t>6000</w:t>
            </w:r>
          </w:p>
        </w:tc>
        <w:tc>
          <w:tcPr>
            <w:tcW w:w="2254" w:type="dxa"/>
            <w:vAlign w:val="center"/>
          </w:tcPr>
          <w:p>
            <w:pPr>
              <w:adjustRightInd w:val="0"/>
              <w:snapToGrid w:val="0"/>
              <w:jc w:val="center"/>
              <w:rPr>
                <w:color w:val="auto"/>
                <w:szCs w:val="21"/>
              </w:rPr>
            </w:pPr>
            <w:r>
              <w:rPr>
                <w:rFonts w:hint="eastAsia"/>
                <w:color w:val="auto"/>
                <w:szCs w:val="21"/>
              </w:rPr>
              <w:t>0.67</w:t>
            </w:r>
            <w:r>
              <w:rPr>
                <w:color w:val="auto"/>
                <w:szCs w:val="21"/>
              </w:rPr>
              <w:t>:1</w:t>
            </w:r>
          </w:p>
        </w:tc>
      </w:tr>
    </w:tbl>
    <w:p>
      <w:pPr>
        <w:pStyle w:val="32"/>
        <w:spacing w:line="360" w:lineRule="auto"/>
        <w:ind w:firstLine="480" w:firstLineChars="200"/>
        <w:rPr>
          <w:color w:val="auto"/>
          <w:kern w:val="2"/>
        </w:rPr>
      </w:pPr>
      <w:r>
        <w:rPr>
          <w:color w:val="auto"/>
        </w:rPr>
        <w:t>由上表可知，本项目沥青与粉料（滑石粉）的用量比例为0.</w:t>
      </w:r>
      <w:r>
        <w:rPr>
          <w:rFonts w:hint="eastAsia"/>
          <w:color w:val="auto"/>
        </w:rPr>
        <w:t>67</w:t>
      </w:r>
      <w:r>
        <w:rPr>
          <w:color w:val="auto"/>
        </w:rPr>
        <w:t>:1，沥青与粉料（滑石粉）的用量比例位于调查的企业的中等水平</w:t>
      </w:r>
      <w:r>
        <w:rPr>
          <w:rFonts w:hint="eastAsia"/>
          <w:color w:val="auto"/>
        </w:rPr>
        <w:t>，</w:t>
      </w:r>
      <w:r>
        <w:rPr>
          <w:color w:val="auto"/>
        </w:rPr>
        <w:t>可认为本项的沥青与粉料（滑石粉）的用量较合理。</w:t>
      </w:r>
    </w:p>
    <w:p>
      <w:pPr>
        <w:pStyle w:val="7"/>
        <w:numPr>
          <w:ilvl w:val="2"/>
          <w:numId w:val="0"/>
        </w:numPr>
        <w:tabs>
          <w:tab w:val="clear" w:pos="720"/>
        </w:tabs>
        <w:spacing w:before="159" w:after="159"/>
        <w:rPr>
          <w:color w:val="auto"/>
        </w:rPr>
      </w:pPr>
      <w:bookmarkStart w:id="450" w:name="_Toc11610"/>
      <w:r>
        <w:rPr>
          <w:rFonts w:hint="eastAsia"/>
          <w:color w:val="auto"/>
        </w:rPr>
        <w:t>4</w:t>
      </w:r>
      <w:r>
        <w:rPr>
          <w:color w:val="auto"/>
        </w:rPr>
        <w:t>.3.3</w:t>
      </w:r>
      <w:r>
        <w:rPr>
          <w:rFonts w:hint="eastAsia"/>
          <w:color w:val="auto"/>
        </w:rPr>
        <w:t xml:space="preserve">  </w:t>
      </w:r>
      <w:r>
        <w:rPr>
          <w:color w:val="auto"/>
        </w:rPr>
        <w:t>生产设备</w:t>
      </w:r>
      <w:bookmarkEnd w:id="449"/>
      <w:bookmarkEnd w:id="450"/>
    </w:p>
    <w:p>
      <w:pPr>
        <w:spacing w:line="360" w:lineRule="auto"/>
        <w:ind w:firstLine="480"/>
        <w:rPr>
          <w:b/>
          <w:bCs/>
          <w:color w:val="auto"/>
          <w:sz w:val="24"/>
        </w:rPr>
      </w:pPr>
      <w:r>
        <w:rPr>
          <w:color w:val="auto"/>
          <w:sz w:val="24"/>
        </w:rPr>
        <w:t>本项目主要生产设备见下表。</w:t>
      </w:r>
    </w:p>
    <w:p>
      <w:pPr>
        <w:adjustRightInd w:val="0"/>
        <w:snapToGrid w:val="0"/>
        <w:spacing w:line="360" w:lineRule="auto"/>
        <w:ind w:firstLine="422" w:firstLineChars="200"/>
        <w:jc w:val="center"/>
        <w:rPr>
          <w:b/>
          <w:color w:val="auto"/>
          <w:szCs w:val="21"/>
        </w:rPr>
      </w:pPr>
      <w:r>
        <w:rPr>
          <w:rFonts w:hint="eastAsia"/>
          <w:b/>
          <w:color w:val="auto"/>
          <w:szCs w:val="21"/>
        </w:rPr>
        <w:t>表4.3-4  本项目设备一览表</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390"/>
        <w:gridCol w:w="2108"/>
        <w:gridCol w:w="2756"/>
        <w:gridCol w:w="750"/>
        <w:gridCol w:w="413"/>
        <w:gridCol w:w="751"/>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650" w:type="dxa"/>
            <w:vAlign w:val="center"/>
          </w:tcPr>
          <w:p>
            <w:pPr>
              <w:ind w:left="-63" w:leftChars="-30" w:right="-63" w:rightChars="-30"/>
              <w:jc w:val="center"/>
              <w:rPr>
                <w:color w:val="auto"/>
                <w:szCs w:val="21"/>
              </w:rPr>
            </w:pPr>
            <w:bookmarkStart w:id="451" w:name="_Toc1556"/>
            <w:r>
              <w:rPr>
                <w:color w:val="auto"/>
                <w:szCs w:val="21"/>
              </w:rPr>
              <w:t>类别</w:t>
            </w:r>
          </w:p>
        </w:tc>
        <w:tc>
          <w:tcPr>
            <w:tcW w:w="390" w:type="dxa"/>
            <w:vAlign w:val="center"/>
          </w:tcPr>
          <w:p>
            <w:pPr>
              <w:ind w:left="-63" w:leftChars="-30" w:right="-63" w:rightChars="-30"/>
              <w:jc w:val="center"/>
              <w:rPr>
                <w:color w:val="auto"/>
                <w:szCs w:val="21"/>
              </w:rPr>
            </w:pPr>
            <w:r>
              <w:rPr>
                <w:color w:val="auto"/>
                <w:szCs w:val="21"/>
              </w:rPr>
              <w:t>序号</w:t>
            </w:r>
          </w:p>
        </w:tc>
        <w:tc>
          <w:tcPr>
            <w:tcW w:w="2108" w:type="dxa"/>
            <w:vAlign w:val="center"/>
          </w:tcPr>
          <w:p>
            <w:pPr>
              <w:ind w:left="-63" w:leftChars="-30" w:right="-63" w:rightChars="-30"/>
              <w:jc w:val="center"/>
              <w:rPr>
                <w:color w:val="auto"/>
                <w:szCs w:val="21"/>
              </w:rPr>
            </w:pPr>
            <w:r>
              <w:rPr>
                <w:color w:val="auto"/>
                <w:szCs w:val="21"/>
              </w:rPr>
              <w:t>名称</w:t>
            </w:r>
          </w:p>
        </w:tc>
        <w:tc>
          <w:tcPr>
            <w:tcW w:w="2756" w:type="dxa"/>
            <w:vAlign w:val="center"/>
          </w:tcPr>
          <w:p>
            <w:pPr>
              <w:jc w:val="center"/>
              <w:rPr>
                <w:color w:val="auto"/>
                <w:szCs w:val="21"/>
              </w:rPr>
            </w:pPr>
            <w:r>
              <w:rPr>
                <w:color w:val="auto"/>
                <w:szCs w:val="21"/>
              </w:rPr>
              <w:t>规格型号</w:t>
            </w:r>
          </w:p>
        </w:tc>
        <w:tc>
          <w:tcPr>
            <w:tcW w:w="750" w:type="dxa"/>
            <w:vAlign w:val="center"/>
          </w:tcPr>
          <w:p>
            <w:pPr>
              <w:ind w:left="-63" w:leftChars="-30" w:right="-63" w:rightChars="-30"/>
              <w:jc w:val="center"/>
              <w:rPr>
                <w:color w:val="auto"/>
                <w:szCs w:val="21"/>
              </w:rPr>
            </w:pPr>
            <w:r>
              <w:rPr>
                <w:color w:val="auto"/>
                <w:szCs w:val="21"/>
              </w:rPr>
              <w:t>本项目数量</w:t>
            </w:r>
          </w:p>
        </w:tc>
        <w:tc>
          <w:tcPr>
            <w:tcW w:w="413" w:type="dxa"/>
            <w:vAlign w:val="center"/>
          </w:tcPr>
          <w:p>
            <w:pPr>
              <w:ind w:left="-63" w:leftChars="-30" w:right="-63" w:rightChars="-30"/>
              <w:jc w:val="center"/>
              <w:rPr>
                <w:color w:val="auto"/>
                <w:szCs w:val="21"/>
              </w:rPr>
            </w:pPr>
            <w:r>
              <w:rPr>
                <w:color w:val="auto"/>
                <w:szCs w:val="21"/>
              </w:rPr>
              <w:t>单位</w:t>
            </w:r>
          </w:p>
        </w:tc>
        <w:tc>
          <w:tcPr>
            <w:tcW w:w="751" w:type="dxa"/>
            <w:vAlign w:val="center"/>
          </w:tcPr>
          <w:p>
            <w:pPr>
              <w:ind w:left="-63" w:leftChars="-30" w:right="-63" w:rightChars="-30"/>
              <w:jc w:val="center"/>
              <w:rPr>
                <w:color w:val="auto"/>
                <w:szCs w:val="21"/>
              </w:rPr>
            </w:pPr>
            <w:r>
              <w:rPr>
                <w:color w:val="auto"/>
                <w:szCs w:val="21"/>
              </w:rPr>
              <w:t>现有项目数量</w:t>
            </w:r>
          </w:p>
        </w:tc>
        <w:tc>
          <w:tcPr>
            <w:tcW w:w="1130" w:type="dxa"/>
            <w:vAlign w:val="center"/>
          </w:tcPr>
          <w:p>
            <w:pPr>
              <w:ind w:left="-63" w:leftChars="-30" w:right="-63" w:rightChars="-30"/>
              <w:jc w:val="center"/>
              <w:rPr>
                <w:color w:val="auto"/>
                <w:szCs w:val="21"/>
              </w:rPr>
            </w:pPr>
            <w:r>
              <w:rPr>
                <w:color w:val="auto"/>
                <w:szCs w:val="21"/>
              </w:rPr>
              <w:t>与现有项目比较的变化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restart"/>
            <w:vAlign w:val="center"/>
          </w:tcPr>
          <w:p>
            <w:pPr>
              <w:ind w:left="-63" w:leftChars="-30" w:right="-63" w:rightChars="-30"/>
              <w:jc w:val="center"/>
              <w:rPr>
                <w:color w:val="auto"/>
                <w:szCs w:val="21"/>
              </w:rPr>
            </w:pPr>
            <w:r>
              <w:rPr>
                <w:rFonts w:hint="eastAsia"/>
                <w:color w:val="auto"/>
                <w:szCs w:val="21"/>
              </w:rPr>
              <w:t>湿式破碎生产线</w:t>
            </w:r>
            <w:r>
              <w:rPr>
                <w:color w:val="auto"/>
                <w:szCs w:val="21"/>
              </w:rPr>
              <w:t>（8条）</w:t>
            </w:r>
          </w:p>
        </w:tc>
        <w:tc>
          <w:tcPr>
            <w:tcW w:w="390" w:type="dxa"/>
            <w:vAlign w:val="center"/>
          </w:tcPr>
          <w:p>
            <w:pPr>
              <w:ind w:left="-63" w:leftChars="-30" w:right="-63" w:rightChars="-30"/>
              <w:jc w:val="center"/>
              <w:rPr>
                <w:color w:val="auto"/>
                <w:szCs w:val="21"/>
              </w:rPr>
            </w:pPr>
            <w:r>
              <w:rPr>
                <w:color w:val="auto"/>
                <w:szCs w:val="21"/>
              </w:rPr>
              <w:t>1</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一级破碎机</w:t>
            </w:r>
          </w:p>
        </w:tc>
        <w:tc>
          <w:tcPr>
            <w:tcW w:w="2756" w:type="dxa"/>
            <w:vAlign w:val="center"/>
          </w:tcPr>
          <w:p>
            <w:pPr>
              <w:jc w:val="center"/>
              <w:rPr>
                <w:color w:val="auto"/>
                <w:szCs w:val="21"/>
              </w:rPr>
            </w:pPr>
            <w:r>
              <w:rPr>
                <w:color w:val="auto"/>
                <w:szCs w:val="21"/>
              </w:rPr>
              <w:t>1000型</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3</w:t>
            </w:r>
          </w:p>
        </w:tc>
        <w:tc>
          <w:tcPr>
            <w:tcW w:w="1130" w:type="dxa"/>
            <w:vAlign w:val="center"/>
          </w:tcPr>
          <w:p>
            <w:pPr>
              <w:ind w:left="-63" w:leftChars="-30" w:right="-63" w:rightChars="-30"/>
              <w:jc w:val="center"/>
              <w:rPr>
                <w:color w:val="auto"/>
                <w:szCs w:val="21"/>
              </w:rPr>
            </w:pPr>
            <w:r>
              <w:rPr>
                <w:color w:val="auto"/>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皮带输送机</w:t>
            </w:r>
          </w:p>
        </w:tc>
        <w:tc>
          <w:tcPr>
            <w:tcW w:w="2756" w:type="dxa"/>
            <w:vAlign w:val="center"/>
          </w:tcPr>
          <w:p>
            <w:pPr>
              <w:jc w:val="center"/>
              <w:rPr>
                <w:color w:val="auto"/>
                <w:szCs w:val="21"/>
              </w:rPr>
            </w:pPr>
            <w:r>
              <w:rPr>
                <w:color w:val="auto"/>
                <w:szCs w:val="21"/>
              </w:rPr>
              <w:t>自制</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自控制柜</w:t>
            </w:r>
          </w:p>
        </w:tc>
        <w:tc>
          <w:tcPr>
            <w:tcW w:w="2756" w:type="dxa"/>
            <w:vAlign w:val="center"/>
          </w:tcPr>
          <w:p>
            <w:pPr>
              <w:jc w:val="center"/>
              <w:rPr>
                <w:color w:val="auto"/>
                <w:szCs w:val="21"/>
              </w:rPr>
            </w:pPr>
            <w:r>
              <w:rPr>
                <w:color w:val="auto"/>
                <w:szCs w:val="21"/>
              </w:rPr>
              <w:t>135KW</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二级破碎机（粉碎机）</w:t>
            </w:r>
          </w:p>
        </w:tc>
        <w:tc>
          <w:tcPr>
            <w:tcW w:w="2756" w:type="dxa"/>
            <w:vAlign w:val="center"/>
          </w:tcPr>
          <w:p>
            <w:pPr>
              <w:jc w:val="center"/>
              <w:rPr>
                <w:color w:val="auto"/>
                <w:szCs w:val="21"/>
              </w:rPr>
            </w:pPr>
            <w:r>
              <w:rPr>
                <w:color w:val="auto"/>
                <w:szCs w:val="21"/>
              </w:rPr>
              <w:t>660型</w:t>
            </w:r>
          </w:p>
        </w:tc>
        <w:tc>
          <w:tcPr>
            <w:tcW w:w="750" w:type="dxa"/>
            <w:vAlign w:val="center"/>
          </w:tcPr>
          <w:p>
            <w:pPr>
              <w:ind w:left="-63" w:leftChars="-30" w:right="-63" w:rightChars="-30"/>
              <w:jc w:val="center"/>
              <w:rPr>
                <w:color w:val="auto"/>
                <w:szCs w:val="21"/>
              </w:rPr>
            </w:pPr>
            <w:r>
              <w:rPr>
                <w:color w:val="auto"/>
                <w:szCs w:val="21"/>
              </w:rPr>
              <w:t>24</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8</w:t>
            </w:r>
          </w:p>
        </w:tc>
        <w:tc>
          <w:tcPr>
            <w:tcW w:w="1130" w:type="dxa"/>
            <w:vAlign w:val="center"/>
          </w:tcPr>
          <w:p>
            <w:pPr>
              <w:ind w:left="-63" w:leftChars="-30" w:right="-63" w:rightChars="-30"/>
              <w:jc w:val="center"/>
              <w:rPr>
                <w:color w:val="auto"/>
                <w:szCs w:val="21"/>
              </w:rPr>
            </w:pPr>
            <w:r>
              <w:rPr>
                <w:color w:val="auto"/>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5</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自控制柜</w:t>
            </w:r>
          </w:p>
        </w:tc>
        <w:tc>
          <w:tcPr>
            <w:tcW w:w="2756" w:type="dxa"/>
            <w:vAlign w:val="center"/>
          </w:tcPr>
          <w:p>
            <w:pPr>
              <w:jc w:val="center"/>
              <w:rPr>
                <w:color w:val="auto"/>
                <w:szCs w:val="21"/>
              </w:rPr>
            </w:pPr>
            <w:r>
              <w:rPr>
                <w:color w:val="auto"/>
                <w:szCs w:val="21"/>
              </w:rPr>
              <w:t>75KW</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6</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分选摇床</w:t>
            </w:r>
          </w:p>
        </w:tc>
        <w:tc>
          <w:tcPr>
            <w:tcW w:w="2756" w:type="dxa"/>
            <w:vAlign w:val="center"/>
          </w:tcPr>
          <w:p>
            <w:pPr>
              <w:jc w:val="center"/>
              <w:rPr>
                <w:color w:val="auto"/>
                <w:szCs w:val="21"/>
              </w:rPr>
            </w:pPr>
            <w:r>
              <w:rPr>
                <w:color w:val="auto"/>
                <w:szCs w:val="21"/>
              </w:rPr>
              <w:t>62槽</w:t>
            </w:r>
          </w:p>
        </w:tc>
        <w:tc>
          <w:tcPr>
            <w:tcW w:w="750" w:type="dxa"/>
            <w:vAlign w:val="center"/>
          </w:tcPr>
          <w:p>
            <w:pPr>
              <w:ind w:left="-63" w:leftChars="-30" w:right="-63" w:rightChars="-30"/>
              <w:jc w:val="center"/>
              <w:rPr>
                <w:color w:val="auto"/>
                <w:szCs w:val="21"/>
              </w:rPr>
            </w:pPr>
            <w:r>
              <w:rPr>
                <w:color w:val="auto"/>
                <w:szCs w:val="21"/>
              </w:rPr>
              <w:t>80</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16</w:t>
            </w:r>
          </w:p>
        </w:tc>
        <w:tc>
          <w:tcPr>
            <w:tcW w:w="1130" w:type="dxa"/>
            <w:vAlign w:val="center"/>
          </w:tcPr>
          <w:p>
            <w:pPr>
              <w:ind w:left="-63" w:leftChars="-30" w:right="-63" w:rightChars="-30"/>
              <w:jc w:val="center"/>
              <w:rPr>
                <w:color w:val="auto"/>
                <w:szCs w:val="21"/>
              </w:rPr>
            </w:pPr>
            <w:r>
              <w:rPr>
                <w:color w:val="auto"/>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7</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脱水机（甩干机）</w:t>
            </w:r>
          </w:p>
        </w:tc>
        <w:tc>
          <w:tcPr>
            <w:tcW w:w="2756" w:type="dxa"/>
            <w:vAlign w:val="center"/>
          </w:tcPr>
          <w:p>
            <w:pPr>
              <w:jc w:val="center"/>
              <w:rPr>
                <w:color w:val="auto"/>
                <w:szCs w:val="21"/>
              </w:rPr>
            </w:pPr>
            <w:r>
              <w:rPr>
                <w:color w:val="auto"/>
                <w:szCs w:val="21"/>
              </w:rPr>
              <w:t>HCD1000</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2</w:t>
            </w:r>
          </w:p>
        </w:tc>
        <w:tc>
          <w:tcPr>
            <w:tcW w:w="1130" w:type="dxa"/>
            <w:vAlign w:val="center"/>
          </w:tcPr>
          <w:p>
            <w:pPr>
              <w:ind w:left="-63" w:leftChars="-30" w:right="-63" w:rightChars="-30"/>
              <w:jc w:val="center"/>
              <w:rPr>
                <w:color w:val="auto"/>
                <w:szCs w:val="21"/>
              </w:rPr>
            </w:pPr>
            <w:r>
              <w:rPr>
                <w:color w:val="auto"/>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8</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渣浆泵</w:t>
            </w:r>
          </w:p>
        </w:tc>
        <w:tc>
          <w:tcPr>
            <w:tcW w:w="2756" w:type="dxa"/>
            <w:vAlign w:val="center"/>
          </w:tcPr>
          <w:p>
            <w:pPr>
              <w:jc w:val="center"/>
              <w:rPr>
                <w:color w:val="auto"/>
                <w:szCs w:val="21"/>
              </w:rPr>
            </w:pPr>
            <w:r>
              <w:rPr>
                <w:color w:val="auto"/>
                <w:szCs w:val="21"/>
              </w:rPr>
              <w:t>三寸3台四寸一台六寸一台</w:t>
            </w:r>
          </w:p>
        </w:tc>
        <w:tc>
          <w:tcPr>
            <w:tcW w:w="750" w:type="dxa"/>
            <w:vAlign w:val="center"/>
          </w:tcPr>
          <w:p>
            <w:pPr>
              <w:ind w:left="-63" w:leftChars="-30" w:right="-63" w:rightChars="-30"/>
              <w:jc w:val="center"/>
              <w:rPr>
                <w:color w:val="auto"/>
                <w:szCs w:val="21"/>
              </w:rPr>
            </w:pPr>
            <w:r>
              <w:rPr>
                <w:color w:val="auto"/>
                <w:szCs w:val="21"/>
              </w:rPr>
              <w:t>20</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9</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清水泵</w:t>
            </w:r>
          </w:p>
        </w:tc>
        <w:tc>
          <w:tcPr>
            <w:tcW w:w="2756" w:type="dxa"/>
            <w:vAlign w:val="center"/>
          </w:tcPr>
          <w:p>
            <w:pPr>
              <w:jc w:val="center"/>
              <w:rPr>
                <w:color w:val="auto"/>
                <w:szCs w:val="21"/>
              </w:rPr>
            </w:pPr>
            <w:r>
              <w:rPr>
                <w:color w:val="auto"/>
                <w:szCs w:val="21"/>
              </w:rPr>
              <w:t>3寸</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10</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分渣桶</w:t>
            </w:r>
          </w:p>
        </w:tc>
        <w:tc>
          <w:tcPr>
            <w:tcW w:w="2756" w:type="dxa"/>
            <w:vAlign w:val="center"/>
          </w:tcPr>
          <w:p>
            <w:pPr>
              <w:jc w:val="center"/>
              <w:rPr>
                <w:color w:val="auto"/>
                <w:szCs w:val="21"/>
              </w:rPr>
            </w:pPr>
            <w:r>
              <w:rPr>
                <w:color w:val="auto"/>
                <w:szCs w:val="21"/>
              </w:rPr>
              <w:t>M x</w:t>
            </w:r>
          </w:p>
        </w:tc>
        <w:tc>
          <w:tcPr>
            <w:tcW w:w="750" w:type="dxa"/>
            <w:vAlign w:val="center"/>
          </w:tcPr>
          <w:p>
            <w:pPr>
              <w:ind w:left="-63" w:leftChars="-30" w:right="-63" w:rightChars="-30"/>
              <w:jc w:val="center"/>
              <w:rPr>
                <w:color w:val="auto"/>
                <w:szCs w:val="21"/>
              </w:rPr>
            </w:pPr>
            <w:r>
              <w:rPr>
                <w:color w:val="auto"/>
                <w:szCs w:val="21"/>
              </w:rPr>
              <w:t>24</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11</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总控制柜</w:t>
            </w:r>
          </w:p>
        </w:tc>
        <w:tc>
          <w:tcPr>
            <w:tcW w:w="2756" w:type="dxa"/>
            <w:vAlign w:val="center"/>
          </w:tcPr>
          <w:p>
            <w:pPr>
              <w:jc w:val="center"/>
              <w:rPr>
                <w:color w:val="auto"/>
                <w:szCs w:val="21"/>
              </w:rPr>
            </w:pPr>
            <w:r>
              <w:rPr>
                <w:color w:val="auto"/>
                <w:szCs w:val="21"/>
              </w:rPr>
              <w:t>M x</w:t>
            </w:r>
          </w:p>
        </w:tc>
        <w:tc>
          <w:tcPr>
            <w:tcW w:w="750" w:type="dxa"/>
            <w:vAlign w:val="center"/>
          </w:tcPr>
          <w:p>
            <w:pPr>
              <w:ind w:left="-63" w:leftChars="-30" w:right="-63" w:rightChars="-30"/>
              <w:jc w:val="center"/>
              <w:rPr>
                <w:color w:val="auto"/>
                <w:szCs w:val="21"/>
              </w:rPr>
            </w:pPr>
            <w:r>
              <w:rPr>
                <w:color w:val="auto"/>
                <w:szCs w:val="21"/>
              </w:rPr>
              <w:t>8</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12</w:t>
            </w:r>
          </w:p>
        </w:tc>
        <w:tc>
          <w:tcPr>
            <w:tcW w:w="2108" w:type="dxa"/>
            <w:vAlign w:val="center"/>
          </w:tcPr>
          <w:p>
            <w:pPr>
              <w:pStyle w:val="5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压滤机</w:t>
            </w:r>
          </w:p>
        </w:tc>
        <w:tc>
          <w:tcPr>
            <w:tcW w:w="2756" w:type="dxa"/>
            <w:vAlign w:val="center"/>
          </w:tcPr>
          <w:p>
            <w:pPr>
              <w:jc w:val="center"/>
              <w:rPr>
                <w:rFonts w:hint="eastAsia" w:eastAsia="宋体"/>
                <w:color w:val="auto"/>
                <w:szCs w:val="21"/>
                <w:lang w:val="en-US" w:eastAsia="zh-CN"/>
              </w:rPr>
            </w:pPr>
            <w:r>
              <w:rPr>
                <w:rFonts w:hint="eastAsia"/>
                <w:color w:val="auto"/>
                <w:szCs w:val="21"/>
                <w:lang w:val="en-US" w:eastAsia="zh-CN"/>
              </w:rPr>
              <w:t>/</w:t>
            </w:r>
          </w:p>
        </w:tc>
        <w:tc>
          <w:tcPr>
            <w:tcW w:w="750" w:type="dxa"/>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1</w:t>
            </w:r>
          </w:p>
        </w:tc>
        <w:tc>
          <w:tcPr>
            <w:tcW w:w="413" w:type="dxa"/>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台</w:t>
            </w:r>
          </w:p>
        </w:tc>
        <w:tc>
          <w:tcPr>
            <w:tcW w:w="751" w:type="dxa"/>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0</w:t>
            </w:r>
          </w:p>
        </w:tc>
        <w:tc>
          <w:tcPr>
            <w:tcW w:w="1130" w:type="dxa"/>
            <w:vAlign w:val="center"/>
          </w:tcPr>
          <w:p>
            <w:pPr>
              <w:ind w:left="-63" w:leftChars="-30" w:right="-63" w:rightChars="-30"/>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w:t>
            </w:r>
            <w:r>
              <w:rPr>
                <w:rFonts w:hint="eastAsia"/>
                <w:color w:val="auto"/>
                <w:szCs w:val="21"/>
                <w:lang w:val="en-US" w:eastAsia="zh-CN"/>
              </w:rPr>
              <w:t>3</w:t>
            </w:r>
          </w:p>
        </w:tc>
        <w:tc>
          <w:tcPr>
            <w:tcW w:w="2108" w:type="dxa"/>
            <w:vAlign w:val="center"/>
          </w:tcPr>
          <w:p>
            <w:pPr>
              <w:pStyle w:val="5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烘干设备</w:t>
            </w:r>
          </w:p>
        </w:tc>
        <w:tc>
          <w:tcPr>
            <w:tcW w:w="2756" w:type="dxa"/>
            <w:vAlign w:val="center"/>
          </w:tcPr>
          <w:p>
            <w:pPr>
              <w:jc w:val="center"/>
              <w:rPr>
                <w:color w:val="auto"/>
                <w:szCs w:val="21"/>
              </w:rPr>
            </w:pPr>
            <w:r>
              <w:rPr>
                <w:color w:val="auto"/>
                <w:szCs w:val="21"/>
              </w:rPr>
              <w:t>/</w:t>
            </w:r>
          </w:p>
        </w:tc>
        <w:tc>
          <w:tcPr>
            <w:tcW w:w="750" w:type="dxa"/>
            <w:vAlign w:val="center"/>
          </w:tcPr>
          <w:p>
            <w:pPr>
              <w:ind w:left="-63" w:leftChars="-30" w:right="-63" w:rightChars="-30"/>
              <w:jc w:val="center"/>
              <w:rPr>
                <w:rFonts w:hint="eastAsia" w:eastAsia="宋体"/>
                <w:color w:val="auto"/>
                <w:szCs w:val="21"/>
                <w:lang w:eastAsia="zh-CN"/>
              </w:rPr>
            </w:pPr>
            <w:r>
              <w:rPr>
                <w:rFonts w:hint="eastAsia"/>
                <w:color w:val="auto"/>
                <w:szCs w:val="21"/>
                <w:lang w:val="en-US" w:eastAsia="zh-CN"/>
              </w:rPr>
              <w:t>1</w:t>
            </w:r>
          </w:p>
        </w:tc>
        <w:tc>
          <w:tcPr>
            <w:tcW w:w="413" w:type="dxa"/>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组</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w:t>
            </w:r>
            <w:r>
              <w:rPr>
                <w:rStyle w:val="28"/>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w:t>
            </w:r>
            <w:r>
              <w:rPr>
                <w:rFonts w:hint="eastAsia"/>
                <w:color w:val="auto"/>
                <w:szCs w:val="21"/>
                <w:lang w:val="en-US" w:eastAsia="zh-CN"/>
              </w:rPr>
              <w:t>4</w:t>
            </w:r>
          </w:p>
        </w:tc>
        <w:tc>
          <w:tcPr>
            <w:tcW w:w="2108" w:type="dxa"/>
            <w:vAlign w:val="center"/>
          </w:tcPr>
          <w:p>
            <w:pPr>
              <w:pStyle w:val="50"/>
              <w:jc w:val="center"/>
              <w:rPr>
                <w:rFonts w:ascii="Times New Roman" w:hAnsi="Times New Roman" w:cs="Times New Roman"/>
                <w:color w:val="auto"/>
              </w:rPr>
            </w:pPr>
            <w:r>
              <w:rPr>
                <w:rFonts w:ascii="Times New Roman" w:hAnsi="Times New Roman" w:cs="Times New Roman"/>
                <w:color w:val="auto"/>
              </w:rPr>
              <w:t>铲车</w:t>
            </w:r>
          </w:p>
        </w:tc>
        <w:tc>
          <w:tcPr>
            <w:tcW w:w="2756" w:type="dxa"/>
            <w:vAlign w:val="center"/>
          </w:tcPr>
          <w:p>
            <w:pPr>
              <w:jc w:val="center"/>
              <w:rPr>
                <w:color w:val="auto"/>
                <w:szCs w:val="21"/>
              </w:rPr>
            </w:pPr>
            <w:r>
              <w:rPr>
                <w:color w:val="auto"/>
                <w:szCs w:val="21"/>
              </w:rPr>
              <w:t>/</w:t>
            </w:r>
          </w:p>
        </w:tc>
        <w:tc>
          <w:tcPr>
            <w:tcW w:w="750" w:type="dxa"/>
            <w:vAlign w:val="center"/>
          </w:tcPr>
          <w:p>
            <w:pPr>
              <w:ind w:left="-63" w:leftChars="-30" w:right="-63" w:rightChars="-30"/>
              <w:jc w:val="center"/>
              <w:rPr>
                <w:color w:val="auto"/>
                <w:szCs w:val="21"/>
              </w:rPr>
            </w:pPr>
            <w:r>
              <w:rPr>
                <w:color w:val="auto"/>
                <w:szCs w:val="21"/>
              </w:rPr>
              <w:t>3</w:t>
            </w:r>
          </w:p>
        </w:tc>
        <w:tc>
          <w:tcPr>
            <w:tcW w:w="413" w:type="dxa"/>
            <w:vAlign w:val="center"/>
          </w:tcPr>
          <w:p>
            <w:pPr>
              <w:ind w:left="-63" w:leftChars="-30" w:right="-63" w:rightChars="-30"/>
              <w:jc w:val="center"/>
              <w:rPr>
                <w:color w:val="auto"/>
                <w:szCs w:val="21"/>
              </w:rPr>
            </w:pPr>
            <w:r>
              <w:rPr>
                <w:color w:val="auto"/>
                <w:szCs w:val="21"/>
              </w:rPr>
              <w:t>台</w:t>
            </w:r>
          </w:p>
        </w:tc>
        <w:tc>
          <w:tcPr>
            <w:tcW w:w="751" w:type="dxa"/>
            <w:vAlign w:val="center"/>
          </w:tcPr>
          <w:p>
            <w:pPr>
              <w:ind w:left="-63" w:leftChars="-30" w:right="-63" w:rightChars="-30"/>
              <w:jc w:val="center"/>
              <w:rPr>
                <w:color w:val="auto"/>
                <w:szCs w:val="21"/>
              </w:rPr>
            </w:pPr>
            <w:r>
              <w:rPr>
                <w:color w:val="auto"/>
                <w:szCs w:val="21"/>
              </w:rPr>
              <w:t>1</w:t>
            </w:r>
          </w:p>
        </w:tc>
        <w:tc>
          <w:tcPr>
            <w:tcW w:w="1130" w:type="dxa"/>
            <w:vAlign w:val="center"/>
          </w:tcPr>
          <w:p>
            <w:pPr>
              <w:ind w:left="-63" w:leftChars="-30" w:right="-63" w:rightChars="-30"/>
              <w:jc w:val="center"/>
              <w:rPr>
                <w:color w:val="auto"/>
                <w:szCs w:val="21"/>
              </w:rPr>
            </w:pPr>
            <w:r>
              <w:rPr>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restart"/>
            <w:vAlign w:val="center"/>
          </w:tcPr>
          <w:p>
            <w:pPr>
              <w:ind w:left="-63" w:leftChars="-30" w:right="-63" w:rightChars="-30"/>
              <w:jc w:val="center"/>
              <w:rPr>
                <w:color w:val="auto"/>
                <w:szCs w:val="21"/>
              </w:rPr>
            </w:pPr>
            <w:r>
              <w:rPr>
                <w:color w:val="auto"/>
                <w:szCs w:val="21"/>
              </w:rPr>
              <w:t>卷材生产线（1条）</w:t>
            </w:r>
          </w:p>
        </w:tc>
        <w:tc>
          <w:tcPr>
            <w:tcW w:w="390" w:type="dxa"/>
            <w:vAlign w:val="center"/>
          </w:tcPr>
          <w:p>
            <w:pPr>
              <w:ind w:left="-63" w:leftChars="-30" w:right="-63" w:rightChars="-30"/>
              <w:jc w:val="center"/>
              <w:rPr>
                <w:color w:val="auto"/>
                <w:szCs w:val="21"/>
              </w:rPr>
            </w:pPr>
            <w:r>
              <w:rPr>
                <w:color w:val="auto"/>
                <w:szCs w:val="21"/>
              </w:rPr>
              <w:t>14</w:t>
            </w:r>
          </w:p>
        </w:tc>
        <w:tc>
          <w:tcPr>
            <w:tcW w:w="2108" w:type="dxa"/>
            <w:vAlign w:val="center"/>
          </w:tcPr>
          <w:p>
            <w:pPr>
              <w:jc w:val="center"/>
              <w:rPr>
                <w:color w:val="auto"/>
                <w:szCs w:val="21"/>
              </w:rPr>
            </w:pPr>
            <w:r>
              <w:rPr>
                <w:bCs/>
                <w:color w:val="auto"/>
                <w:szCs w:val="21"/>
              </w:rPr>
              <w:t>胎体展开装置</w:t>
            </w:r>
          </w:p>
        </w:tc>
        <w:tc>
          <w:tcPr>
            <w:tcW w:w="2756" w:type="dxa"/>
            <w:vAlign w:val="center"/>
          </w:tcPr>
          <w:p>
            <w:pPr>
              <w:tabs>
                <w:tab w:val="left" w:pos="447"/>
              </w:tabs>
              <w:jc w:val="center"/>
              <w:rPr>
                <w:color w:val="auto"/>
                <w:szCs w:val="21"/>
              </w:rPr>
            </w:pPr>
            <w:r>
              <w:rPr>
                <w:bCs/>
                <w:color w:val="auto"/>
                <w:szCs w:val="21"/>
              </w:rPr>
              <w:t>双工位，气动上胎体最大展开直径2m胎体</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15</w:t>
            </w:r>
          </w:p>
        </w:tc>
        <w:tc>
          <w:tcPr>
            <w:tcW w:w="2108" w:type="dxa"/>
            <w:vAlign w:val="center"/>
          </w:tcPr>
          <w:p>
            <w:pPr>
              <w:jc w:val="center"/>
              <w:rPr>
                <w:color w:val="auto"/>
                <w:szCs w:val="21"/>
              </w:rPr>
            </w:pPr>
            <w:r>
              <w:rPr>
                <w:bCs/>
                <w:color w:val="auto"/>
                <w:szCs w:val="21"/>
              </w:rPr>
              <w:t>胎体搭接装置</w:t>
            </w:r>
          </w:p>
        </w:tc>
        <w:tc>
          <w:tcPr>
            <w:tcW w:w="2756" w:type="dxa"/>
            <w:vAlign w:val="center"/>
          </w:tcPr>
          <w:p>
            <w:pPr>
              <w:jc w:val="center"/>
              <w:rPr>
                <w:color w:val="auto"/>
                <w:szCs w:val="21"/>
              </w:rPr>
            </w:pPr>
            <w:r>
              <w:rPr>
                <w:bCs/>
                <w:color w:val="auto"/>
                <w:szCs w:val="21"/>
              </w:rPr>
              <w:t>电加热控制</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16</w:t>
            </w:r>
          </w:p>
        </w:tc>
        <w:tc>
          <w:tcPr>
            <w:tcW w:w="2108" w:type="dxa"/>
            <w:vAlign w:val="center"/>
          </w:tcPr>
          <w:p>
            <w:pPr>
              <w:jc w:val="center"/>
              <w:rPr>
                <w:color w:val="auto"/>
                <w:szCs w:val="21"/>
              </w:rPr>
            </w:pPr>
            <w:r>
              <w:rPr>
                <w:bCs/>
                <w:color w:val="auto"/>
                <w:szCs w:val="21"/>
              </w:rPr>
              <w:t>胎体储存装置</w:t>
            </w:r>
          </w:p>
        </w:tc>
        <w:tc>
          <w:tcPr>
            <w:tcW w:w="2756" w:type="dxa"/>
            <w:vAlign w:val="center"/>
          </w:tcPr>
          <w:p>
            <w:pPr>
              <w:jc w:val="center"/>
              <w:rPr>
                <w:color w:val="auto"/>
                <w:szCs w:val="21"/>
              </w:rPr>
            </w:pPr>
            <w:r>
              <w:rPr>
                <w:bCs/>
                <w:color w:val="auto"/>
                <w:szCs w:val="21"/>
              </w:rPr>
              <w:t>贮存量60米，蜗轮减速机电动升降，配安全防护网</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17</w:t>
            </w:r>
          </w:p>
        </w:tc>
        <w:tc>
          <w:tcPr>
            <w:tcW w:w="2108" w:type="dxa"/>
            <w:vAlign w:val="center"/>
          </w:tcPr>
          <w:p>
            <w:pPr>
              <w:jc w:val="center"/>
              <w:rPr>
                <w:color w:val="auto"/>
                <w:szCs w:val="21"/>
              </w:rPr>
            </w:pPr>
            <w:r>
              <w:rPr>
                <w:bCs/>
                <w:color w:val="auto"/>
                <w:szCs w:val="21"/>
              </w:rPr>
              <w:t>胎体烘干装置</w:t>
            </w:r>
          </w:p>
        </w:tc>
        <w:tc>
          <w:tcPr>
            <w:tcW w:w="2756" w:type="dxa"/>
            <w:vAlign w:val="center"/>
          </w:tcPr>
          <w:p>
            <w:pPr>
              <w:jc w:val="center"/>
              <w:rPr>
                <w:color w:val="auto"/>
                <w:szCs w:val="21"/>
              </w:rPr>
            </w:pPr>
            <w:r>
              <w:rPr>
                <w:bCs/>
                <w:color w:val="auto"/>
                <w:szCs w:val="21"/>
              </w:rPr>
              <w:t>导热油烘干，鼓型烘箱</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18</w:t>
            </w:r>
          </w:p>
        </w:tc>
        <w:tc>
          <w:tcPr>
            <w:tcW w:w="2108" w:type="dxa"/>
            <w:vAlign w:val="center"/>
          </w:tcPr>
          <w:p>
            <w:pPr>
              <w:jc w:val="center"/>
              <w:rPr>
                <w:color w:val="auto"/>
                <w:szCs w:val="21"/>
              </w:rPr>
            </w:pPr>
            <w:r>
              <w:rPr>
                <w:bCs/>
                <w:color w:val="auto"/>
                <w:szCs w:val="21"/>
              </w:rPr>
              <w:t>自动纠偏装置</w:t>
            </w:r>
          </w:p>
        </w:tc>
        <w:tc>
          <w:tcPr>
            <w:tcW w:w="2756" w:type="dxa"/>
            <w:vAlign w:val="center"/>
          </w:tcPr>
          <w:p>
            <w:pPr>
              <w:jc w:val="center"/>
              <w:rPr>
                <w:color w:val="auto"/>
                <w:szCs w:val="21"/>
              </w:rPr>
            </w:pPr>
            <w:r>
              <w:rPr>
                <w:bCs/>
                <w:color w:val="auto"/>
                <w:szCs w:val="21"/>
              </w:rPr>
              <w:t>前后各1套</w:t>
            </w:r>
          </w:p>
        </w:tc>
        <w:tc>
          <w:tcPr>
            <w:tcW w:w="750" w:type="dxa"/>
            <w:vAlign w:val="center"/>
          </w:tcPr>
          <w:p>
            <w:pPr>
              <w:jc w:val="center"/>
              <w:rPr>
                <w:color w:val="auto"/>
                <w:szCs w:val="21"/>
              </w:rPr>
            </w:pPr>
            <w:r>
              <w:rPr>
                <w:bCs/>
                <w:color w:val="auto"/>
                <w:szCs w:val="21"/>
              </w:rPr>
              <w:t>2</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19</w:t>
            </w:r>
          </w:p>
        </w:tc>
        <w:tc>
          <w:tcPr>
            <w:tcW w:w="2108" w:type="dxa"/>
            <w:vAlign w:val="center"/>
          </w:tcPr>
          <w:p>
            <w:pPr>
              <w:jc w:val="center"/>
              <w:rPr>
                <w:color w:val="auto"/>
                <w:szCs w:val="21"/>
              </w:rPr>
            </w:pPr>
            <w:r>
              <w:rPr>
                <w:bCs/>
                <w:color w:val="auto"/>
                <w:szCs w:val="21"/>
              </w:rPr>
              <w:t>张力控制系统</w:t>
            </w:r>
          </w:p>
        </w:tc>
        <w:tc>
          <w:tcPr>
            <w:tcW w:w="2756" w:type="dxa"/>
            <w:vAlign w:val="center"/>
          </w:tcPr>
          <w:p>
            <w:pPr>
              <w:jc w:val="center"/>
              <w:rPr>
                <w:color w:val="auto"/>
                <w:szCs w:val="21"/>
              </w:rPr>
            </w:pPr>
            <w:r>
              <w:rPr>
                <w:bCs/>
                <w:color w:val="auto"/>
                <w:szCs w:val="21"/>
              </w:rPr>
              <w:t>变频控制</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20</w:t>
            </w:r>
          </w:p>
        </w:tc>
        <w:tc>
          <w:tcPr>
            <w:tcW w:w="2108" w:type="dxa"/>
            <w:vAlign w:val="center"/>
          </w:tcPr>
          <w:p>
            <w:pPr>
              <w:jc w:val="center"/>
              <w:rPr>
                <w:color w:val="auto"/>
                <w:szCs w:val="21"/>
              </w:rPr>
            </w:pPr>
            <w:r>
              <w:rPr>
                <w:bCs/>
                <w:color w:val="auto"/>
                <w:szCs w:val="21"/>
              </w:rPr>
              <w:t>预浸装置</w:t>
            </w:r>
          </w:p>
        </w:tc>
        <w:tc>
          <w:tcPr>
            <w:tcW w:w="2756" w:type="dxa"/>
            <w:vAlign w:val="center"/>
          </w:tcPr>
          <w:p>
            <w:pPr>
              <w:jc w:val="center"/>
              <w:rPr>
                <w:color w:val="auto"/>
                <w:szCs w:val="21"/>
              </w:rPr>
            </w:pPr>
            <w:r>
              <w:rPr>
                <w:bCs/>
                <w:color w:val="auto"/>
                <w:szCs w:val="21"/>
              </w:rPr>
              <w:t>带油辊一套，定型辊3只，浸油辊一套</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21</w:t>
            </w:r>
          </w:p>
        </w:tc>
        <w:tc>
          <w:tcPr>
            <w:tcW w:w="2108" w:type="dxa"/>
            <w:vAlign w:val="center"/>
          </w:tcPr>
          <w:p>
            <w:pPr>
              <w:jc w:val="center"/>
              <w:rPr>
                <w:color w:val="auto"/>
                <w:szCs w:val="21"/>
              </w:rPr>
            </w:pPr>
            <w:r>
              <w:rPr>
                <w:bCs/>
                <w:color w:val="auto"/>
                <w:szCs w:val="21"/>
              </w:rPr>
              <w:t>浸涂装置</w:t>
            </w:r>
          </w:p>
        </w:tc>
        <w:tc>
          <w:tcPr>
            <w:tcW w:w="2756" w:type="dxa"/>
            <w:vAlign w:val="center"/>
          </w:tcPr>
          <w:p>
            <w:pPr>
              <w:jc w:val="center"/>
              <w:rPr>
                <w:color w:val="auto"/>
                <w:szCs w:val="21"/>
              </w:rPr>
            </w:pPr>
            <w:r>
              <w:rPr>
                <w:bCs/>
                <w:color w:val="auto"/>
                <w:szCs w:val="21"/>
              </w:rPr>
              <w:t>带油辊一套，定型辊2只，浸油辊一套</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22</w:t>
            </w:r>
          </w:p>
        </w:tc>
        <w:tc>
          <w:tcPr>
            <w:tcW w:w="2108" w:type="dxa"/>
            <w:vAlign w:val="center"/>
          </w:tcPr>
          <w:p>
            <w:pPr>
              <w:jc w:val="center"/>
              <w:rPr>
                <w:color w:val="auto"/>
                <w:szCs w:val="21"/>
              </w:rPr>
            </w:pPr>
            <w:r>
              <w:rPr>
                <w:bCs/>
                <w:color w:val="auto"/>
                <w:szCs w:val="21"/>
              </w:rPr>
              <w:t>覆膜装置</w:t>
            </w:r>
          </w:p>
        </w:tc>
        <w:tc>
          <w:tcPr>
            <w:tcW w:w="2756" w:type="dxa"/>
            <w:vAlign w:val="center"/>
          </w:tcPr>
          <w:p>
            <w:pPr>
              <w:jc w:val="center"/>
              <w:rPr>
                <w:color w:val="auto"/>
                <w:szCs w:val="21"/>
              </w:rPr>
            </w:pPr>
            <w:r>
              <w:rPr>
                <w:bCs/>
                <w:color w:val="auto"/>
                <w:szCs w:val="21"/>
              </w:rPr>
              <w:t>含PE膜展开装置2套，覆膜件1套，配冷却喷水系统</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23</w:t>
            </w:r>
          </w:p>
        </w:tc>
        <w:tc>
          <w:tcPr>
            <w:tcW w:w="2108" w:type="dxa"/>
            <w:vAlign w:val="center"/>
          </w:tcPr>
          <w:p>
            <w:pPr>
              <w:jc w:val="center"/>
              <w:rPr>
                <w:color w:val="auto"/>
                <w:szCs w:val="21"/>
              </w:rPr>
            </w:pPr>
            <w:r>
              <w:rPr>
                <w:bCs/>
                <w:color w:val="auto"/>
                <w:szCs w:val="21"/>
              </w:rPr>
              <w:t>悬浮冷却装置</w:t>
            </w:r>
          </w:p>
        </w:tc>
        <w:tc>
          <w:tcPr>
            <w:tcW w:w="2756" w:type="dxa"/>
            <w:vAlign w:val="center"/>
          </w:tcPr>
          <w:p>
            <w:pPr>
              <w:jc w:val="center"/>
              <w:rPr>
                <w:color w:val="auto"/>
                <w:szCs w:val="21"/>
              </w:rPr>
            </w:pPr>
            <w:r>
              <w:rPr>
                <w:bCs/>
                <w:color w:val="auto"/>
                <w:szCs w:val="21"/>
              </w:rPr>
              <w:t>水槽长11米，不锈钢辊15支</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24</w:t>
            </w:r>
          </w:p>
        </w:tc>
        <w:tc>
          <w:tcPr>
            <w:tcW w:w="2108" w:type="dxa"/>
            <w:vAlign w:val="center"/>
          </w:tcPr>
          <w:p>
            <w:pPr>
              <w:jc w:val="center"/>
              <w:rPr>
                <w:color w:val="auto"/>
                <w:szCs w:val="21"/>
              </w:rPr>
            </w:pPr>
            <w:r>
              <w:rPr>
                <w:bCs/>
                <w:color w:val="auto"/>
                <w:szCs w:val="21"/>
              </w:rPr>
              <w:t>滚筒式冷却装置</w:t>
            </w:r>
          </w:p>
        </w:tc>
        <w:tc>
          <w:tcPr>
            <w:tcW w:w="2756" w:type="dxa"/>
            <w:vAlign w:val="center"/>
          </w:tcPr>
          <w:p>
            <w:pPr>
              <w:jc w:val="center"/>
              <w:rPr>
                <w:color w:val="auto"/>
                <w:szCs w:val="21"/>
              </w:rPr>
            </w:pPr>
            <w:r>
              <w:rPr>
                <w:bCs/>
                <w:color w:val="auto"/>
                <w:szCs w:val="21"/>
              </w:rPr>
              <w:t>冷缸9支</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25</w:t>
            </w:r>
          </w:p>
        </w:tc>
        <w:tc>
          <w:tcPr>
            <w:tcW w:w="2108" w:type="dxa"/>
            <w:vAlign w:val="center"/>
          </w:tcPr>
          <w:p>
            <w:pPr>
              <w:jc w:val="center"/>
              <w:rPr>
                <w:color w:val="auto"/>
                <w:szCs w:val="21"/>
              </w:rPr>
            </w:pPr>
            <w:r>
              <w:rPr>
                <w:bCs/>
                <w:color w:val="auto"/>
                <w:szCs w:val="21"/>
              </w:rPr>
              <w:t>成品贮存装置</w:t>
            </w:r>
          </w:p>
        </w:tc>
        <w:tc>
          <w:tcPr>
            <w:tcW w:w="2756" w:type="dxa"/>
            <w:vAlign w:val="center"/>
          </w:tcPr>
          <w:p>
            <w:pPr>
              <w:jc w:val="center"/>
              <w:rPr>
                <w:color w:val="auto"/>
                <w:szCs w:val="21"/>
              </w:rPr>
            </w:pPr>
            <w:r>
              <w:rPr>
                <w:bCs/>
                <w:color w:val="auto"/>
                <w:szCs w:val="21"/>
              </w:rPr>
              <w:t>贮存量60米，配安全防护网</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26</w:t>
            </w:r>
          </w:p>
        </w:tc>
        <w:tc>
          <w:tcPr>
            <w:tcW w:w="2108" w:type="dxa"/>
            <w:vAlign w:val="center"/>
          </w:tcPr>
          <w:p>
            <w:pPr>
              <w:jc w:val="center"/>
              <w:rPr>
                <w:color w:val="auto"/>
                <w:szCs w:val="21"/>
              </w:rPr>
            </w:pPr>
            <w:r>
              <w:rPr>
                <w:bCs/>
                <w:color w:val="auto"/>
                <w:szCs w:val="21"/>
              </w:rPr>
              <w:t>弹跳缓冲装置</w:t>
            </w:r>
          </w:p>
        </w:tc>
        <w:tc>
          <w:tcPr>
            <w:tcW w:w="2756" w:type="dxa"/>
            <w:vAlign w:val="center"/>
          </w:tcPr>
          <w:p>
            <w:pPr>
              <w:jc w:val="center"/>
              <w:rPr>
                <w:color w:val="auto"/>
                <w:szCs w:val="21"/>
              </w:rPr>
            </w:pPr>
            <w:r>
              <w:rPr>
                <w:bCs/>
                <w:color w:val="auto"/>
                <w:szCs w:val="21"/>
              </w:rPr>
              <w:t>配牵引输送装置</w:t>
            </w:r>
          </w:p>
        </w:tc>
        <w:tc>
          <w:tcPr>
            <w:tcW w:w="750" w:type="dxa"/>
            <w:vAlign w:val="center"/>
          </w:tcPr>
          <w:p>
            <w:pPr>
              <w:jc w:val="center"/>
              <w:rPr>
                <w:color w:val="auto"/>
                <w:szCs w:val="21"/>
              </w:rPr>
            </w:pPr>
            <w:r>
              <w:rPr>
                <w:bCs/>
                <w:color w:val="auto"/>
                <w:szCs w:val="21"/>
              </w:rPr>
              <w:t>2</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27</w:t>
            </w:r>
          </w:p>
        </w:tc>
        <w:tc>
          <w:tcPr>
            <w:tcW w:w="2108" w:type="dxa"/>
            <w:vAlign w:val="center"/>
          </w:tcPr>
          <w:p>
            <w:pPr>
              <w:jc w:val="center"/>
              <w:rPr>
                <w:color w:val="auto"/>
                <w:szCs w:val="21"/>
              </w:rPr>
            </w:pPr>
            <w:r>
              <w:rPr>
                <w:bCs/>
                <w:color w:val="auto"/>
                <w:szCs w:val="21"/>
              </w:rPr>
              <w:t>传动部分</w:t>
            </w:r>
          </w:p>
        </w:tc>
        <w:tc>
          <w:tcPr>
            <w:tcW w:w="2756" w:type="dxa"/>
            <w:vAlign w:val="center"/>
          </w:tcPr>
          <w:p>
            <w:pPr>
              <w:jc w:val="center"/>
              <w:rPr>
                <w:color w:val="auto"/>
                <w:szCs w:val="21"/>
              </w:rPr>
            </w:pPr>
            <w:r>
              <w:rPr>
                <w:bCs/>
                <w:color w:val="auto"/>
                <w:szCs w:val="21"/>
              </w:rPr>
              <w:t>各部同步调速，变频传动</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28</w:t>
            </w:r>
          </w:p>
        </w:tc>
        <w:tc>
          <w:tcPr>
            <w:tcW w:w="2108" w:type="dxa"/>
            <w:vAlign w:val="center"/>
          </w:tcPr>
          <w:p>
            <w:pPr>
              <w:jc w:val="center"/>
              <w:rPr>
                <w:color w:val="auto"/>
                <w:szCs w:val="21"/>
              </w:rPr>
            </w:pPr>
            <w:r>
              <w:rPr>
                <w:bCs/>
                <w:color w:val="auto"/>
                <w:szCs w:val="21"/>
              </w:rPr>
              <w:t>全自动打卷机</w:t>
            </w:r>
          </w:p>
        </w:tc>
        <w:tc>
          <w:tcPr>
            <w:tcW w:w="2756" w:type="dxa"/>
            <w:vAlign w:val="center"/>
          </w:tcPr>
          <w:p>
            <w:pPr>
              <w:jc w:val="center"/>
              <w:rPr>
                <w:color w:val="auto"/>
                <w:szCs w:val="21"/>
              </w:rPr>
            </w:pPr>
            <w:r>
              <w:rPr>
                <w:bCs/>
                <w:color w:val="auto"/>
                <w:szCs w:val="21"/>
              </w:rPr>
              <w:t>落地速度每分钟不低于五卷</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29</w:t>
            </w:r>
          </w:p>
        </w:tc>
        <w:tc>
          <w:tcPr>
            <w:tcW w:w="2108" w:type="dxa"/>
            <w:vAlign w:val="center"/>
          </w:tcPr>
          <w:p>
            <w:pPr>
              <w:jc w:val="center"/>
              <w:rPr>
                <w:color w:val="auto"/>
                <w:szCs w:val="21"/>
              </w:rPr>
            </w:pPr>
            <w:r>
              <w:rPr>
                <w:bCs/>
                <w:color w:val="auto"/>
                <w:szCs w:val="21"/>
              </w:rPr>
              <w:t>操作平台</w:t>
            </w:r>
          </w:p>
        </w:tc>
        <w:tc>
          <w:tcPr>
            <w:tcW w:w="2756" w:type="dxa"/>
            <w:vAlign w:val="center"/>
          </w:tcPr>
          <w:p>
            <w:pPr>
              <w:jc w:val="center"/>
              <w:rPr>
                <w:color w:val="auto"/>
                <w:szCs w:val="21"/>
              </w:rPr>
            </w:pPr>
            <w:r>
              <w:rPr>
                <w:bCs/>
                <w:color w:val="auto"/>
                <w:szCs w:val="21"/>
              </w:rPr>
              <w:t>双层布置，梯子、护栏</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30</w:t>
            </w:r>
          </w:p>
        </w:tc>
        <w:tc>
          <w:tcPr>
            <w:tcW w:w="2108" w:type="dxa"/>
            <w:vAlign w:val="center"/>
          </w:tcPr>
          <w:p>
            <w:pPr>
              <w:jc w:val="center"/>
              <w:rPr>
                <w:color w:val="auto"/>
                <w:szCs w:val="21"/>
              </w:rPr>
            </w:pPr>
            <w:r>
              <w:rPr>
                <w:bCs/>
                <w:color w:val="auto"/>
                <w:szCs w:val="21"/>
              </w:rPr>
              <w:t>改性沥青搅拌罐</w:t>
            </w:r>
          </w:p>
        </w:tc>
        <w:tc>
          <w:tcPr>
            <w:tcW w:w="2756" w:type="dxa"/>
            <w:vAlign w:val="center"/>
          </w:tcPr>
          <w:p>
            <w:pPr>
              <w:jc w:val="center"/>
              <w:rPr>
                <w:color w:val="auto"/>
                <w:szCs w:val="21"/>
              </w:rPr>
            </w:pPr>
            <w:r>
              <w:rPr>
                <w:bCs/>
                <w:color w:val="auto"/>
                <w:szCs w:val="21"/>
              </w:rPr>
              <w:t>容</w:t>
            </w:r>
            <w:r>
              <w:rPr>
                <w:rFonts w:hint="eastAsia"/>
                <w:bCs/>
                <w:color w:val="auto"/>
                <w:szCs w:val="21"/>
                <w:lang w:val="en-US" w:eastAsia="zh-CN"/>
              </w:rPr>
              <w:t>积</w:t>
            </w:r>
            <w:r>
              <w:rPr>
                <w:bCs/>
                <w:color w:val="auto"/>
                <w:szCs w:val="21"/>
              </w:rPr>
              <w:t>10立方米，导热油加温</w:t>
            </w:r>
          </w:p>
        </w:tc>
        <w:tc>
          <w:tcPr>
            <w:tcW w:w="750" w:type="dxa"/>
            <w:vAlign w:val="center"/>
          </w:tcPr>
          <w:p>
            <w:pPr>
              <w:jc w:val="center"/>
              <w:rPr>
                <w:color w:val="auto"/>
                <w:szCs w:val="21"/>
              </w:rPr>
            </w:pPr>
            <w:r>
              <w:rPr>
                <w:bCs/>
                <w:color w:val="auto"/>
                <w:szCs w:val="21"/>
              </w:rPr>
              <w:t>3</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31</w:t>
            </w:r>
          </w:p>
        </w:tc>
        <w:tc>
          <w:tcPr>
            <w:tcW w:w="2108" w:type="dxa"/>
            <w:vAlign w:val="center"/>
          </w:tcPr>
          <w:p>
            <w:pPr>
              <w:jc w:val="center"/>
              <w:rPr>
                <w:color w:val="auto"/>
                <w:szCs w:val="21"/>
              </w:rPr>
            </w:pPr>
            <w:r>
              <w:rPr>
                <w:bCs/>
                <w:color w:val="auto"/>
                <w:szCs w:val="21"/>
              </w:rPr>
              <w:t>物料提升机</w:t>
            </w:r>
          </w:p>
        </w:tc>
        <w:tc>
          <w:tcPr>
            <w:tcW w:w="2756" w:type="dxa"/>
            <w:vAlign w:val="center"/>
          </w:tcPr>
          <w:p>
            <w:pPr>
              <w:jc w:val="center"/>
              <w:rPr>
                <w:color w:val="auto"/>
                <w:szCs w:val="21"/>
              </w:rPr>
            </w:pPr>
            <w:r>
              <w:rPr>
                <w:bCs/>
                <w:color w:val="auto"/>
                <w:szCs w:val="21"/>
              </w:rPr>
              <w:t>配2T的电动葫芦</w:t>
            </w:r>
          </w:p>
        </w:tc>
        <w:tc>
          <w:tcPr>
            <w:tcW w:w="750" w:type="dxa"/>
            <w:vAlign w:val="center"/>
          </w:tcPr>
          <w:p>
            <w:pPr>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32</w:t>
            </w:r>
          </w:p>
        </w:tc>
        <w:tc>
          <w:tcPr>
            <w:tcW w:w="2108" w:type="dxa"/>
            <w:vAlign w:val="center"/>
          </w:tcPr>
          <w:p>
            <w:pPr>
              <w:jc w:val="center"/>
              <w:rPr>
                <w:color w:val="auto"/>
                <w:szCs w:val="21"/>
              </w:rPr>
            </w:pPr>
            <w:r>
              <w:rPr>
                <w:bCs/>
                <w:color w:val="auto"/>
                <w:szCs w:val="21"/>
              </w:rPr>
              <w:t>胶体磨</w:t>
            </w:r>
          </w:p>
        </w:tc>
        <w:tc>
          <w:tcPr>
            <w:tcW w:w="2756" w:type="dxa"/>
            <w:vAlign w:val="center"/>
          </w:tcPr>
          <w:p>
            <w:pPr>
              <w:jc w:val="center"/>
              <w:rPr>
                <w:color w:val="auto"/>
                <w:szCs w:val="21"/>
              </w:rPr>
            </w:pPr>
            <w:r>
              <w:rPr>
                <w:rFonts w:hint="eastAsia"/>
                <w:bCs/>
                <w:color w:val="auto"/>
                <w:szCs w:val="21"/>
                <w:lang w:val="en-US" w:eastAsia="zh-CN"/>
              </w:rPr>
              <w:t>容积</w:t>
            </w:r>
            <w:r>
              <w:rPr>
                <w:bCs/>
                <w:color w:val="auto"/>
                <w:szCs w:val="21"/>
              </w:rPr>
              <w:t>15立方米</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33</w:t>
            </w:r>
          </w:p>
        </w:tc>
        <w:tc>
          <w:tcPr>
            <w:tcW w:w="2108" w:type="dxa"/>
            <w:vAlign w:val="center"/>
          </w:tcPr>
          <w:p>
            <w:pPr>
              <w:jc w:val="center"/>
              <w:rPr>
                <w:color w:val="auto"/>
                <w:szCs w:val="21"/>
              </w:rPr>
            </w:pPr>
            <w:r>
              <w:rPr>
                <w:bCs/>
                <w:color w:val="auto"/>
                <w:szCs w:val="21"/>
              </w:rPr>
              <w:t>电气控制</w:t>
            </w:r>
          </w:p>
        </w:tc>
        <w:tc>
          <w:tcPr>
            <w:tcW w:w="2756" w:type="dxa"/>
            <w:vAlign w:val="center"/>
          </w:tcPr>
          <w:p>
            <w:pPr>
              <w:jc w:val="center"/>
              <w:rPr>
                <w:color w:val="auto"/>
                <w:szCs w:val="21"/>
              </w:rPr>
            </w:pPr>
            <w:r>
              <w:rPr>
                <w:color w:val="auto"/>
                <w:szCs w:val="21"/>
              </w:rPr>
              <w:t>/</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34</w:t>
            </w:r>
          </w:p>
        </w:tc>
        <w:tc>
          <w:tcPr>
            <w:tcW w:w="2108" w:type="dxa"/>
            <w:vAlign w:val="center"/>
          </w:tcPr>
          <w:p>
            <w:pPr>
              <w:jc w:val="center"/>
              <w:rPr>
                <w:color w:val="auto"/>
                <w:szCs w:val="21"/>
              </w:rPr>
            </w:pPr>
            <w:r>
              <w:rPr>
                <w:bCs/>
                <w:color w:val="auto"/>
                <w:szCs w:val="21"/>
              </w:rPr>
              <w:t>管线阀门</w:t>
            </w:r>
          </w:p>
        </w:tc>
        <w:tc>
          <w:tcPr>
            <w:tcW w:w="2756" w:type="dxa"/>
            <w:vAlign w:val="center"/>
          </w:tcPr>
          <w:p>
            <w:pPr>
              <w:jc w:val="center"/>
              <w:rPr>
                <w:color w:val="auto"/>
                <w:szCs w:val="21"/>
              </w:rPr>
            </w:pPr>
            <w:r>
              <w:rPr>
                <w:bCs/>
                <w:color w:val="auto"/>
                <w:szCs w:val="21"/>
              </w:rPr>
              <w:t>导热油阀为铸钢高温闸阀</w:t>
            </w:r>
          </w:p>
        </w:tc>
        <w:tc>
          <w:tcPr>
            <w:tcW w:w="750" w:type="dxa"/>
            <w:vAlign w:val="center"/>
          </w:tcPr>
          <w:p>
            <w:pPr>
              <w:jc w:val="center"/>
              <w:rPr>
                <w:color w:val="auto"/>
                <w:szCs w:val="21"/>
              </w:rPr>
            </w:pPr>
            <w:r>
              <w:rPr>
                <w:bCs/>
                <w:color w:val="auto"/>
                <w:szCs w:val="21"/>
              </w:rPr>
              <w:t>1</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35</w:t>
            </w:r>
          </w:p>
        </w:tc>
        <w:tc>
          <w:tcPr>
            <w:tcW w:w="2108" w:type="dxa"/>
            <w:vAlign w:val="center"/>
          </w:tcPr>
          <w:p>
            <w:pPr>
              <w:jc w:val="center"/>
              <w:rPr>
                <w:color w:val="auto"/>
                <w:szCs w:val="21"/>
              </w:rPr>
            </w:pPr>
            <w:r>
              <w:rPr>
                <w:bCs/>
                <w:color w:val="auto"/>
                <w:szCs w:val="21"/>
              </w:rPr>
              <w:t>混合料泵</w:t>
            </w:r>
          </w:p>
        </w:tc>
        <w:tc>
          <w:tcPr>
            <w:tcW w:w="2756" w:type="dxa"/>
            <w:vAlign w:val="center"/>
          </w:tcPr>
          <w:p>
            <w:pPr>
              <w:jc w:val="center"/>
              <w:rPr>
                <w:color w:val="auto"/>
                <w:szCs w:val="21"/>
              </w:rPr>
            </w:pPr>
            <w:r>
              <w:rPr>
                <w:bCs/>
                <w:color w:val="auto"/>
                <w:szCs w:val="21"/>
              </w:rPr>
              <w:t>最大处理能力20立方</w:t>
            </w:r>
          </w:p>
        </w:tc>
        <w:tc>
          <w:tcPr>
            <w:tcW w:w="750" w:type="dxa"/>
            <w:vAlign w:val="center"/>
          </w:tcPr>
          <w:p>
            <w:pPr>
              <w:jc w:val="center"/>
              <w:rPr>
                <w:color w:val="auto"/>
                <w:szCs w:val="21"/>
              </w:rPr>
            </w:pPr>
            <w:r>
              <w:rPr>
                <w:bCs/>
                <w:color w:val="auto"/>
                <w:szCs w:val="21"/>
              </w:rPr>
              <w:t>2</w:t>
            </w:r>
          </w:p>
        </w:tc>
        <w:tc>
          <w:tcPr>
            <w:tcW w:w="413" w:type="dxa"/>
            <w:vAlign w:val="center"/>
          </w:tcPr>
          <w:p>
            <w:pPr>
              <w:ind w:left="-63" w:leftChars="-30" w:right="-63" w:rightChars="-30"/>
              <w:jc w:val="center"/>
              <w:rPr>
                <w:color w:val="auto"/>
                <w:szCs w:val="21"/>
              </w:rPr>
            </w:pPr>
            <w:r>
              <w:rPr>
                <w:bCs/>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36</w:t>
            </w:r>
          </w:p>
        </w:tc>
        <w:tc>
          <w:tcPr>
            <w:tcW w:w="2108" w:type="dxa"/>
            <w:vAlign w:val="center"/>
          </w:tcPr>
          <w:p>
            <w:pPr>
              <w:jc w:val="center"/>
              <w:rPr>
                <w:color w:val="auto"/>
                <w:szCs w:val="21"/>
              </w:rPr>
            </w:pPr>
            <w:r>
              <w:rPr>
                <w:bCs/>
                <w:color w:val="auto"/>
                <w:szCs w:val="21"/>
              </w:rPr>
              <w:t>过滤器</w:t>
            </w:r>
          </w:p>
        </w:tc>
        <w:tc>
          <w:tcPr>
            <w:tcW w:w="2756" w:type="dxa"/>
            <w:vAlign w:val="center"/>
          </w:tcPr>
          <w:p>
            <w:pPr>
              <w:jc w:val="center"/>
              <w:rPr>
                <w:color w:val="auto"/>
                <w:szCs w:val="21"/>
              </w:rPr>
            </w:pPr>
            <w:r>
              <w:rPr>
                <w:color w:val="auto"/>
                <w:szCs w:val="21"/>
              </w:rPr>
              <w:t>/</w:t>
            </w:r>
          </w:p>
        </w:tc>
        <w:tc>
          <w:tcPr>
            <w:tcW w:w="750" w:type="dxa"/>
            <w:vAlign w:val="center"/>
          </w:tcPr>
          <w:p>
            <w:pPr>
              <w:jc w:val="center"/>
              <w:rPr>
                <w:color w:val="auto"/>
                <w:szCs w:val="21"/>
              </w:rPr>
            </w:pPr>
            <w:r>
              <w:rPr>
                <w:bCs/>
                <w:color w:val="auto"/>
                <w:szCs w:val="21"/>
              </w:rPr>
              <w:t>2</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jc w:val="center"/>
              <w:rPr>
                <w:color w:val="auto"/>
                <w:szCs w:val="21"/>
              </w:rPr>
            </w:pPr>
            <w:r>
              <w:rPr>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37</w:t>
            </w:r>
          </w:p>
        </w:tc>
        <w:tc>
          <w:tcPr>
            <w:tcW w:w="2108" w:type="dxa"/>
            <w:vAlign w:val="center"/>
          </w:tcPr>
          <w:p>
            <w:pPr>
              <w:jc w:val="center"/>
              <w:rPr>
                <w:color w:val="auto"/>
                <w:szCs w:val="21"/>
              </w:rPr>
            </w:pPr>
            <w:r>
              <w:rPr>
                <w:bCs/>
                <w:color w:val="auto"/>
                <w:szCs w:val="21"/>
              </w:rPr>
              <w:t>沥清卸料加温池</w:t>
            </w:r>
          </w:p>
        </w:tc>
        <w:tc>
          <w:tcPr>
            <w:tcW w:w="2756" w:type="dxa"/>
            <w:vAlign w:val="center"/>
          </w:tcPr>
          <w:p>
            <w:pPr>
              <w:jc w:val="center"/>
              <w:rPr>
                <w:color w:val="auto"/>
                <w:szCs w:val="21"/>
              </w:rPr>
            </w:pPr>
            <w:r>
              <w:rPr>
                <w:bCs/>
                <w:color w:val="auto"/>
                <w:szCs w:val="21"/>
              </w:rPr>
              <w:t>容</w:t>
            </w:r>
            <w:r>
              <w:rPr>
                <w:rFonts w:hint="eastAsia"/>
                <w:bCs/>
                <w:color w:val="auto"/>
                <w:szCs w:val="21"/>
                <w:lang w:val="en-US" w:eastAsia="zh-CN"/>
              </w:rPr>
              <w:t>积</w:t>
            </w:r>
            <w:r>
              <w:rPr>
                <w:bCs/>
                <w:color w:val="auto"/>
                <w:szCs w:val="21"/>
              </w:rPr>
              <w:t>5立方米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38</w:t>
            </w:r>
          </w:p>
        </w:tc>
        <w:tc>
          <w:tcPr>
            <w:tcW w:w="2108" w:type="dxa"/>
            <w:vAlign w:val="center"/>
          </w:tcPr>
          <w:p>
            <w:pPr>
              <w:jc w:val="center"/>
              <w:rPr>
                <w:color w:val="auto"/>
                <w:szCs w:val="21"/>
              </w:rPr>
            </w:pPr>
            <w:r>
              <w:rPr>
                <w:bCs/>
                <w:color w:val="auto"/>
                <w:szCs w:val="21"/>
              </w:rPr>
              <w:t>沥青储存罐</w:t>
            </w:r>
          </w:p>
        </w:tc>
        <w:tc>
          <w:tcPr>
            <w:tcW w:w="2756" w:type="dxa"/>
            <w:vAlign w:val="center"/>
          </w:tcPr>
          <w:p>
            <w:pPr>
              <w:jc w:val="center"/>
              <w:rPr>
                <w:color w:val="auto"/>
                <w:szCs w:val="21"/>
              </w:rPr>
            </w:pPr>
            <w:r>
              <w:rPr>
                <w:bCs/>
                <w:color w:val="auto"/>
                <w:szCs w:val="21"/>
              </w:rPr>
              <w:t>容积80立方</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39</w:t>
            </w:r>
          </w:p>
        </w:tc>
        <w:tc>
          <w:tcPr>
            <w:tcW w:w="2108" w:type="dxa"/>
            <w:vAlign w:val="center"/>
          </w:tcPr>
          <w:p>
            <w:pPr>
              <w:jc w:val="center"/>
              <w:rPr>
                <w:color w:val="auto"/>
                <w:szCs w:val="21"/>
              </w:rPr>
            </w:pPr>
            <w:r>
              <w:rPr>
                <w:bCs/>
                <w:color w:val="auto"/>
                <w:szCs w:val="21"/>
              </w:rPr>
              <w:t>沥青加温盘管及输</w:t>
            </w:r>
            <w:r>
              <w:rPr>
                <w:rFonts w:hint="eastAsia"/>
                <w:bCs/>
                <w:color w:val="auto"/>
                <w:szCs w:val="21"/>
                <w:lang w:val="en-US" w:eastAsia="zh-CN"/>
              </w:rPr>
              <w:t>送</w:t>
            </w:r>
            <w:r>
              <w:rPr>
                <w:bCs/>
                <w:color w:val="auto"/>
                <w:szCs w:val="21"/>
              </w:rPr>
              <w:t>装置</w:t>
            </w:r>
          </w:p>
        </w:tc>
        <w:tc>
          <w:tcPr>
            <w:tcW w:w="2756" w:type="dxa"/>
            <w:vAlign w:val="center"/>
          </w:tcPr>
          <w:p>
            <w:pPr>
              <w:jc w:val="center"/>
              <w:rPr>
                <w:color w:val="auto"/>
                <w:szCs w:val="21"/>
              </w:rPr>
            </w:pPr>
            <w:r>
              <w:rPr>
                <w:color w:val="auto"/>
                <w:szCs w:val="21"/>
              </w:rPr>
              <w:t>/</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40</w:t>
            </w:r>
          </w:p>
        </w:tc>
        <w:tc>
          <w:tcPr>
            <w:tcW w:w="2108" w:type="dxa"/>
            <w:vAlign w:val="center"/>
          </w:tcPr>
          <w:p>
            <w:pPr>
              <w:jc w:val="center"/>
              <w:rPr>
                <w:color w:val="auto"/>
                <w:szCs w:val="21"/>
              </w:rPr>
            </w:pPr>
            <w:r>
              <w:rPr>
                <w:bCs/>
                <w:color w:val="auto"/>
                <w:szCs w:val="21"/>
              </w:rPr>
              <w:t>软化油罐</w:t>
            </w:r>
          </w:p>
        </w:tc>
        <w:tc>
          <w:tcPr>
            <w:tcW w:w="2756" w:type="dxa"/>
            <w:vAlign w:val="center"/>
          </w:tcPr>
          <w:p>
            <w:pPr>
              <w:jc w:val="center"/>
              <w:rPr>
                <w:color w:val="auto"/>
                <w:szCs w:val="21"/>
              </w:rPr>
            </w:pPr>
            <w:r>
              <w:rPr>
                <w:rFonts w:hint="eastAsia"/>
                <w:bCs/>
                <w:color w:val="auto"/>
                <w:szCs w:val="21"/>
              </w:rPr>
              <w:t>容积</w:t>
            </w:r>
            <w:r>
              <w:rPr>
                <w:bCs/>
                <w:color w:val="auto"/>
                <w:szCs w:val="21"/>
              </w:rPr>
              <w:t>10立方，配齿轮泵1套</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41</w:t>
            </w:r>
          </w:p>
        </w:tc>
        <w:tc>
          <w:tcPr>
            <w:tcW w:w="2108" w:type="dxa"/>
            <w:vAlign w:val="center"/>
          </w:tcPr>
          <w:p>
            <w:pPr>
              <w:pStyle w:val="50"/>
              <w:jc w:val="center"/>
              <w:rPr>
                <w:rFonts w:ascii="Times New Roman" w:hAnsi="Times New Roman" w:cs="Times New Roman"/>
                <w:color w:val="auto"/>
              </w:rPr>
            </w:pPr>
            <w:r>
              <w:rPr>
                <w:rFonts w:hint="eastAsia" w:ascii="Times New Roman" w:hAnsi="Times New Roman" w:cs="Times New Roman"/>
                <w:color w:val="auto"/>
              </w:rPr>
              <w:t>导热油炉</w:t>
            </w:r>
          </w:p>
        </w:tc>
        <w:tc>
          <w:tcPr>
            <w:tcW w:w="2756" w:type="dxa"/>
            <w:vAlign w:val="center"/>
          </w:tcPr>
          <w:p>
            <w:pPr>
              <w:jc w:val="center"/>
              <w:rPr>
                <w:color w:val="auto"/>
                <w:szCs w:val="21"/>
              </w:rPr>
            </w:pPr>
            <w:r>
              <w:rPr>
                <w:bCs/>
                <w:color w:val="auto"/>
                <w:szCs w:val="21"/>
              </w:rPr>
              <w:t>120万大卡</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42</w:t>
            </w:r>
          </w:p>
        </w:tc>
        <w:tc>
          <w:tcPr>
            <w:tcW w:w="2108" w:type="dxa"/>
            <w:vAlign w:val="center"/>
          </w:tcPr>
          <w:p>
            <w:pPr>
              <w:jc w:val="center"/>
              <w:rPr>
                <w:color w:val="auto"/>
                <w:szCs w:val="21"/>
              </w:rPr>
            </w:pPr>
            <w:r>
              <w:rPr>
                <w:bCs/>
                <w:color w:val="auto"/>
                <w:szCs w:val="21"/>
              </w:rPr>
              <w:t>石粉料仓</w:t>
            </w:r>
          </w:p>
        </w:tc>
        <w:tc>
          <w:tcPr>
            <w:tcW w:w="2756" w:type="dxa"/>
            <w:vAlign w:val="center"/>
          </w:tcPr>
          <w:p>
            <w:pPr>
              <w:jc w:val="center"/>
              <w:rPr>
                <w:color w:val="auto"/>
                <w:szCs w:val="21"/>
              </w:rPr>
            </w:pPr>
            <w:r>
              <w:rPr>
                <w:color w:val="auto"/>
                <w:szCs w:val="21"/>
              </w:rPr>
              <w:t>/</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43</w:t>
            </w:r>
          </w:p>
        </w:tc>
        <w:tc>
          <w:tcPr>
            <w:tcW w:w="2108" w:type="dxa"/>
            <w:vAlign w:val="center"/>
          </w:tcPr>
          <w:p>
            <w:pPr>
              <w:jc w:val="center"/>
              <w:rPr>
                <w:color w:val="auto"/>
                <w:szCs w:val="21"/>
              </w:rPr>
            </w:pPr>
            <w:r>
              <w:rPr>
                <w:bCs/>
                <w:color w:val="auto"/>
                <w:szCs w:val="21"/>
              </w:rPr>
              <w:t>石粉上料蛟龙</w:t>
            </w:r>
          </w:p>
        </w:tc>
        <w:tc>
          <w:tcPr>
            <w:tcW w:w="2756" w:type="dxa"/>
            <w:vAlign w:val="center"/>
          </w:tcPr>
          <w:p>
            <w:pPr>
              <w:jc w:val="center"/>
              <w:rPr>
                <w:color w:val="auto"/>
                <w:szCs w:val="21"/>
              </w:rPr>
            </w:pPr>
            <w:r>
              <w:rPr>
                <w:bCs/>
                <w:color w:val="auto"/>
                <w:szCs w:val="21"/>
              </w:rPr>
              <w:t>3米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44</w:t>
            </w:r>
          </w:p>
        </w:tc>
        <w:tc>
          <w:tcPr>
            <w:tcW w:w="2108" w:type="dxa"/>
            <w:vAlign w:val="center"/>
          </w:tcPr>
          <w:p>
            <w:pPr>
              <w:jc w:val="center"/>
              <w:rPr>
                <w:color w:val="auto"/>
                <w:szCs w:val="21"/>
              </w:rPr>
            </w:pPr>
            <w:r>
              <w:rPr>
                <w:bCs/>
                <w:color w:val="auto"/>
                <w:szCs w:val="21"/>
              </w:rPr>
              <w:t>石粉输送蛟龙</w:t>
            </w:r>
          </w:p>
        </w:tc>
        <w:tc>
          <w:tcPr>
            <w:tcW w:w="2756" w:type="dxa"/>
            <w:vAlign w:val="center"/>
          </w:tcPr>
          <w:p>
            <w:pPr>
              <w:jc w:val="center"/>
              <w:rPr>
                <w:color w:val="auto"/>
                <w:szCs w:val="21"/>
              </w:rPr>
            </w:pPr>
            <w:r>
              <w:rPr>
                <w:bCs/>
                <w:color w:val="auto"/>
                <w:szCs w:val="21"/>
              </w:rPr>
              <w:t>16米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45</w:t>
            </w:r>
          </w:p>
        </w:tc>
        <w:tc>
          <w:tcPr>
            <w:tcW w:w="2108" w:type="dxa"/>
            <w:vAlign w:val="center"/>
          </w:tcPr>
          <w:p>
            <w:pPr>
              <w:jc w:val="center"/>
              <w:rPr>
                <w:color w:val="auto"/>
                <w:szCs w:val="21"/>
              </w:rPr>
            </w:pPr>
            <w:r>
              <w:rPr>
                <w:bCs/>
                <w:color w:val="auto"/>
                <w:szCs w:val="21"/>
              </w:rPr>
              <w:t>胶粉上料蛟龙</w:t>
            </w:r>
          </w:p>
        </w:tc>
        <w:tc>
          <w:tcPr>
            <w:tcW w:w="2756" w:type="dxa"/>
            <w:vAlign w:val="center"/>
          </w:tcPr>
          <w:p>
            <w:pPr>
              <w:jc w:val="center"/>
              <w:rPr>
                <w:color w:val="auto"/>
                <w:szCs w:val="21"/>
              </w:rPr>
            </w:pPr>
            <w:r>
              <w:rPr>
                <w:bCs/>
                <w:color w:val="auto"/>
                <w:szCs w:val="21"/>
              </w:rPr>
              <w:t>6米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46</w:t>
            </w:r>
          </w:p>
        </w:tc>
        <w:tc>
          <w:tcPr>
            <w:tcW w:w="2108" w:type="dxa"/>
            <w:vAlign w:val="center"/>
          </w:tcPr>
          <w:p>
            <w:pPr>
              <w:jc w:val="center"/>
              <w:rPr>
                <w:color w:val="auto"/>
                <w:szCs w:val="21"/>
              </w:rPr>
            </w:pPr>
            <w:r>
              <w:rPr>
                <w:bCs/>
                <w:color w:val="auto"/>
                <w:szCs w:val="21"/>
              </w:rPr>
              <w:t>胶粉输送蛟龙</w:t>
            </w:r>
          </w:p>
        </w:tc>
        <w:tc>
          <w:tcPr>
            <w:tcW w:w="2756" w:type="dxa"/>
            <w:vAlign w:val="center"/>
          </w:tcPr>
          <w:p>
            <w:pPr>
              <w:jc w:val="center"/>
              <w:rPr>
                <w:color w:val="auto"/>
                <w:szCs w:val="21"/>
              </w:rPr>
            </w:pPr>
            <w:r>
              <w:rPr>
                <w:bCs/>
                <w:color w:val="auto"/>
                <w:szCs w:val="21"/>
              </w:rPr>
              <w:t>16米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0" w:type="dxa"/>
            <w:vMerge w:val="continue"/>
            <w:vAlign w:val="center"/>
          </w:tcPr>
          <w:p>
            <w:pPr>
              <w:ind w:left="-63" w:leftChars="-30" w:right="-63" w:rightChars="-30"/>
              <w:jc w:val="center"/>
              <w:rPr>
                <w:color w:val="auto"/>
                <w:szCs w:val="21"/>
              </w:rPr>
            </w:pPr>
          </w:p>
        </w:tc>
        <w:tc>
          <w:tcPr>
            <w:tcW w:w="390" w:type="dxa"/>
            <w:vAlign w:val="center"/>
          </w:tcPr>
          <w:p>
            <w:pPr>
              <w:ind w:left="-63" w:leftChars="-30" w:right="-63" w:rightChars="-30"/>
              <w:jc w:val="center"/>
              <w:rPr>
                <w:color w:val="auto"/>
                <w:szCs w:val="21"/>
              </w:rPr>
            </w:pPr>
            <w:r>
              <w:rPr>
                <w:color w:val="auto"/>
                <w:szCs w:val="21"/>
              </w:rPr>
              <w:t>47</w:t>
            </w:r>
          </w:p>
        </w:tc>
        <w:tc>
          <w:tcPr>
            <w:tcW w:w="2108" w:type="dxa"/>
            <w:vAlign w:val="center"/>
          </w:tcPr>
          <w:p>
            <w:pPr>
              <w:jc w:val="center"/>
              <w:rPr>
                <w:color w:val="auto"/>
                <w:szCs w:val="21"/>
              </w:rPr>
            </w:pPr>
            <w:r>
              <w:rPr>
                <w:bCs/>
                <w:color w:val="auto"/>
                <w:szCs w:val="21"/>
              </w:rPr>
              <w:t>液下下料蛟龙</w:t>
            </w:r>
          </w:p>
        </w:tc>
        <w:tc>
          <w:tcPr>
            <w:tcW w:w="2756" w:type="dxa"/>
            <w:vAlign w:val="center"/>
          </w:tcPr>
          <w:p>
            <w:pPr>
              <w:jc w:val="center"/>
              <w:rPr>
                <w:color w:val="auto"/>
                <w:szCs w:val="21"/>
              </w:rPr>
            </w:pPr>
            <w:r>
              <w:rPr>
                <w:bCs/>
                <w:color w:val="auto"/>
                <w:szCs w:val="21"/>
              </w:rPr>
              <w:t>3米</w:t>
            </w:r>
          </w:p>
        </w:tc>
        <w:tc>
          <w:tcPr>
            <w:tcW w:w="750" w:type="dxa"/>
            <w:vAlign w:val="center"/>
          </w:tcPr>
          <w:p>
            <w:pPr>
              <w:ind w:left="-63" w:leftChars="-30" w:right="-63" w:rightChars="-30"/>
              <w:jc w:val="center"/>
              <w:rPr>
                <w:color w:val="auto"/>
                <w:szCs w:val="21"/>
              </w:rPr>
            </w:pPr>
            <w:r>
              <w:rPr>
                <w:color w:val="auto"/>
                <w:szCs w:val="21"/>
              </w:rPr>
              <w:t>1</w:t>
            </w:r>
          </w:p>
        </w:tc>
        <w:tc>
          <w:tcPr>
            <w:tcW w:w="413" w:type="dxa"/>
            <w:vAlign w:val="center"/>
          </w:tcPr>
          <w:p>
            <w:pPr>
              <w:ind w:left="-63" w:leftChars="-30" w:right="-63" w:rightChars="-30"/>
              <w:jc w:val="center"/>
              <w:rPr>
                <w:color w:val="auto"/>
                <w:szCs w:val="21"/>
              </w:rPr>
            </w:pPr>
            <w:r>
              <w:rPr>
                <w:color w:val="auto"/>
                <w:szCs w:val="21"/>
              </w:rPr>
              <w:t>套</w:t>
            </w:r>
          </w:p>
        </w:tc>
        <w:tc>
          <w:tcPr>
            <w:tcW w:w="751" w:type="dxa"/>
            <w:vAlign w:val="center"/>
          </w:tcPr>
          <w:p>
            <w:pPr>
              <w:ind w:left="-63" w:leftChars="-30" w:right="-63" w:rightChars="-30"/>
              <w:jc w:val="center"/>
              <w:rPr>
                <w:color w:val="auto"/>
                <w:szCs w:val="21"/>
              </w:rPr>
            </w:pPr>
            <w:r>
              <w:rPr>
                <w:color w:val="auto"/>
                <w:szCs w:val="21"/>
              </w:rPr>
              <w:t>0</w:t>
            </w:r>
          </w:p>
        </w:tc>
        <w:tc>
          <w:tcPr>
            <w:tcW w:w="1130" w:type="dxa"/>
            <w:vAlign w:val="center"/>
          </w:tcPr>
          <w:p>
            <w:pPr>
              <w:ind w:left="-63" w:leftChars="-30" w:right="-63" w:rightChars="-30"/>
              <w:jc w:val="center"/>
              <w:rPr>
                <w:color w:val="auto"/>
                <w:szCs w:val="21"/>
              </w:rPr>
            </w:pPr>
            <w:r>
              <w:rPr>
                <w:color w:val="auto"/>
                <w:szCs w:val="21"/>
              </w:rPr>
              <w:t>+1</w:t>
            </w:r>
          </w:p>
        </w:tc>
      </w:tr>
    </w:tbl>
    <w:p>
      <w:pPr>
        <w:pStyle w:val="7"/>
        <w:numPr>
          <w:ilvl w:val="2"/>
          <w:numId w:val="0"/>
        </w:numPr>
        <w:tabs>
          <w:tab w:val="clear" w:pos="720"/>
        </w:tabs>
        <w:spacing w:before="159" w:after="159"/>
        <w:rPr>
          <w:color w:val="auto"/>
        </w:rPr>
      </w:pPr>
      <w:bookmarkStart w:id="452" w:name="_Toc5070"/>
      <w:r>
        <w:rPr>
          <w:rFonts w:hint="eastAsia"/>
          <w:color w:val="auto"/>
        </w:rPr>
        <w:t>4</w:t>
      </w:r>
      <w:r>
        <w:rPr>
          <w:color w:val="auto"/>
        </w:rPr>
        <w:t>.3.4</w:t>
      </w:r>
      <w:r>
        <w:rPr>
          <w:rFonts w:hint="eastAsia"/>
          <w:color w:val="auto"/>
        </w:rPr>
        <w:t xml:space="preserve">  </w:t>
      </w:r>
      <w:r>
        <w:rPr>
          <w:color w:val="auto"/>
        </w:rPr>
        <w:t>产品规模</w:t>
      </w:r>
      <w:bookmarkEnd w:id="451"/>
      <w:bookmarkEnd w:id="452"/>
    </w:p>
    <w:p>
      <w:pPr>
        <w:spacing w:line="336" w:lineRule="auto"/>
        <w:ind w:firstLine="480" w:firstLineChars="200"/>
        <w:rPr>
          <w:color w:val="auto"/>
          <w:kern w:val="0"/>
          <w:sz w:val="24"/>
          <w:lang w:val="zh-CN"/>
        </w:rPr>
      </w:pPr>
      <w:r>
        <w:rPr>
          <w:color w:val="auto"/>
          <w:sz w:val="24"/>
        </w:rPr>
        <w:t>项目</w:t>
      </w:r>
      <w:r>
        <w:rPr>
          <w:rFonts w:hint="eastAsia"/>
          <w:color w:val="auto"/>
          <w:sz w:val="24"/>
        </w:rPr>
        <w:t>主要对不含元器件、</w:t>
      </w:r>
      <w:r>
        <w:rPr>
          <w:color w:val="auto"/>
          <w:sz w:val="24"/>
        </w:rPr>
        <w:t>芯片、插件、贴脚</w:t>
      </w:r>
      <w:r>
        <w:rPr>
          <w:rFonts w:hint="eastAsia"/>
          <w:color w:val="auto"/>
          <w:sz w:val="24"/>
        </w:rPr>
        <w:t>的废覆铜板进行回收，回收量为3万t/a。废覆铜板回收后将其破碎分选后和得出铜粉和废树脂粉，其中铜粉直接外售，废树脂粉用于制作防水卷材。因此，本项目</w:t>
      </w:r>
      <w:r>
        <w:rPr>
          <w:color w:val="auto"/>
          <w:sz w:val="24"/>
        </w:rPr>
        <w:t>产品主要是</w:t>
      </w:r>
      <w:r>
        <w:rPr>
          <w:rFonts w:hint="eastAsia"/>
          <w:color w:val="auto"/>
          <w:sz w:val="24"/>
        </w:rPr>
        <w:t>防水卷材和铜粉，</w:t>
      </w:r>
      <w:r>
        <w:rPr>
          <w:color w:val="auto"/>
          <w:sz w:val="24"/>
        </w:rPr>
        <w:t>本项目投产后，预计产品方案见</w:t>
      </w:r>
      <w:r>
        <w:rPr>
          <w:rFonts w:hint="eastAsia"/>
          <w:color w:val="auto"/>
          <w:sz w:val="24"/>
        </w:rPr>
        <w:t>下表</w:t>
      </w:r>
      <w:r>
        <w:rPr>
          <w:color w:val="auto"/>
          <w:sz w:val="24"/>
        </w:rPr>
        <w:t xml:space="preserve">。 </w:t>
      </w:r>
    </w:p>
    <w:p>
      <w:pPr>
        <w:pStyle w:val="52"/>
        <w:spacing w:line="348" w:lineRule="auto"/>
        <w:ind w:firstLine="0"/>
        <w:jc w:val="center"/>
        <w:rPr>
          <w:b/>
          <w:color w:val="auto"/>
          <w:sz w:val="21"/>
          <w:szCs w:val="21"/>
        </w:rPr>
      </w:pPr>
      <w:r>
        <w:rPr>
          <w:b/>
          <w:color w:val="auto"/>
          <w:sz w:val="21"/>
          <w:szCs w:val="21"/>
        </w:rPr>
        <w:t>表</w:t>
      </w:r>
      <w:r>
        <w:rPr>
          <w:rFonts w:hint="eastAsia"/>
          <w:b/>
          <w:color w:val="auto"/>
          <w:sz w:val="21"/>
          <w:szCs w:val="21"/>
        </w:rPr>
        <w:t xml:space="preserve">4.3-5 </w:t>
      </w:r>
      <w:r>
        <w:rPr>
          <w:b/>
          <w:color w:val="auto"/>
          <w:sz w:val="21"/>
          <w:szCs w:val="21"/>
        </w:rPr>
        <w:t xml:space="preserve"> 本项目产品方案</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3354"/>
        <w:gridCol w:w="3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pPr>
              <w:pStyle w:val="52"/>
              <w:spacing w:line="240" w:lineRule="auto"/>
              <w:ind w:firstLine="0"/>
              <w:jc w:val="center"/>
              <w:rPr>
                <w:color w:val="auto"/>
                <w:kern w:val="28"/>
                <w:sz w:val="21"/>
                <w:szCs w:val="21"/>
              </w:rPr>
            </w:pPr>
            <w:r>
              <w:rPr>
                <w:color w:val="auto"/>
                <w:kern w:val="28"/>
                <w:sz w:val="21"/>
                <w:szCs w:val="21"/>
              </w:rPr>
              <w:t>序号</w:t>
            </w:r>
          </w:p>
        </w:tc>
        <w:tc>
          <w:tcPr>
            <w:tcW w:w="3354" w:type="dxa"/>
            <w:tcBorders>
              <w:tl2br w:val="nil"/>
              <w:tr2bl w:val="nil"/>
            </w:tcBorders>
            <w:vAlign w:val="center"/>
          </w:tcPr>
          <w:p>
            <w:pPr>
              <w:pStyle w:val="52"/>
              <w:spacing w:line="240" w:lineRule="auto"/>
              <w:ind w:firstLine="0"/>
              <w:jc w:val="center"/>
              <w:rPr>
                <w:color w:val="auto"/>
                <w:kern w:val="28"/>
                <w:sz w:val="21"/>
                <w:szCs w:val="21"/>
              </w:rPr>
            </w:pPr>
            <w:r>
              <w:rPr>
                <w:color w:val="auto"/>
                <w:kern w:val="28"/>
                <w:sz w:val="21"/>
                <w:szCs w:val="21"/>
              </w:rPr>
              <w:t>产品种类</w:t>
            </w:r>
          </w:p>
        </w:tc>
        <w:tc>
          <w:tcPr>
            <w:tcW w:w="3434" w:type="dxa"/>
            <w:tcBorders>
              <w:tl2br w:val="nil"/>
              <w:tr2bl w:val="nil"/>
            </w:tcBorders>
            <w:vAlign w:val="center"/>
          </w:tcPr>
          <w:p>
            <w:pPr>
              <w:pStyle w:val="52"/>
              <w:spacing w:line="240" w:lineRule="auto"/>
              <w:ind w:firstLine="0"/>
              <w:jc w:val="center"/>
              <w:rPr>
                <w:color w:val="auto"/>
                <w:sz w:val="21"/>
                <w:szCs w:val="21"/>
              </w:rPr>
            </w:pPr>
            <w:r>
              <w:rPr>
                <w:color w:val="auto"/>
                <w:kern w:val="28"/>
                <w:sz w:val="21"/>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pPr>
              <w:pStyle w:val="52"/>
              <w:spacing w:line="240" w:lineRule="auto"/>
              <w:ind w:firstLine="0"/>
              <w:jc w:val="center"/>
              <w:rPr>
                <w:color w:val="auto"/>
                <w:kern w:val="28"/>
                <w:sz w:val="21"/>
                <w:szCs w:val="21"/>
              </w:rPr>
            </w:pPr>
            <w:r>
              <w:rPr>
                <w:color w:val="auto"/>
                <w:kern w:val="28"/>
                <w:sz w:val="21"/>
                <w:szCs w:val="21"/>
              </w:rPr>
              <w:t>1</w:t>
            </w:r>
          </w:p>
        </w:tc>
        <w:tc>
          <w:tcPr>
            <w:tcW w:w="3354" w:type="dxa"/>
            <w:tcBorders>
              <w:tl2br w:val="nil"/>
              <w:tr2bl w:val="nil"/>
            </w:tcBorders>
            <w:vAlign w:val="center"/>
          </w:tcPr>
          <w:p>
            <w:pPr>
              <w:pStyle w:val="52"/>
              <w:spacing w:line="240" w:lineRule="auto"/>
              <w:ind w:firstLine="0"/>
              <w:jc w:val="center"/>
              <w:rPr>
                <w:color w:val="auto"/>
                <w:kern w:val="28"/>
                <w:sz w:val="21"/>
                <w:szCs w:val="21"/>
              </w:rPr>
            </w:pPr>
            <w:r>
              <w:rPr>
                <w:rFonts w:hint="eastAsia"/>
                <w:color w:val="auto"/>
                <w:sz w:val="21"/>
                <w:szCs w:val="21"/>
              </w:rPr>
              <w:t>铜粉</w:t>
            </w:r>
          </w:p>
        </w:tc>
        <w:tc>
          <w:tcPr>
            <w:tcW w:w="3434" w:type="dxa"/>
            <w:tcBorders>
              <w:tl2br w:val="nil"/>
              <w:tr2bl w:val="nil"/>
            </w:tcBorders>
            <w:vAlign w:val="center"/>
          </w:tcPr>
          <w:p>
            <w:pPr>
              <w:pStyle w:val="52"/>
              <w:spacing w:line="240" w:lineRule="auto"/>
              <w:ind w:firstLine="0"/>
              <w:jc w:val="center"/>
              <w:rPr>
                <w:color w:val="auto"/>
                <w:sz w:val="21"/>
                <w:szCs w:val="21"/>
              </w:rPr>
            </w:pPr>
            <w:r>
              <w:rPr>
                <w:rFonts w:hint="eastAsia"/>
                <w:color w:val="auto"/>
                <w:kern w:val="28"/>
                <w:sz w:val="21"/>
                <w:szCs w:val="21"/>
              </w:rPr>
              <w:t>23574t/a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pPr>
              <w:pStyle w:val="52"/>
              <w:spacing w:line="240" w:lineRule="auto"/>
              <w:ind w:firstLine="0"/>
              <w:jc w:val="center"/>
              <w:rPr>
                <w:color w:val="auto"/>
                <w:kern w:val="28"/>
                <w:sz w:val="21"/>
                <w:szCs w:val="21"/>
              </w:rPr>
            </w:pPr>
            <w:r>
              <w:rPr>
                <w:color w:val="auto"/>
                <w:kern w:val="28"/>
                <w:sz w:val="21"/>
                <w:szCs w:val="21"/>
              </w:rPr>
              <w:t>2</w:t>
            </w:r>
          </w:p>
        </w:tc>
        <w:tc>
          <w:tcPr>
            <w:tcW w:w="3354" w:type="dxa"/>
            <w:tcBorders>
              <w:tl2br w:val="nil"/>
              <w:tr2bl w:val="nil"/>
            </w:tcBorders>
            <w:vAlign w:val="center"/>
          </w:tcPr>
          <w:p>
            <w:pPr>
              <w:pStyle w:val="52"/>
              <w:spacing w:line="240" w:lineRule="auto"/>
              <w:ind w:firstLine="0"/>
              <w:jc w:val="center"/>
              <w:rPr>
                <w:color w:val="auto"/>
                <w:kern w:val="28"/>
                <w:sz w:val="21"/>
                <w:szCs w:val="21"/>
              </w:rPr>
            </w:pPr>
            <w:r>
              <w:rPr>
                <w:rFonts w:hint="eastAsia"/>
                <w:color w:val="auto"/>
                <w:sz w:val="21"/>
                <w:szCs w:val="21"/>
              </w:rPr>
              <w:t>防水卷材</w:t>
            </w:r>
          </w:p>
        </w:tc>
        <w:tc>
          <w:tcPr>
            <w:tcW w:w="3434" w:type="dxa"/>
            <w:tcBorders>
              <w:tl2br w:val="nil"/>
              <w:tr2bl w:val="nil"/>
            </w:tcBorders>
            <w:vAlign w:val="center"/>
          </w:tcPr>
          <w:p>
            <w:pPr>
              <w:pStyle w:val="52"/>
              <w:spacing w:line="240" w:lineRule="auto"/>
              <w:ind w:firstLine="0"/>
              <w:jc w:val="center"/>
              <w:rPr>
                <w:color w:val="auto"/>
                <w:sz w:val="21"/>
                <w:szCs w:val="21"/>
              </w:rPr>
            </w:pPr>
            <w:r>
              <w:rPr>
                <w:rFonts w:hint="eastAsia"/>
                <w:color w:val="auto"/>
                <w:kern w:val="28"/>
                <w:sz w:val="21"/>
                <w:szCs w:val="21"/>
              </w:rPr>
              <w:t>2.3万t/a（1000万m</w:t>
            </w:r>
            <w:r>
              <w:rPr>
                <w:rFonts w:hint="eastAsia"/>
                <w:color w:val="auto"/>
                <w:kern w:val="28"/>
                <w:sz w:val="21"/>
                <w:szCs w:val="21"/>
                <w:vertAlign w:val="superscript"/>
              </w:rPr>
              <w:t>2</w:t>
            </w:r>
            <w:r>
              <w:rPr>
                <w:rFonts w:hint="eastAsia"/>
                <w:color w:val="auto"/>
                <w:kern w:val="28"/>
                <w:sz w:val="21"/>
                <w:szCs w:val="21"/>
              </w:rPr>
              <w:t>/a）</w:t>
            </w:r>
          </w:p>
        </w:tc>
      </w:tr>
    </w:tbl>
    <w:p>
      <w:pPr>
        <w:pStyle w:val="5"/>
        <w:numPr>
          <w:ilvl w:val="1"/>
          <w:numId w:val="0"/>
        </w:numPr>
        <w:tabs>
          <w:tab w:val="clear" w:pos="720"/>
        </w:tabs>
        <w:spacing w:before="159" w:after="159"/>
        <w:rPr>
          <w:color w:val="auto"/>
        </w:rPr>
      </w:pPr>
      <w:bookmarkStart w:id="453" w:name="_Toc20193"/>
      <w:bookmarkStart w:id="454" w:name="_Toc17464"/>
      <w:bookmarkStart w:id="455" w:name="_Toc24035"/>
      <w:bookmarkStart w:id="456" w:name="_Toc32416"/>
      <w:r>
        <w:rPr>
          <w:rFonts w:hint="eastAsia"/>
          <w:color w:val="auto"/>
        </w:rPr>
        <w:t xml:space="preserve">4.4  </w:t>
      </w:r>
      <w:r>
        <w:rPr>
          <w:color w:val="auto"/>
        </w:rPr>
        <w:t>工程分析</w:t>
      </w:r>
      <w:bookmarkEnd w:id="453"/>
      <w:bookmarkEnd w:id="454"/>
      <w:bookmarkEnd w:id="455"/>
      <w:bookmarkEnd w:id="456"/>
    </w:p>
    <w:p>
      <w:pPr>
        <w:pStyle w:val="7"/>
        <w:numPr>
          <w:ilvl w:val="2"/>
          <w:numId w:val="0"/>
        </w:numPr>
        <w:tabs>
          <w:tab w:val="clear" w:pos="720"/>
        </w:tabs>
        <w:spacing w:before="159" w:after="159"/>
        <w:rPr>
          <w:color w:val="auto"/>
        </w:rPr>
      </w:pPr>
      <w:bookmarkStart w:id="457" w:name="_Toc13546"/>
      <w:bookmarkStart w:id="458" w:name="_Toc13725"/>
      <w:r>
        <w:rPr>
          <w:rFonts w:hint="eastAsia"/>
          <w:color w:val="auto"/>
        </w:rPr>
        <w:t xml:space="preserve">4.4.1  </w:t>
      </w:r>
      <w:r>
        <w:rPr>
          <w:color w:val="auto"/>
        </w:rPr>
        <w:t>工艺</w:t>
      </w:r>
      <w:r>
        <w:rPr>
          <w:rFonts w:hint="eastAsia"/>
          <w:color w:val="auto"/>
        </w:rPr>
        <w:t>概况及</w:t>
      </w:r>
      <w:r>
        <w:rPr>
          <w:color w:val="auto"/>
        </w:rPr>
        <w:t>原理</w:t>
      </w:r>
      <w:bookmarkEnd w:id="457"/>
    </w:p>
    <w:p>
      <w:pPr>
        <w:spacing w:line="360" w:lineRule="auto"/>
        <w:ind w:firstLine="480" w:firstLineChars="200"/>
        <w:rPr>
          <w:color w:val="auto"/>
          <w:sz w:val="24"/>
        </w:rPr>
      </w:pPr>
      <w:r>
        <w:rPr>
          <w:color w:val="auto"/>
          <w:sz w:val="24"/>
        </w:rPr>
        <w:t>（1）湿式破碎生产线</w:t>
      </w:r>
    </w:p>
    <w:p>
      <w:pPr>
        <w:pStyle w:val="53"/>
        <w:ind w:firstLine="480"/>
        <w:rPr>
          <w:color w:val="auto"/>
          <w:sz w:val="24"/>
        </w:rPr>
      </w:pPr>
      <w:r>
        <w:rPr>
          <w:color w:val="auto"/>
          <w:sz w:val="24"/>
        </w:rPr>
        <w:t>湿式破碎车间内共设置8条破碎生产线用于处理废覆铜板，合计处理能力为3万t/a。每条湿式破碎生产线由1台一级破碎机，3台二级破碎机，10台分选摇床和1个二级沉淀池组成。本项目的湿式破碎工艺主要依靠破碎机对覆铜板进行破碎，采用多级数合金钢材刀片进行破碎，并采用减震垫，可以降低设备运行时产生的噪音。废覆铜板经充分破碎后成块的覆铜板变成了粒径0.2-0.3mm的粉末状混合物，其中主要为铜粉和废树脂粉。在分选步骤中，利用铜粉和废树脂粉的密度不同的特性，对其进行分选。在整个回收过程中仅使用水流进行冲刷，无需使用其他原辅料或添加剂，整个过程仅涉及物理作用，不涉及化学反应。经湿式破碎生产线处理后得到的铜粉对外销售，树脂粉内部消化，作为原料用于防水卷材的生产。</w:t>
      </w:r>
    </w:p>
    <w:p>
      <w:pPr>
        <w:adjustRightInd w:val="0"/>
        <w:snapToGrid w:val="0"/>
        <w:spacing w:line="360" w:lineRule="auto"/>
        <w:ind w:firstLine="480"/>
        <w:jc w:val="left"/>
        <w:rPr>
          <w:color w:val="auto"/>
          <w:sz w:val="24"/>
        </w:rPr>
      </w:pPr>
      <w:r>
        <w:rPr>
          <w:color w:val="auto"/>
          <w:sz w:val="24"/>
        </w:rPr>
        <w:t>（2）卷材生产线</w:t>
      </w:r>
    </w:p>
    <w:p>
      <w:pPr>
        <w:adjustRightInd w:val="0"/>
        <w:snapToGrid w:val="0"/>
        <w:spacing w:line="360" w:lineRule="auto"/>
        <w:ind w:firstLine="480"/>
        <w:jc w:val="left"/>
        <w:rPr>
          <w:color w:val="auto"/>
          <w:sz w:val="24"/>
        </w:rPr>
      </w:pPr>
      <w:r>
        <w:rPr>
          <w:color w:val="auto"/>
          <w:sz w:val="24"/>
        </w:rPr>
        <w:t>项目生产的防水卷材从种类上分类，为自粘聚合物改性沥青防水卷材，产品执行标准：《自粘聚合物改性沥青防水卷材》（GB/23441-2009）。其主要以沥青为基础材料，以聚酯油毡基布为胎体，以SBS颗粒、废树脂粉、SBR颗粒为改性材料，以滑石粉为填料，以PE膜为隔离材料制成防水卷材。</w:t>
      </w:r>
    </w:p>
    <w:p>
      <w:pPr>
        <w:adjustRightInd w:val="0"/>
        <w:snapToGrid w:val="0"/>
        <w:spacing w:line="360" w:lineRule="auto"/>
        <w:ind w:firstLine="480"/>
        <w:jc w:val="left"/>
        <w:rPr>
          <w:color w:val="auto"/>
          <w:sz w:val="24"/>
        </w:rPr>
      </w:pPr>
      <w:r>
        <w:rPr>
          <w:color w:val="auto"/>
          <w:sz w:val="24"/>
        </w:rPr>
        <w:t>项目生产工艺从原理上为利用沥青、SBS、SBR等原</w:t>
      </w:r>
      <w:r>
        <w:rPr>
          <w:rFonts w:hint="eastAsia"/>
          <w:color w:val="auto"/>
          <w:sz w:val="24"/>
        </w:rPr>
        <w:t>料</w:t>
      </w:r>
      <w:r>
        <w:rPr>
          <w:color w:val="auto"/>
          <w:sz w:val="24"/>
        </w:rPr>
        <w:t>进行“交联”、“熟化”或“架桥”反应，即线</w:t>
      </w:r>
      <w:r>
        <w:rPr>
          <w:rFonts w:hint="eastAsia"/>
          <w:color w:val="auto"/>
          <w:sz w:val="24"/>
        </w:rPr>
        <w:t>型或轻度支链型的大分子</w:t>
      </w:r>
      <w:r>
        <w:rPr>
          <w:color w:val="auto"/>
          <w:sz w:val="24"/>
        </w:rPr>
        <w:t>通过交联作用而形成的三维网状高分子的工艺过程。</w:t>
      </w:r>
      <w:r>
        <w:rPr>
          <w:rFonts w:hint="eastAsia"/>
          <w:color w:val="auto"/>
          <w:sz w:val="24"/>
        </w:rPr>
        <w:t>生产时以软化油辅助，将各种材料充分混合，加热使其中的沥青等物料融化并提供足够的能量，然后通过胶磨操作使物料乳化、分散和均质，随后将胎体浸入其中，浓稠糊状的混合液将粘附在作为基材的胎体的两面。趁其尚未完全冷却时在表面覆盖上PE膜，冷却后各材料交联成型，形成三维结构的混合体。经过处理后，防水卷材在力学强度、弹性、</w:t>
      </w:r>
      <w:r>
        <w:rPr>
          <w:color w:val="auto"/>
          <w:sz w:val="24"/>
        </w:rPr>
        <w:fldChar w:fldCharType="begin"/>
      </w:r>
      <w:r>
        <w:rPr>
          <w:color w:val="auto"/>
          <w:sz w:val="24"/>
        </w:rPr>
        <w:instrText xml:space="preserve"> HYPERLINK "https://baike.baidu.com/item/%E5%B0%BA%E5%AF%B8%E7%A8%B3%E5%AE%9A%E6%80%A7" \t "https://baike.baidu.com/item/%E4%BA%A4%E8%81%94%E5%8F%8D%E5%BA%94/_blank" </w:instrText>
      </w:r>
      <w:r>
        <w:rPr>
          <w:color w:val="auto"/>
          <w:sz w:val="24"/>
        </w:rPr>
        <w:fldChar w:fldCharType="separate"/>
      </w:r>
      <w:r>
        <w:rPr>
          <w:color w:val="auto"/>
          <w:sz w:val="24"/>
        </w:rPr>
        <w:t>尺寸稳定性</w:t>
      </w:r>
      <w:r>
        <w:rPr>
          <w:color w:val="auto"/>
          <w:sz w:val="24"/>
        </w:rPr>
        <w:fldChar w:fldCharType="end"/>
      </w:r>
      <w:r>
        <w:rPr>
          <w:color w:val="auto"/>
          <w:sz w:val="24"/>
        </w:rPr>
        <w:t>、</w:t>
      </w:r>
      <w:r>
        <w:rPr>
          <w:color w:val="auto"/>
        </w:rPr>
        <w:fldChar w:fldCharType="begin"/>
      </w:r>
      <w:r>
        <w:rPr>
          <w:color w:val="auto"/>
        </w:rPr>
        <w:instrText xml:space="preserve"> HYPERLINK "https://baike.baidu.com/item/%E8%80%90%E6%BA%B6%E5%89%82%E6%80%A7" \t "https://baike.baidu.com/item/%E4%BA%A4%E8%81%94%E5%8F%8D%E5%BA%94/_blank" </w:instrText>
      </w:r>
      <w:r>
        <w:rPr>
          <w:color w:val="auto"/>
        </w:rPr>
        <w:fldChar w:fldCharType="separate"/>
      </w:r>
      <w:r>
        <w:rPr>
          <w:color w:val="auto"/>
          <w:sz w:val="24"/>
        </w:rPr>
        <w:t>耐溶剂性</w:t>
      </w:r>
      <w:r>
        <w:rPr>
          <w:color w:val="auto"/>
          <w:sz w:val="24"/>
        </w:rPr>
        <w:fldChar w:fldCharType="end"/>
      </w:r>
      <w:r>
        <w:rPr>
          <w:color w:val="auto"/>
          <w:sz w:val="24"/>
        </w:rPr>
        <w:t>或化学稳定性等方面均有改善</w:t>
      </w:r>
      <w:r>
        <w:rPr>
          <w:rFonts w:hint="eastAsia"/>
          <w:color w:val="auto"/>
          <w:sz w:val="24"/>
        </w:rPr>
        <w:t>。</w:t>
      </w:r>
    </w:p>
    <w:p>
      <w:pPr>
        <w:pStyle w:val="7"/>
        <w:numPr>
          <w:ilvl w:val="2"/>
          <w:numId w:val="0"/>
        </w:numPr>
        <w:tabs>
          <w:tab w:val="clear" w:pos="720"/>
        </w:tabs>
        <w:spacing w:before="159" w:after="159"/>
        <w:rPr>
          <w:color w:val="auto"/>
        </w:rPr>
      </w:pPr>
      <w:bookmarkStart w:id="459" w:name="_Toc19575"/>
      <w:r>
        <w:rPr>
          <w:rFonts w:hint="eastAsia"/>
          <w:color w:val="auto"/>
        </w:rPr>
        <w:t xml:space="preserve">4.4.2  </w:t>
      </w:r>
      <w:r>
        <w:rPr>
          <w:color w:val="auto"/>
        </w:rPr>
        <w:t>工艺流程</w:t>
      </w:r>
      <w:bookmarkEnd w:id="458"/>
      <w:bookmarkEnd w:id="459"/>
    </w:p>
    <w:p>
      <w:pPr>
        <w:adjustRightInd w:val="0"/>
        <w:snapToGrid w:val="0"/>
        <w:spacing w:line="360" w:lineRule="auto"/>
        <w:ind w:firstLine="480"/>
        <w:jc w:val="left"/>
        <w:rPr>
          <w:color w:val="auto"/>
          <w:sz w:val="24"/>
        </w:rPr>
      </w:pPr>
      <w:r>
        <w:rPr>
          <w:color w:val="auto"/>
          <w:sz w:val="24"/>
        </w:rPr>
        <w:t>根据建设单位提供资料，本项目</w:t>
      </w:r>
      <w:r>
        <w:rPr>
          <w:rFonts w:hint="eastAsia"/>
          <w:color w:val="auto"/>
          <w:sz w:val="24"/>
        </w:rPr>
        <w:t>的湿式破碎生产线及卷材生产线的工艺流程图如下。</w:t>
      </w:r>
    </w:p>
    <w:p>
      <w:pPr>
        <w:adjustRightInd w:val="0"/>
        <w:snapToGrid w:val="0"/>
        <w:spacing w:line="360" w:lineRule="auto"/>
        <w:ind w:firstLine="480"/>
        <w:jc w:val="left"/>
        <w:rPr>
          <w:color w:val="auto"/>
          <w:sz w:val="24"/>
        </w:rPr>
      </w:pPr>
      <w:r>
        <w:rPr>
          <w:color w:val="auto"/>
          <w:sz w:val="24"/>
        </w:rPr>
        <w:t>（1）</w:t>
      </w:r>
      <w:r>
        <w:rPr>
          <w:rFonts w:hint="eastAsia"/>
          <w:color w:val="auto"/>
          <w:sz w:val="24"/>
        </w:rPr>
        <w:t>湿式破碎生产线</w:t>
      </w:r>
    </w:p>
    <w:p>
      <w:pPr>
        <w:pStyle w:val="32"/>
        <w:jc w:val="center"/>
        <w:rPr>
          <w:color w:val="auto"/>
        </w:rPr>
      </w:pPr>
      <w:r>
        <w:rPr>
          <w:b/>
          <w:color w:val="auto"/>
        </w:rPr>
        <w:object>
          <v:shape id="_x0000_i1026" o:spt="75" type="#_x0000_t75" style="height:481.25pt;width:462.05pt;" o:ole="t" filled="f" o:preferrelative="t" stroked="f" coordsize="21600,21600">
            <v:path/>
            <v:fill on="f" focussize="0,0"/>
            <v:stroke on="f"/>
            <v:imagedata r:id="rId59" o:title=""/>
            <o:lock v:ext="edit" aspectratio="f"/>
            <w10:wrap type="none"/>
            <w10:anchorlock/>
          </v:shape>
          <o:OLEObject Type="Embed" ProgID="Visio.Drawing.11" ShapeID="_x0000_i1026" DrawAspect="Content" ObjectID="_1468075726" r:id="rId58">
            <o:LockedField>false</o:LockedField>
          </o:OLEObject>
        </w:object>
      </w:r>
      <w:r>
        <w:rPr>
          <w:b/>
          <w:color w:val="auto"/>
        </w:rPr>
        <w:t>图</w:t>
      </w:r>
      <w:r>
        <w:rPr>
          <w:rFonts w:hint="eastAsia"/>
          <w:b/>
          <w:color w:val="auto"/>
        </w:rPr>
        <w:t>4</w:t>
      </w:r>
      <w:r>
        <w:rPr>
          <w:b/>
          <w:color w:val="auto"/>
        </w:rPr>
        <w:t>.4-1</w:t>
      </w:r>
      <w:r>
        <w:rPr>
          <w:rFonts w:hint="eastAsia"/>
          <w:b/>
          <w:color w:val="auto"/>
        </w:rPr>
        <w:t xml:space="preserve">  湿式破碎生产线</w:t>
      </w:r>
      <w:r>
        <w:rPr>
          <w:b/>
          <w:color w:val="auto"/>
        </w:rPr>
        <w:t>工艺流程图</w:t>
      </w:r>
    </w:p>
    <w:p>
      <w:pPr>
        <w:spacing w:line="360" w:lineRule="auto"/>
        <w:ind w:firstLine="480"/>
        <w:rPr>
          <w:color w:val="auto"/>
          <w:sz w:val="24"/>
        </w:rPr>
      </w:pPr>
      <w:r>
        <w:rPr>
          <w:rFonts w:hint="eastAsia"/>
          <w:color w:val="auto"/>
          <w:sz w:val="24"/>
        </w:rPr>
        <w:t>湿式破碎生产线</w:t>
      </w:r>
      <w:r>
        <w:rPr>
          <w:color w:val="auto"/>
          <w:sz w:val="24"/>
        </w:rPr>
        <w:t>工艺</w:t>
      </w:r>
      <w:r>
        <w:rPr>
          <w:rFonts w:hint="eastAsia"/>
          <w:color w:val="auto"/>
          <w:sz w:val="24"/>
        </w:rPr>
        <w:t>流程</w:t>
      </w:r>
      <w:r>
        <w:rPr>
          <w:color w:val="auto"/>
          <w:sz w:val="24"/>
        </w:rPr>
        <w:t>说明：</w:t>
      </w:r>
    </w:p>
    <w:p>
      <w:pPr>
        <w:spacing w:line="360" w:lineRule="auto"/>
        <w:ind w:firstLine="480"/>
        <w:rPr>
          <w:color w:val="auto"/>
          <w:sz w:val="24"/>
        </w:rPr>
      </w:pPr>
      <w:r>
        <w:rPr>
          <w:color w:val="auto"/>
          <w:sz w:val="24"/>
        </w:rPr>
        <w:t>①</w:t>
      </w:r>
      <w:r>
        <w:rPr>
          <w:rFonts w:hint="eastAsia"/>
          <w:color w:val="auto"/>
          <w:sz w:val="24"/>
        </w:rPr>
        <w:t>检查</w:t>
      </w:r>
    </w:p>
    <w:p>
      <w:pPr>
        <w:spacing w:line="360" w:lineRule="auto"/>
        <w:ind w:firstLine="480"/>
        <w:rPr>
          <w:color w:val="auto"/>
          <w:sz w:val="24"/>
        </w:rPr>
      </w:pPr>
      <w:r>
        <w:rPr>
          <w:rFonts w:hint="eastAsia"/>
          <w:color w:val="auto"/>
          <w:sz w:val="24"/>
        </w:rPr>
        <w:t>对回收回来的废覆铜板进行检查，将其表面覆盖的塑料膜去除。</w:t>
      </w:r>
    </w:p>
    <w:p>
      <w:pPr>
        <w:spacing w:line="360" w:lineRule="auto"/>
        <w:ind w:firstLine="480"/>
        <w:rPr>
          <w:color w:val="auto"/>
          <w:sz w:val="24"/>
        </w:rPr>
      </w:pPr>
      <w:r>
        <w:rPr>
          <w:rFonts w:hint="eastAsia"/>
          <w:color w:val="auto"/>
          <w:sz w:val="24"/>
        </w:rPr>
        <w:t>②</w:t>
      </w:r>
      <w:r>
        <w:rPr>
          <w:color w:val="auto"/>
          <w:sz w:val="24"/>
        </w:rPr>
        <w:t>一破</w:t>
      </w:r>
    </w:p>
    <w:p>
      <w:pPr>
        <w:spacing w:line="360" w:lineRule="auto"/>
        <w:ind w:firstLine="480"/>
        <w:rPr>
          <w:color w:val="auto"/>
          <w:sz w:val="24"/>
        </w:rPr>
      </w:pPr>
      <w:r>
        <w:rPr>
          <w:rFonts w:hint="eastAsia"/>
          <w:color w:val="auto"/>
          <w:sz w:val="24"/>
        </w:rPr>
        <w:t>即第一次破碎，</w:t>
      </w:r>
      <w:r>
        <w:rPr>
          <w:color w:val="auto"/>
          <w:sz w:val="24"/>
        </w:rPr>
        <w:t>将条状或块状的无电子元器件</w:t>
      </w:r>
      <w:r>
        <w:rPr>
          <w:rFonts w:hint="eastAsia"/>
          <w:color w:val="auto"/>
          <w:sz w:val="24"/>
        </w:rPr>
        <w:t>的覆铜板直接</w:t>
      </w:r>
      <w:r>
        <w:rPr>
          <w:color w:val="auto"/>
          <w:sz w:val="24"/>
        </w:rPr>
        <w:t>破碎</w:t>
      </w:r>
      <w:r>
        <w:rPr>
          <w:rFonts w:hint="eastAsia"/>
          <w:color w:val="auto"/>
          <w:sz w:val="24"/>
        </w:rPr>
        <w:t>成</w:t>
      </w:r>
      <w:r>
        <w:rPr>
          <w:color w:val="auto"/>
          <w:sz w:val="24"/>
        </w:rPr>
        <w:t>0.5-2cm</w:t>
      </w:r>
      <w:r>
        <w:rPr>
          <w:rFonts w:hint="eastAsia"/>
          <w:color w:val="auto"/>
          <w:sz w:val="24"/>
        </w:rPr>
        <w:t>的</w:t>
      </w:r>
      <w:r>
        <w:rPr>
          <w:color w:val="auto"/>
          <w:sz w:val="24"/>
        </w:rPr>
        <w:t>块状，</w:t>
      </w:r>
      <w:r>
        <w:rPr>
          <w:rFonts w:hint="eastAsia"/>
          <w:color w:val="auto"/>
          <w:sz w:val="24"/>
        </w:rPr>
        <w:t>随后</w:t>
      </w:r>
      <w:r>
        <w:rPr>
          <w:color w:val="auto"/>
          <w:sz w:val="24"/>
        </w:rPr>
        <w:t>经皮带运送至二破区域。</w:t>
      </w:r>
      <w:r>
        <w:rPr>
          <w:rFonts w:hint="eastAsia"/>
          <w:color w:val="auto"/>
          <w:sz w:val="24"/>
        </w:rPr>
        <w:t>该工序为干式破碎，故进行时有粉尘产生。</w:t>
      </w:r>
    </w:p>
    <w:p>
      <w:pPr>
        <w:spacing w:line="360" w:lineRule="auto"/>
        <w:ind w:firstLine="480"/>
        <w:rPr>
          <w:color w:val="auto"/>
          <w:sz w:val="24"/>
        </w:rPr>
      </w:pPr>
      <w:r>
        <w:rPr>
          <w:rFonts w:hint="eastAsia"/>
          <w:color w:val="auto"/>
          <w:sz w:val="24"/>
        </w:rPr>
        <w:t>③二破</w:t>
      </w:r>
    </w:p>
    <w:p>
      <w:pPr>
        <w:spacing w:line="360" w:lineRule="auto"/>
        <w:ind w:firstLine="480"/>
        <w:rPr>
          <w:color w:val="auto"/>
          <w:sz w:val="24"/>
        </w:rPr>
      </w:pPr>
      <w:r>
        <w:rPr>
          <w:rFonts w:hint="eastAsia"/>
          <w:color w:val="auto"/>
          <w:sz w:val="24"/>
        </w:rPr>
        <w:t>即第二次破碎，</w:t>
      </w:r>
      <w:r>
        <w:rPr>
          <w:color w:val="auto"/>
          <w:sz w:val="24"/>
        </w:rPr>
        <w:t>将一破后的原料</w:t>
      </w:r>
      <w:r>
        <w:rPr>
          <w:rFonts w:hint="eastAsia"/>
          <w:color w:val="auto"/>
          <w:sz w:val="24"/>
        </w:rPr>
        <w:t>进一步</w:t>
      </w:r>
      <w:r>
        <w:rPr>
          <w:color w:val="auto"/>
          <w:sz w:val="24"/>
        </w:rPr>
        <w:t>破碎成粉末状，</w:t>
      </w:r>
      <w:r>
        <w:rPr>
          <w:rFonts w:hint="eastAsia"/>
          <w:color w:val="auto"/>
          <w:sz w:val="24"/>
        </w:rPr>
        <w:t>破碎过程中使用水进行湿润和降温，属湿式破碎，破碎过程中基本无</w:t>
      </w:r>
      <w:r>
        <w:rPr>
          <w:color w:val="auto"/>
          <w:sz w:val="24"/>
        </w:rPr>
        <w:t>粉末</w:t>
      </w:r>
      <w:r>
        <w:rPr>
          <w:rFonts w:hint="eastAsia"/>
          <w:color w:val="auto"/>
          <w:sz w:val="24"/>
        </w:rPr>
        <w:t>产生，被破碎后的覆铜板形成浆体状后</w:t>
      </w:r>
      <w:r>
        <w:rPr>
          <w:color w:val="auto"/>
          <w:sz w:val="24"/>
        </w:rPr>
        <w:t>由渣浆泵将</w:t>
      </w:r>
      <w:r>
        <w:rPr>
          <w:rFonts w:hint="eastAsia"/>
          <w:color w:val="auto"/>
          <w:sz w:val="24"/>
        </w:rPr>
        <w:t>其</w:t>
      </w:r>
      <w:r>
        <w:rPr>
          <w:color w:val="auto"/>
          <w:sz w:val="24"/>
        </w:rPr>
        <w:t>抽送至各个摇床</w:t>
      </w:r>
      <w:r>
        <w:rPr>
          <w:rFonts w:hint="eastAsia"/>
          <w:color w:val="auto"/>
          <w:sz w:val="24"/>
        </w:rPr>
        <w:t>。</w:t>
      </w:r>
    </w:p>
    <w:p>
      <w:pPr>
        <w:spacing w:line="360" w:lineRule="auto"/>
        <w:ind w:firstLine="480"/>
        <w:rPr>
          <w:color w:val="auto"/>
          <w:sz w:val="24"/>
        </w:rPr>
      </w:pPr>
      <w:r>
        <w:rPr>
          <w:rFonts w:hint="eastAsia"/>
          <w:color w:val="auto"/>
          <w:sz w:val="24"/>
        </w:rPr>
        <w:t>④分选</w:t>
      </w:r>
    </w:p>
    <w:p>
      <w:pPr>
        <w:spacing w:line="360" w:lineRule="auto"/>
        <w:ind w:firstLine="480"/>
        <w:rPr>
          <w:color w:val="auto"/>
          <w:sz w:val="24"/>
        </w:rPr>
      </w:pPr>
      <w:r>
        <w:rPr>
          <w:color w:val="auto"/>
          <w:sz w:val="24"/>
        </w:rPr>
        <w:t>渣浆泵</w:t>
      </w:r>
      <w:r>
        <w:rPr>
          <w:rFonts w:hint="eastAsia"/>
          <w:color w:val="auto"/>
          <w:sz w:val="24"/>
        </w:rPr>
        <w:t>将渣浆抽送至分选摇床上，工人将其摊平，启动摇床，摇床启动时将同时开启水流开关，在摇床上形成涓细的水流。</w:t>
      </w:r>
      <w:r>
        <w:rPr>
          <w:color w:val="auto"/>
          <w:sz w:val="24"/>
        </w:rPr>
        <w:t>在</w:t>
      </w:r>
      <w:r>
        <w:rPr>
          <w:rFonts w:hint="eastAsia"/>
          <w:color w:val="auto"/>
          <w:sz w:val="24"/>
        </w:rPr>
        <w:t>分选摇床的振动及</w:t>
      </w:r>
      <w:r>
        <w:rPr>
          <w:color w:val="auto"/>
          <w:sz w:val="24"/>
        </w:rPr>
        <w:t>水流的带动下</w:t>
      </w:r>
      <w:r>
        <w:rPr>
          <w:rFonts w:hint="eastAsia"/>
          <w:color w:val="auto"/>
          <w:sz w:val="24"/>
        </w:rPr>
        <w:t>，</w:t>
      </w:r>
      <w:r>
        <w:rPr>
          <w:color w:val="auto"/>
          <w:sz w:val="24"/>
        </w:rPr>
        <w:t>铜粉与树脂粉在摇床上</w:t>
      </w:r>
      <w:r>
        <w:rPr>
          <w:rFonts w:hint="eastAsia"/>
          <w:color w:val="auto"/>
          <w:sz w:val="24"/>
        </w:rPr>
        <w:t>逐渐分离，分别在滤水池中沉淀后收集。</w:t>
      </w:r>
    </w:p>
    <w:p>
      <w:pPr>
        <w:spacing w:line="360" w:lineRule="auto"/>
        <w:ind w:firstLine="480"/>
        <w:rPr>
          <w:color w:val="auto"/>
          <w:sz w:val="24"/>
        </w:rPr>
      </w:pPr>
      <w:r>
        <w:rPr>
          <w:rFonts w:hint="eastAsia"/>
          <w:color w:val="auto"/>
          <w:sz w:val="24"/>
        </w:rPr>
        <w:t>⑤脱水</w:t>
      </w:r>
    </w:p>
    <w:p>
      <w:pPr>
        <w:spacing w:line="360" w:lineRule="auto"/>
        <w:ind w:firstLine="480" w:firstLineChars="200"/>
        <w:rPr>
          <w:color w:val="auto"/>
          <w:sz w:val="24"/>
        </w:rPr>
      </w:pPr>
      <w:r>
        <w:rPr>
          <w:rFonts w:hint="eastAsia"/>
          <w:color w:val="auto"/>
          <w:sz w:val="24"/>
        </w:rPr>
        <w:t>将滤水池中的铜粉或废树脂粉捞出，放入</w:t>
      </w:r>
      <w:r>
        <w:rPr>
          <w:color w:val="auto"/>
          <w:sz w:val="24"/>
        </w:rPr>
        <w:t>脱水机</w:t>
      </w:r>
      <w:r>
        <w:rPr>
          <w:rFonts w:hint="eastAsia"/>
          <w:color w:val="auto"/>
          <w:sz w:val="24"/>
        </w:rPr>
        <w:t>中进行初步脱水，产生的废水收集，经沉淀处理后回用。</w:t>
      </w:r>
    </w:p>
    <w:p>
      <w:pPr>
        <w:spacing w:line="360" w:lineRule="auto"/>
        <w:ind w:firstLine="480" w:firstLineChars="200"/>
        <w:rPr>
          <w:color w:val="auto"/>
          <w:sz w:val="24"/>
        </w:rPr>
      </w:pPr>
      <w:r>
        <w:rPr>
          <w:rFonts w:hint="eastAsia"/>
          <w:color w:val="auto"/>
          <w:sz w:val="24"/>
        </w:rPr>
        <w:t>⑥烘干</w:t>
      </w:r>
    </w:p>
    <w:p>
      <w:pPr>
        <w:pStyle w:val="32"/>
        <w:spacing w:line="360" w:lineRule="auto"/>
        <w:ind w:firstLine="480" w:firstLineChars="200"/>
        <w:rPr>
          <w:color w:val="auto"/>
          <w:kern w:val="2"/>
        </w:rPr>
      </w:pPr>
      <w:r>
        <w:rPr>
          <w:rFonts w:hint="eastAsia"/>
          <w:color w:val="auto"/>
          <w:kern w:val="2"/>
        </w:rPr>
        <w:t>项目的卷材生产线对废树脂粉的含水量有一定的要求。废树脂粉在脱水工序后仍含有较多的水分，需进一步进行处理。项目的</w:t>
      </w:r>
      <w:r>
        <w:rPr>
          <w:rFonts w:hint="eastAsia"/>
          <w:color w:val="auto"/>
          <w:kern w:val="2"/>
          <w:lang w:eastAsia="zh-CN"/>
        </w:rPr>
        <w:t>烘干设备</w:t>
      </w:r>
      <w:r>
        <w:rPr>
          <w:rFonts w:hint="eastAsia"/>
          <w:color w:val="auto"/>
          <w:kern w:val="2"/>
        </w:rPr>
        <w:t>利用导热油炉的导热油进行加热，导热油在</w:t>
      </w:r>
      <w:r>
        <w:rPr>
          <w:rFonts w:hint="eastAsia"/>
          <w:color w:val="auto"/>
          <w:kern w:val="2"/>
          <w:lang w:eastAsia="zh-CN"/>
        </w:rPr>
        <w:t>烘干设备</w:t>
      </w:r>
      <w:r>
        <w:rPr>
          <w:rFonts w:hint="eastAsia"/>
          <w:color w:val="auto"/>
          <w:kern w:val="2"/>
        </w:rPr>
        <w:t>内的管道内循环流动，使</w:t>
      </w:r>
      <w:r>
        <w:rPr>
          <w:rFonts w:hint="eastAsia"/>
          <w:color w:val="auto"/>
          <w:kern w:val="2"/>
          <w:lang w:eastAsia="zh-CN"/>
        </w:rPr>
        <w:t>烘干设备</w:t>
      </w:r>
      <w:r>
        <w:rPr>
          <w:rFonts w:hint="eastAsia"/>
          <w:color w:val="auto"/>
          <w:kern w:val="2"/>
        </w:rPr>
        <w:t>内部保持在50℃，废树脂粉经过大约1小时的烘干后，含水量可低至2%左右。</w:t>
      </w:r>
    </w:p>
    <w:p>
      <w:pPr>
        <w:adjustRightInd w:val="0"/>
        <w:snapToGrid w:val="0"/>
        <w:spacing w:line="360" w:lineRule="auto"/>
        <w:ind w:firstLine="480"/>
        <w:jc w:val="left"/>
        <w:rPr>
          <w:color w:val="auto"/>
          <w:sz w:val="24"/>
        </w:rPr>
      </w:pPr>
      <w:r>
        <w:rPr>
          <w:color w:val="auto"/>
          <w:sz w:val="24"/>
        </w:rPr>
        <w:t>（2）</w:t>
      </w:r>
      <w:r>
        <w:rPr>
          <w:rFonts w:hint="eastAsia"/>
          <w:color w:val="auto"/>
          <w:sz w:val="24"/>
        </w:rPr>
        <w:t>卷材生产线</w:t>
      </w:r>
    </w:p>
    <w:p>
      <w:pPr>
        <w:adjustRightInd w:val="0"/>
        <w:snapToGrid w:val="0"/>
        <w:spacing w:line="360" w:lineRule="auto"/>
        <w:ind w:firstLine="480"/>
        <w:jc w:val="left"/>
        <w:rPr>
          <w:color w:val="auto"/>
          <w:kern w:val="0"/>
          <w:sz w:val="24"/>
        </w:rPr>
      </w:pPr>
      <w:r>
        <w:rPr>
          <w:color w:val="auto"/>
          <w:sz w:val="24"/>
        </w:rPr>
        <w:t>本项目的</w:t>
      </w:r>
      <w:r>
        <w:rPr>
          <w:rFonts w:hint="eastAsia"/>
          <w:color w:val="auto"/>
          <w:sz w:val="24"/>
        </w:rPr>
        <w:t>卷材生产线</w:t>
      </w:r>
      <w:r>
        <w:rPr>
          <w:color w:val="auto"/>
          <w:kern w:val="0"/>
          <w:sz w:val="24"/>
        </w:rPr>
        <w:t>工艺流程如下图。</w:t>
      </w:r>
    </w:p>
    <w:p>
      <w:pPr>
        <w:pStyle w:val="32"/>
        <w:jc w:val="center"/>
        <w:rPr>
          <w:color w:val="auto"/>
        </w:rPr>
      </w:pPr>
      <w:r>
        <w:rPr>
          <w:rFonts w:hint="eastAsia"/>
          <w:b/>
          <w:bCs/>
          <w:color w:val="auto"/>
        </w:rPr>
        <w:object>
          <v:shape id="_x0000_i1027" o:spt="75" type="#_x0000_t75" style="height:661pt;width:459.95pt;" o:ole="t" filled="f" o:preferrelative="t" stroked="f" coordsize="21600,21600">
            <v:path/>
            <v:fill on="f" focussize="0,0"/>
            <v:stroke on="f"/>
            <v:imagedata r:id="rId61" o:title=""/>
            <o:lock v:ext="edit" aspectratio="f"/>
            <w10:wrap type="none"/>
            <w10:anchorlock/>
          </v:shape>
          <o:OLEObject Type="Embed" ProgID="Visio.Drawing.11" ShapeID="_x0000_i1027" DrawAspect="Content" ObjectID="_1468075727" r:id="rId60">
            <o:LockedField>false</o:LockedField>
          </o:OLEObject>
        </w:object>
      </w:r>
    </w:p>
    <w:p>
      <w:pPr>
        <w:pStyle w:val="32"/>
        <w:jc w:val="center"/>
        <w:rPr>
          <w:color w:val="auto"/>
        </w:rPr>
      </w:pPr>
      <w:r>
        <w:rPr>
          <w:b/>
          <w:color w:val="auto"/>
        </w:rPr>
        <w:t>图</w:t>
      </w:r>
      <w:r>
        <w:rPr>
          <w:rFonts w:hint="eastAsia"/>
          <w:b/>
          <w:color w:val="auto"/>
        </w:rPr>
        <w:t>4</w:t>
      </w:r>
      <w:r>
        <w:rPr>
          <w:b/>
          <w:color w:val="auto"/>
        </w:rPr>
        <w:t>.4-2</w:t>
      </w:r>
      <w:r>
        <w:rPr>
          <w:rFonts w:hint="eastAsia"/>
          <w:b/>
          <w:color w:val="auto"/>
        </w:rPr>
        <w:t xml:space="preserve">  卷材生产线</w:t>
      </w:r>
      <w:r>
        <w:rPr>
          <w:b/>
          <w:color w:val="auto"/>
        </w:rPr>
        <w:t>工艺流程图</w:t>
      </w:r>
    </w:p>
    <w:p>
      <w:pPr>
        <w:spacing w:line="360" w:lineRule="auto"/>
        <w:ind w:firstLine="480"/>
        <w:rPr>
          <w:color w:val="auto"/>
          <w:sz w:val="24"/>
        </w:rPr>
      </w:pPr>
      <w:r>
        <w:rPr>
          <w:rFonts w:hint="eastAsia"/>
          <w:color w:val="auto"/>
          <w:sz w:val="24"/>
        </w:rPr>
        <w:t>卷材</w:t>
      </w:r>
      <w:r>
        <w:rPr>
          <w:color w:val="auto"/>
          <w:sz w:val="24"/>
        </w:rPr>
        <w:t>生产</w:t>
      </w:r>
      <w:r>
        <w:rPr>
          <w:rFonts w:hint="eastAsia"/>
          <w:color w:val="auto"/>
          <w:sz w:val="24"/>
        </w:rPr>
        <w:t>线</w:t>
      </w:r>
      <w:r>
        <w:rPr>
          <w:color w:val="auto"/>
          <w:sz w:val="24"/>
        </w:rPr>
        <w:t>工艺</w:t>
      </w:r>
      <w:r>
        <w:rPr>
          <w:rFonts w:hint="eastAsia"/>
          <w:color w:val="auto"/>
          <w:sz w:val="24"/>
        </w:rPr>
        <w:t>流程</w:t>
      </w:r>
      <w:r>
        <w:rPr>
          <w:color w:val="auto"/>
          <w:sz w:val="24"/>
        </w:rPr>
        <w:t>说明：</w:t>
      </w:r>
    </w:p>
    <w:p>
      <w:pPr>
        <w:spacing w:line="360" w:lineRule="auto"/>
        <w:ind w:firstLine="480"/>
        <w:rPr>
          <w:color w:val="auto"/>
          <w:sz w:val="24"/>
        </w:rPr>
      </w:pPr>
      <w:r>
        <w:rPr>
          <w:color w:val="auto"/>
          <w:sz w:val="24"/>
        </w:rPr>
        <w:t>①</w:t>
      </w:r>
      <w:r>
        <w:rPr>
          <w:rFonts w:hint="eastAsia"/>
          <w:color w:val="auto"/>
          <w:sz w:val="24"/>
        </w:rPr>
        <w:t>配料</w:t>
      </w:r>
    </w:p>
    <w:p>
      <w:pPr>
        <w:adjustRightInd w:val="0"/>
        <w:snapToGrid w:val="0"/>
        <w:spacing w:line="360" w:lineRule="auto"/>
        <w:ind w:firstLine="480" w:firstLineChars="200"/>
        <w:rPr>
          <w:color w:val="auto"/>
          <w:sz w:val="24"/>
        </w:rPr>
      </w:pPr>
      <w:r>
        <w:rPr>
          <w:color w:val="auto"/>
          <w:sz w:val="24"/>
        </w:rPr>
        <w:t>由泵将沥青罐中沥青封闭打入</w:t>
      </w:r>
      <w:r>
        <w:rPr>
          <w:rFonts w:hint="eastAsia"/>
          <w:bCs/>
          <w:color w:val="auto"/>
          <w:sz w:val="24"/>
        </w:rPr>
        <w:t>搅拌罐</w:t>
      </w:r>
      <w:r>
        <w:rPr>
          <w:color w:val="auto"/>
          <w:sz w:val="24"/>
        </w:rPr>
        <w:t>中，</w:t>
      </w:r>
      <w:r>
        <w:rPr>
          <w:rFonts w:hint="eastAsia"/>
          <w:color w:val="auto"/>
          <w:sz w:val="24"/>
        </w:rPr>
        <w:t>随后</w:t>
      </w:r>
      <w:r>
        <w:rPr>
          <w:color w:val="auto"/>
          <w:sz w:val="24"/>
        </w:rPr>
        <w:t>向</w:t>
      </w:r>
      <w:r>
        <w:rPr>
          <w:rFonts w:hint="eastAsia"/>
          <w:color w:val="auto"/>
          <w:sz w:val="24"/>
        </w:rPr>
        <w:t>搅拌罐</w:t>
      </w:r>
      <w:r>
        <w:rPr>
          <w:color w:val="auto"/>
          <w:sz w:val="24"/>
        </w:rPr>
        <w:t>内加入</w:t>
      </w:r>
      <w:r>
        <w:rPr>
          <w:rFonts w:hint="eastAsia"/>
          <w:color w:val="auto"/>
          <w:sz w:val="24"/>
        </w:rPr>
        <w:t>SBS颗粒、塑胶粉、软化油、树脂粉、滑石粉等辅料，投料后加热至180</w:t>
      </w:r>
      <w:r>
        <w:rPr>
          <w:color w:val="auto"/>
          <w:sz w:val="24"/>
        </w:rPr>
        <w:t>℃</w:t>
      </w:r>
      <w:r>
        <w:rPr>
          <w:rFonts w:hint="eastAsia"/>
          <w:color w:val="auto"/>
          <w:sz w:val="24"/>
        </w:rPr>
        <w:t>后</w:t>
      </w:r>
      <w:r>
        <w:rPr>
          <w:color w:val="auto"/>
          <w:sz w:val="24"/>
        </w:rPr>
        <w:t>停止加热，得到料浆。</w:t>
      </w:r>
      <w:r>
        <w:rPr>
          <w:rFonts w:hint="eastAsia"/>
          <w:color w:val="auto"/>
          <w:sz w:val="24"/>
        </w:rPr>
        <w:t>据建设单位提供的资料，整个配料流程耗时约1小时</w:t>
      </w:r>
      <w:r>
        <w:rPr>
          <w:color w:val="auto"/>
          <w:sz w:val="24"/>
        </w:rPr>
        <w:t>。</w:t>
      </w:r>
    </w:p>
    <w:p>
      <w:pPr>
        <w:adjustRightInd w:val="0"/>
        <w:snapToGrid w:val="0"/>
        <w:spacing w:line="360" w:lineRule="auto"/>
        <w:ind w:firstLine="480" w:firstLineChars="200"/>
        <w:rPr>
          <w:color w:val="auto"/>
          <w:sz w:val="24"/>
        </w:rPr>
      </w:pPr>
      <w:r>
        <w:rPr>
          <w:rFonts w:hint="eastAsia"/>
          <w:color w:val="auto"/>
          <w:sz w:val="24"/>
        </w:rPr>
        <w:t>SBS颗粒、塑胶粉、软化油</w:t>
      </w:r>
      <w:r>
        <w:rPr>
          <w:color w:val="auto"/>
          <w:sz w:val="24"/>
        </w:rPr>
        <w:t>为颗粒状或液体，不产尘，投料方式采取</w:t>
      </w:r>
      <w:r>
        <w:rPr>
          <w:rFonts w:hint="eastAsia"/>
          <w:color w:val="auto"/>
          <w:sz w:val="24"/>
        </w:rPr>
        <w:t>管道</w:t>
      </w:r>
      <w:r>
        <w:rPr>
          <w:color w:val="auto"/>
          <w:sz w:val="24"/>
        </w:rPr>
        <w:t>投料，投料时</w:t>
      </w:r>
      <w:r>
        <w:rPr>
          <w:rFonts w:hint="eastAsia"/>
          <w:color w:val="auto"/>
          <w:sz w:val="24"/>
        </w:rPr>
        <w:t>搅拌罐</w:t>
      </w:r>
      <w:r>
        <w:rPr>
          <w:color w:val="auto"/>
          <w:sz w:val="24"/>
        </w:rPr>
        <w:t>内废气逸出，</w:t>
      </w:r>
      <w:r>
        <w:rPr>
          <w:rFonts w:hint="eastAsia"/>
          <w:color w:val="auto"/>
          <w:sz w:val="24"/>
        </w:rPr>
        <w:t>搅拌罐</w:t>
      </w:r>
      <w:r>
        <w:rPr>
          <w:color w:val="auto"/>
          <w:sz w:val="24"/>
        </w:rPr>
        <w:t>上方设有</w:t>
      </w:r>
      <w:r>
        <w:rPr>
          <w:rFonts w:hint="eastAsia"/>
          <w:color w:val="auto"/>
          <w:sz w:val="24"/>
        </w:rPr>
        <w:t>收集管道</w:t>
      </w:r>
      <w:r>
        <w:rPr>
          <w:color w:val="auto"/>
          <w:sz w:val="24"/>
        </w:rPr>
        <w:t>，收集废气至处置装置</w:t>
      </w:r>
      <w:r>
        <w:rPr>
          <w:rFonts w:hint="eastAsia"/>
          <w:color w:val="auto"/>
          <w:sz w:val="24"/>
        </w:rPr>
        <w:t>。树脂粉、滑石粉</w:t>
      </w:r>
      <w:r>
        <w:rPr>
          <w:color w:val="auto"/>
          <w:sz w:val="24"/>
        </w:rPr>
        <w:t>为粉状，由螺旋输送机抽入</w:t>
      </w:r>
      <w:r>
        <w:rPr>
          <w:rFonts w:hint="eastAsia"/>
          <w:color w:val="auto"/>
          <w:sz w:val="24"/>
        </w:rPr>
        <w:t>搅拌罐</w:t>
      </w:r>
      <w:r>
        <w:rPr>
          <w:color w:val="auto"/>
          <w:sz w:val="24"/>
        </w:rPr>
        <w:t>，</w:t>
      </w:r>
      <w:r>
        <w:rPr>
          <w:rFonts w:hint="eastAsia"/>
          <w:color w:val="auto"/>
          <w:sz w:val="24"/>
        </w:rPr>
        <w:t>开袋投料时会有投料粉尘产生</w:t>
      </w:r>
      <w:r>
        <w:rPr>
          <w:rFonts w:hint="eastAsia"/>
          <w:color w:val="auto"/>
          <w:kern w:val="0"/>
          <w:sz w:val="24"/>
        </w:rPr>
        <w:t>。</w:t>
      </w:r>
      <w:r>
        <w:rPr>
          <w:rFonts w:hint="eastAsia"/>
          <w:color w:val="auto"/>
          <w:sz w:val="24"/>
        </w:rPr>
        <w:t>搅拌罐</w:t>
      </w:r>
      <w:r>
        <w:rPr>
          <w:color w:val="auto"/>
          <w:sz w:val="24"/>
        </w:rPr>
        <w:t>上方设有</w:t>
      </w:r>
      <w:r>
        <w:rPr>
          <w:rFonts w:hint="eastAsia"/>
          <w:color w:val="auto"/>
          <w:sz w:val="24"/>
        </w:rPr>
        <w:t>收集管道</w:t>
      </w:r>
      <w:r>
        <w:rPr>
          <w:color w:val="auto"/>
          <w:sz w:val="24"/>
        </w:rPr>
        <w:t>，收集废气至</w:t>
      </w:r>
      <w:r>
        <w:rPr>
          <w:rFonts w:hint="eastAsia"/>
          <w:color w:val="auto"/>
          <w:sz w:val="24"/>
        </w:rPr>
        <w:t>处理</w:t>
      </w:r>
      <w:r>
        <w:rPr>
          <w:color w:val="auto"/>
          <w:sz w:val="24"/>
        </w:rPr>
        <w:t>装置。</w:t>
      </w:r>
    </w:p>
    <w:p>
      <w:pPr>
        <w:adjustRightInd w:val="0"/>
        <w:snapToGrid w:val="0"/>
        <w:spacing w:line="360" w:lineRule="auto"/>
        <w:rPr>
          <w:color w:val="auto"/>
          <w:sz w:val="24"/>
        </w:rPr>
      </w:pPr>
      <w:r>
        <w:rPr>
          <w:color w:val="auto"/>
          <w:sz w:val="24"/>
        </w:rPr>
        <mc:AlternateContent>
          <mc:Choice Requires="wps">
            <w:drawing>
              <wp:anchor distT="0" distB="0" distL="114300" distR="114300" simplePos="0" relativeHeight="251853824" behindDoc="0" locked="0" layoutInCell="1" allowOverlap="1">
                <wp:simplePos x="0" y="0"/>
                <wp:positionH relativeFrom="column">
                  <wp:posOffset>1096010</wp:posOffset>
                </wp:positionH>
                <wp:positionV relativeFrom="paragraph">
                  <wp:posOffset>2299970</wp:posOffset>
                </wp:positionV>
                <wp:extent cx="937260" cy="269240"/>
                <wp:effectExtent l="0" t="0" r="0" b="0"/>
                <wp:wrapNone/>
                <wp:docPr id="90" name="矩形 90"/>
                <wp:cNvGraphicFramePr/>
                <a:graphic xmlns:a="http://schemas.openxmlformats.org/drawingml/2006/main">
                  <a:graphicData uri="http://schemas.microsoft.com/office/word/2010/wordprocessingShape">
                    <wps:wsp>
                      <wps:cNvSpPr/>
                      <wps:spPr>
                        <a:xfrm>
                          <a:off x="0" y="0"/>
                          <a:ext cx="937260" cy="269240"/>
                        </a:xfrm>
                        <a:prstGeom prst="rect">
                          <a:avLst/>
                        </a:prstGeom>
                        <a:noFill/>
                        <a:ln w="9525">
                          <a:noFill/>
                        </a:ln>
                      </wps:spPr>
                      <wps:txbx>
                        <w:txbxContent>
                          <w:p>
                            <w:pPr>
                              <w:jc w:val="center"/>
                              <w:rPr>
                                <w:rFonts w:eastAsiaTheme="minorEastAsia"/>
                                <w:sz w:val="18"/>
                                <w:szCs w:val="18"/>
                              </w:rPr>
                            </w:pPr>
                            <w:r>
                              <w:rPr>
                                <w:rFonts w:hint="eastAsia"/>
                                <w:sz w:val="18"/>
                                <w:szCs w:val="18"/>
                                <w:highlight w:val="yellow"/>
                              </w:rPr>
                              <w:t>搅拌罐</w:t>
                            </w:r>
                          </w:p>
                        </w:txbxContent>
                      </wps:txbx>
                      <wps:bodyPr upright="1"/>
                    </wps:wsp>
                  </a:graphicData>
                </a:graphic>
              </wp:anchor>
            </w:drawing>
          </mc:Choice>
          <mc:Fallback>
            <w:pict>
              <v:rect id="_x0000_s1026" o:spid="_x0000_s1026" o:spt="1" style="position:absolute;left:0pt;margin-left:86.3pt;margin-top:181.1pt;height:21.2pt;width:73.8pt;z-index:251853824;mso-width-relative:page;mso-height-relative:page;" filled="f" stroked="f" coordsize="21600,21600" o:gfxdata="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APjvtE2wAAAAsBAAAPAAAAAAAAAAEAIAAAACIAAABkcnMvZG93&#10;bnJldi54bWxQSwECFAAUAAAACACHTuJAuRSGdosBAAD9AgAADgAAAAAAAAABACAAAAAqAQAAZHJz&#10;L2Uyb0RvYy54bWxQSwUGAAAAAAYABgBZAQAAJwUAAAAA&#10;">
                <v:fill on="f" focussize="0,0"/>
                <v:stroke on="f"/>
                <v:imagedata o:title=""/>
                <o:lock v:ext="edit" aspectratio="f"/>
                <v:textbox>
                  <w:txbxContent>
                    <w:p>
                      <w:pPr>
                        <w:jc w:val="center"/>
                        <w:rPr>
                          <w:rFonts w:eastAsiaTheme="minorEastAsia"/>
                          <w:sz w:val="18"/>
                          <w:szCs w:val="18"/>
                        </w:rPr>
                      </w:pPr>
                      <w:r>
                        <w:rPr>
                          <w:rFonts w:hint="eastAsia"/>
                          <w:sz w:val="18"/>
                          <w:szCs w:val="18"/>
                          <w:highlight w:val="yellow"/>
                        </w:rPr>
                        <w:t>搅拌罐</w:t>
                      </w:r>
                    </w:p>
                  </w:txbxContent>
                </v:textbox>
              </v:rect>
            </w:pict>
          </mc:Fallback>
        </mc:AlternateContent>
      </w:r>
      <w:r>
        <w:rPr>
          <w:color w:val="auto"/>
          <w:sz w:val="24"/>
        </w:rPr>
        <mc:AlternateContent>
          <mc:Choice Requires="wps">
            <w:drawing>
              <wp:anchor distT="0" distB="0" distL="114300" distR="114300" simplePos="0" relativeHeight="251852800" behindDoc="0" locked="0" layoutInCell="1" allowOverlap="1">
                <wp:simplePos x="0" y="0"/>
                <wp:positionH relativeFrom="column">
                  <wp:posOffset>2406650</wp:posOffset>
                </wp:positionH>
                <wp:positionV relativeFrom="paragraph">
                  <wp:posOffset>516890</wp:posOffset>
                </wp:positionV>
                <wp:extent cx="937260" cy="276860"/>
                <wp:effectExtent l="0" t="0" r="0" b="0"/>
                <wp:wrapNone/>
                <wp:docPr id="91" name="矩形 91"/>
                <wp:cNvGraphicFramePr/>
                <a:graphic xmlns:a="http://schemas.openxmlformats.org/drawingml/2006/main">
                  <a:graphicData uri="http://schemas.microsoft.com/office/word/2010/wordprocessingShape">
                    <wps:wsp>
                      <wps:cNvSpPr/>
                      <wps:spPr>
                        <a:xfrm>
                          <a:off x="0" y="0"/>
                          <a:ext cx="937260" cy="276860"/>
                        </a:xfrm>
                        <a:prstGeom prst="rect">
                          <a:avLst/>
                        </a:prstGeom>
                        <a:noFill/>
                        <a:ln w="9525">
                          <a:noFill/>
                        </a:ln>
                      </wps:spPr>
                      <wps:txbx>
                        <w:txbxContent>
                          <w:p>
                            <w:pPr>
                              <w:jc w:val="center"/>
                              <w:rPr>
                                <w:sz w:val="18"/>
                                <w:szCs w:val="18"/>
                              </w:rPr>
                            </w:pPr>
                            <w:r>
                              <w:rPr>
                                <w:rFonts w:hint="eastAsia"/>
                                <w:sz w:val="18"/>
                                <w:szCs w:val="18"/>
                                <w:highlight w:val="yellow"/>
                              </w:rPr>
                              <w:t>废气收集管道</w:t>
                            </w:r>
                          </w:p>
                        </w:txbxContent>
                      </wps:txbx>
                      <wps:bodyPr upright="1"/>
                    </wps:wsp>
                  </a:graphicData>
                </a:graphic>
              </wp:anchor>
            </w:drawing>
          </mc:Choice>
          <mc:Fallback>
            <w:pict>
              <v:rect id="_x0000_s1026" o:spid="_x0000_s1026" o:spt="1" style="position:absolute;left:0pt;margin-left:189.5pt;margin-top:40.7pt;height:21.8pt;width:73.8pt;z-index:251852800;mso-width-relative:page;mso-height-relative:page;" filled="f" stroked="f" coordsize="21600,21600" o:gfxdata="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oiN3ONsAAAAKAQAADwAAAAAAAAABACAAAAAiAAAAZHJzL2Rv&#10;d25yZXYueG1sUEsBAhQAFAAAAAgAh07iQNccJPCMAQAA/QIAAA4AAAAAAAAAAQAgAAAAKgEAAGRy&#10;cy9lMm9Eb2MueG1sUEsFBgAAAAAGAAYAWQEAACgFAAAAAA==&#10;">
                <v:fill on="f" focussize="0,0"/>
                <v:stroke on="f"/>
                <v:imagedata o:title=""/>
                <o:lock v:ext="edit" aspectratio="f"/>
                <v:textbox>
                  <w:txbxContent>
                    <w:p>
                      <w:pPr>
                        <w:jc w:val="center"/>
                        <w:rPr>
                          <w:sz w:val="18"/>
                          <w:szCs w:val="18"/>
                        </w:rPr>
                      </w:pPr>
                      <w:r>
                        <w:rPr>
                          <w:rFonts w:hint="eastAsia"/>
                          <w:sz w:val="18"/>
                          <w:szCs w:val="18"/>
                          <w:highlight w:val="yellow"/>
                        </w:rPr>
                        <w:t>废气收集管道</w:t>
                      </w:r>
                    </w:p>
                  </w:txbxContent>
                </v:textbox>
              </v:rect>
            </w:pict>
          </mc:Fallback>
        </mc:AlternateContent>
      </w:r>
      <w:r>
        <w:rPr>
          <w:color w:val="auto"/>
          <w:sz w:val="24"/>
        </w:rPr>
        <mc:AlternateContent>
          <mc:Choice Requires="wps">
            <w:drawing>
              <wp:anchor distT="0" distB="0" distL="114300" distR="114300" simplePos="0" relativeHeight="251851776" behindDoc="0" locked="0" layoutInCell="1" allowOverlap="1">
                <wp:simplePos x="0" y="0"/>
                <wp:positionH relativeFrom="column">
                  <wp:posOffset>2109470</wp:posOffset>
                </wp:positionH>
                <wp:positionV relativeFrom="paragraph">
                  <wp:posOffset>798830</wp:posOffset>
                </wp:positionV>
                <wp:extent cx="670560" cy="571500"/>
                <wp:effectExtent l="0" t="3810" r="15240" b="15240"/>
                <wp:wrapNone/>
                <wp:docPr id="92" name="直接箭头连接符 92"/>
                <wp:cNvGraphicFramePr/>
                <a:graphic xmlns:a="http://schemas.openxmlformats.org/drawingml/2006/main">
                  <a:graphicData uri="http://schemas.microsoft.com/office/word/2010/wordprocessingShape">
                    <wps:wsp>
                      <wps:cNvCnPr/>
                      <wps:spPr>
                        <a:xfrm flipV="1">
                          <a:off x="0" y="0"/>
                          <a:ext cx="670560" cy="571500"/>
                        </a:xfrm>
                        <a:prstGeom prst="straightConnector1">
                          <a:avLst/>
                        </a:prstGeom>
                        <a:ln w="9525" cap="flat" cmpd="sng">
                          <a:solidFill>
                            <a:srgbClr val="FFFF00"/>
                          </a:solidFill>
                          <a:prstDash val="solid"/>
                          <a:headEnd type="arrow" w="med" len="med"/>
                          <a:tailEnd type="none" w="med" len="med"/>
                        </a:ln>
                      </wps:spPr>
                      <wps:bodyPr/>
                    </wps:wsp>
                  </a:graphicData>
                </a:graphic>
              </wp:anchor>
            </w:drawing>
          </mc:Choice>
          <mc:Fallback>
            <w:pict>
              <v:shape id="_x0000_s1026" o:spid="_x0000_s1026" o:spt="32" type="#_x0000_t32" style="position:absolute;left:0pt;flip:y;margin-left:166.1pt;margin-top:62.9pt;height:45pt;width:52.8pt;z-index:251851776;mso-width-relative:page;mso-height-relative:page;" filled="f" stroked="t" coordsize="21600,21600" o:gfxdata="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09PJdkAAAALAQAADwAAAAAAAAABACAAAAAiAAAAZHJzL2Rvd25yZXYueG1sUEsBAhQA&#10;FAAAAAgAh07iQALKkRPxAQAArwMAAA4AAAAAAAAAAQAgAAAAKAEAAGRycy9lMm9Eb2MueG1sUEsF&#10;BgAAAAAGAAYAWQEAAIsFAAAAAA==&#10;">
                <v:fill on="f" focussize="0,0"/>
                <v:stroke color="#FFFF00" joinstyle="round" startarrow="open"/>
                <v:imagedata o:title=""/>
                <o:lock v:ext="edit" aspectratio="f"/>
              </v:shape>
            </w:pict>
          </mc:Fallback>
        </mc:AlternateContent>
      </w:r>
      <w:r>
        <w:rPr>
          <w:color w:val="auto"/>
          <w:sz w:val="24"/>
        </w:rPr>
        <mc:AlternateContent>
          <mc:Choice Requires="wps">
            <w:drawing>
              <wp:anchor distT="0" distB="0" distL="114300" distR="114300" simplePos="0" relativeHeight="251850752" behindDoc="0" locked="0" layoutInCell="1" allowOverlap="1">
                <wp:simplePos x="0" y="0"/>
                <wp:positionH relativeFrom="column">
                  <wp:posOffset>3237230</wp:posOffset>
                </wp:positionH>
                <wp:positionV relativeFrom="paragraph">
                  <wp:posOffset>836930</wp:posOffset>
                </wp:positionV>
                <wp:extent cx="937260" cy="257175"/>
                <wp:effectExtent l="0" t="0" r="0" b="0"/>
                <wp:wrapNone/>
                <wp:docPr id="93" name="矩形 93"/>
                <wp:cNvGraphicFramePr/>
                <a:graphic xmlns:a="http://schemas.openxmlformats.org/drawingml/2006/main">
                  <a:graphicData uri="http://schemas.microsoft.com/office/word/2010/wordprocessingShape">
                    <wps:wsp>
                      <wps:cNvSpPr/>
                      <wps:spPr>
                        <a:xfrm>
                          <a:off x="0" y="0"/>
                          <a:ext cx="937260" cy="257175"/>
                        </a:xfrm>
                        <a:prstGeom prst="rect">
                          <a:avLst/>
                        </a:prstGeom>
                        <a:noFill/>
                        <a:ln w="9525">
                          <a:noFill/>
                        </a:ln>
                      </wps:spPr>
                      <wps:txbx>
                        <w:txbxContent>
                          <w:p>
                            <w:pPr>
                              <w:jc w:val="center"/>
                              <w:rPr>
                                <w:sz w:val="18"/>
                                <w:szCs w:val="18"/>
                              </w:rPr>
                            </w:pPr>
                            <w:r>
                              <w:rPr>
                                <w:rFonts w:hint="eastAsia"/>
                                <w:sz w:val="18"/>
                                <w:szCs w:val="18"/>
                                <w:highlight w:val="yellow"/>
                              </w:rPr>
                              <w:t>粉料投料管道</w:t>
                            </w:r>
                          </w:p>
                        </w:txbxContent>
                      </wps:txbx>
                      <wps:bodyPr upright="1"/>
                    </wps:wsp>
                  </a:graphicData>
                </a:graphic>
              </wp:anchor>
            </w:drawing>
          </mc:Choice>
          <mc:Fallback>
            <w:pict>
              <v:rect id="_x0000_s1026" o:spid="_x0000_s1026" o:spt="1" style="position:absolute;left:0pt;margin-left:254.9pt;margin-top:65.9pt;height:20.25pt;width:73.8pt;z-index:251850752;mso-width-relative:page;mso-height-relative:page;" filled="f" stroked="f" coordsize="21600,21600" o:gfxdata="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7Htq/9sAAAALAQAADwAAAAAAAAABACAAAAAiAAAAZHJzL2Rv&#10;d25yZXYueG1sUEsBAhQAFAAAAAgAh07iQE0KS1CMAQAA/QIAAA4AAAAAAAAAAQAgAAAAKgEAAGRy&#10;cy9lMm9Eb2MueG1sUEsFBgAAAAAGAAYAWQEAACgFAAAAAA==&#10;">
                <v:fill on="f" focussize="0,0"/>
                <v:stroke on="f"/>
                <v:imagedata o:title=""/>
                <o:lock v:ext="edit" aspectratio="f"/>
                <v:textbox>
                  <w:txbxContent>
                    <w:p>
                      <w:pPr>
                        <w:jc w:val="center"/>
                        <w:rPr>
                          <w:sz w:val="18"/>
                          <w:szCs w:val="18"/>
                        </w:rPr>
                      </w:pPr>
                      <w:r>
                        <w:rPr>
                          <w:rFonts w:hint="eastAsia"/>
                          <w:sz w:val="18"/>
                          <w:szCs w:val="18"/>
                          <w:highlight w:val="yellow"/>
                        </w:rPr>
                        <w:t>粉料投料管道</w:t>
                      </w:r>
                    </w:p>
                  </w:txbxContent>
                </v:textbox>
              </v:rect>
            </w:pict>
          </mc:Fallback>
        </mc:AlternateContent>
      </w:r>
      <w:r>
        <w:rPr>
          <w:color w:val="auto"/>
          <w:sz w:val="24"/>
        </w:rPr>
        <mc:AlternateContent>
          <mc:Choice Requires="wps">
            <w:drawing>
              <wp:anchor distT="0" distB="0" distL="114300" distR="114300" simplePos="0" relativeHeight="251849728" behindDoc="0" locked="0" layoutInCell="1" allowOverlap="1">
                <wp:simplePos x="0" y="0"/>
                <wp:positionH relativeFrom="column">
                  <wp:posOffset>2825750</wp:posOffset>
                </wp:positionH>
                <wp:positionV relativeFrom="paragraph">
                  <wp:posOffset>1126490</wp:posOffset>
                </wp:positionV>
                <wp:extent cx="670560" cy="571500"/>
                <wp:effectExtent l="0" t="3810" r="15240" b="15240"/>
                <wp:wrapNone/>
                <wp:docPr id="94" name="直接箭头连接符 94"/>
                <wp:cNvGraphicFramePr/>
                <a:graphic xmlns:a="http://schemas.openxmlformats.org/drawingml/2006/main">
                  <a:graphicData uri="http://schemas.microsoft.com/office/word/2010/wordprocessingShape">
                    <wps:wsp>
                      <wps:cNvCnPr/>
                      <wps:spPr>
                        <a:xfrm flipV="1">
                          <a:off x="0" y="0"/>
                          <a:ext cx="670560" cy="571500"/>
                        </a:xfrm>
                        <a:prstGeom prst="straightConnector1">
                          <a:avLst/>
                        </a:prstGeom>
                        <a:ln w="9525" cap="flat" cmpd="sng">
                          <a:solidFill>
                            <a:srgbClr val="FFFF00"/>
                          </a:solidFill>
                          <a:prstDash val="solid"/>
                          <a:headEnd type="arrow" w="med" len="med"/>
                          <a:tailEnd type="none" w="med" len="med"/>
                        </a:ln>
                      </wps:spPr>
                      <wps:bodyPr/>
                    </wps:wsp>
                  </a:graphicData>
                </a:graphic>
              </wp:anchor>
            </w:drawing>
          </mc:Choice>
          <mc:Fallback>
            <w:pict>
              <v:shape id="_x0000_s1026" o:spid="_x0000_s1026" o:spt="32" type="#_x0000_t32" style="position:absolute;left:0pt;flip:y;margin-left:222.5pt;margin-top:88.7pt;height:45pt;width:52.8pt;z-index:251849728;mso-width-relative:page;mso-height-relative:page;" filled="f" stroked="t" coordsize="21600,21600" o:gfxdata="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YHEVtkAAAALAQAADwAAAAAAAAABACAAAAAiAAAAZHJzL2Rvd25yZXYueG1sUEsBAhQA&#10;FAAAAAgAh07iQH7YUW7xAQAArwMAAA4AAAAAAAAAAQAgAAAAKAEAAGRycy9lMm9Eb2MueG1sUEsF&#10;BgAAAAAGAAYAWQEAAIsFAAAAAA==&#10;">
                <v:fill on="f" focussize="0,0"/>
                <v:stroke color="#FFFF00" joinstyle="round" startarrow="open"/>
                <v:imagedata o:title=""/>
                <o:lock v:ext="edit" aspectratio="f"/>
              </v:shape>
            </w:pict>
          </mc:Fallback>
        </mc:AlternateContent>
      </w:r>
      <w:r>
        <w:rPr>
          <w:color w:val="auto"/>
          <w:sz w:val="24"/>
        </w:rPr>
        <mc:AlternateContent>
          <mc:Choice Requires="wps">
            <w:drawing>
              <wp:anchor distT="0" distB="0" distL="114300" distR="114300" simplePos="0" relativeHeight="251848704" behindDoc="0" locked="0" layoutInCell="1" allowOverlap="1">
                <wp:simplePos x="0" y="0"/>
                <wp:positionH relativeFrom="column">
                  <wp:posOffset>4997450</wp:posOffset>
                </wp:positionH>
                <wp:positionV relativeFrom="paragraph">
                  <wp:posOffset>1477010</wp:posOffset>
                </wp:positionV>
                <wp:extent cx="563880" cy="309245"/>
                <wp:effectExtent l="0" t="0" r="0" b="0"/>
                <wp:wrapNone/>
                <wp:docPr id="95" name="矩形 95"/>
                <wp:cNvGraphicFramePr/>
                <a:graphic xmlns:a="http://schemas.openxmlformats.org/drawingml/2006/main">
                  <a:graphicData uri="http://schemas.microsoft.com/office/word/2010/wordprocessingShape">
                    <wps:wsp>
                      <wps:cNvSpPr/>
                      <wps:spPr>
                        <a:xfrm>
                          <a:off x="0" y="0"/>
                          <a:ext cx="563880" cy="309245"/>
                        </a:xfrm>
                        <a:prstGeom prst="rect">
                          <a:avLst/>
                        </a:prstGeom>
                        <a:noFill/>
                        <a:ln w="9525">
                          <a:noFill/>
                        </a:ln>
                      </wps:spPr>
                      <wps:txbx>
                        <w:txbxContent>
                          <w:p>
                            <w:pPr>
                              <w:jc w:val="center"/>
                              <w:rPr>
                                <w:sz w:val="18"/>
                                <w:szCs w:val="18"/>
                              </w:rPr>
                            </w:pPr>
                            <w:r>
                              <w:rPr>
                                <w:rFonts w:hint="eastAsia"/>
                                <w:sz w:val="18"/>
                                <w:szCs w:val="18"/>
                                <w:highlight w:val="yellow"/>
                              </w:rPr>
                              <w:t>料仓</w:t>
                            </w:r>
                          </w:p>
                        </w:txbxContent>
                      </wps:txbx>
                      <wps:bodyPr upright="1"/>
                    </wps:wsp>
                  </a:graphicData>
                </a:graphic>
              </wp:anchor>
            </w:drawing>
          </mc:Choice>
          <mc:Fallback>
            <w:pict>
              <v:rect id="_x0000_s1026" o:spid="_x0000_s1026" o:spt="1" style="position:absolute;left:0pt;margin-left:393.5pt;margin-top:116.3pt;height:24.35pt;width:44.4pt;z-index:251848704;mso-width-relative:page;mso-height-relative:page;" filled="f" stroked="f" coordsize="21600,21600" o:gfxdata="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DaqZsk2wAAAAsBAAAPAAAAAAAAAAEAIAAAACIAAABkcnMvZG93&#10;bnJldi54bWxQSwECFAAUAAAACACHTuJAhW6ALIsBAAD9AgAADgAAAAAAAAABACAAAAAqAQAAZHJz&#10;L2Uyb0RvYy54bWxQSwUGAAAAAAYABgBZAQAAJwUAAAAA&#10;">
                <v:fill on="f" focussize="0,0"/>
                <v:stroke on="f"/>
                <v:imagedata o:title=""/>
                <o:lock v:ext="edit" aspectratio="f"/>
                <v:textbox>
                  <w:txbxContent>
                    <w:p>
                      <w:pPr>
                        <w:jc w:val="center"/>
                        <w:rPr>
                          <w:sz w:val="18"/>
                          <w:szCs w:val="18"/>
                        </w:rPr>
                      </w:pPr>
                      <w:r>
                        <w:rPr>
                          <w:rFonts w:hint="eastAsia"/>
                          <w:sz w:val="18"/>
                          <w:szCs w:val="18"/>
                          <w:highlight w:val="yellow"/>
                        </w:rPr>
                        <w:t>料仓</w:t>
                      </w:r>
                    </w:p>
                  </w:txbxContent>
                </v:textbox>
              </v:rect>
            </w:pict>
          </mc:Fallback>
        </mc:AlternateContent>
      </w:r>
      <w:r>
        <w:rPr>
          <w:color w:val="auto"/>
          <w:sz w:val="24"/>
        </w:rPr>
        <w:drawing>
          <wp:inline distT="0" distB="0" distL="114300" distR="114300">
            <wp:extent cx="5801995" cy="3620770"/>
            <wp:effectExtent l="0" t="0" r="8255" b="17780"/>
            <wp:docPr id="96" name="图片 40" descr="C:\Users\ADMINI~1\AppData\Local\Temp\WeChat Files\3f3edd29ac67f49f74474c56dca6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0" descr="C:\Users\ADMINI~1\AppData\Local\Temp\WeChat Files\3f3edd29ac67f49f74474c56dca6bba.jpg"/>
                    <pic:cNvPicPr>
                      <a:picLocks noChangeAspect="1"/>
                    </pic:cNvPicPr>
                  </pic:nvPicPr>
                  <pic:blipFill>
                    <a:blip r:embed="rId62"/>
                    <a:srcRect/>
                    <a:stretch>
                      <a:fillRect/>
                    </a:stretch>
                  </pic:blipFill>
                  <pic:spPr>
                    <a:xfrm>
                      <a:off x="0" y="0"/>
                      <a:ext cx="5801995" cy="3620770"/>
                    </a:xfrm>
                    <a:prstGeom prst="rect">
                      <a:avLst/>
                    </a:prstGeom>
                    <a:noFill/>
                    <a:ln w="9525">
                      <a:noFill/>
                    </a:ln>
                  </pic:spPr>
                </pic:pic>
              </a:graphicData>
            </a:graphic>
          </wp:inline>
        </w:drawing>
      </w:r>
    </w:p>
    <w:p>
      <w:pPr>
        <w:adjustRightInd w:val="0"/>
        <w:snapToGrid w:val="0"/>
        <w:spacing w:line="360" w:lineRule="auto"/>
        <w:jc w:val="center"/>
        <w:rPr>
          <w:b/>
          <w:color w:val="auto"/>
          <w:sz w:val="24"/>
        </w:rPr>
      </w:pPr>
      <w:r>
        <w:rPr>
          <w:rFonts w:hint="eastAsia"/>
          <w:b/>
          <w:color w:val="auto"/>
          <w:sz w:val="24"/>
        </w:rPr>
        <w:t>图4.4-3  同类型项目配料工序现场图示</w:t>
      </w:r>
    </w:p>
    <w:p>
      <w:pPr>
        <w:spacing w:line="360" w:lineRule="auto"/>
        <w:ind w:firstLine="480"/>
        <w:rPr>
          <w:color w:val="auto"/>
          <w:sz w:val="24"/>
        </w:rPr>
      </w:pPr>
      <w:r>
        <w:rPr>
          <w:rFonts w:hint="eastAsia"/>
          <w:color w:val="auto"/>
          <w:sz w:val="24"/>
        </w:rPr>
        <w:t>②胶磨</w:t>
      </w:r>
    </w:p>
    <w:p>
      <w:pPr>
        <w:spacing w:line="360" w:lineRule="auto"/>
        <w:ind w:firstLine="480"/>
        <w:rPr>
          <w:color w:val="auto"/>
          <w:sz w:val="24"/>
        </w:rPr>
      </w:pPr>
      <w:r>
        <w:rPr>
          <w:color w:val="auto"/>
          <w:sz w:val="24"/>
        </w:rPr>
        <w:t>由泵将上述料浆从</w:t>
      </w:r>
      <w:r>
        <w:rPr>
          <w:rFonts w:hint="eastAsia"/>
          <w:color w:val="auto"/>
          <w:sz w:val="24"/>
        </w:rPr>
        <w:t>搅拌罐</w:t>
      </w:r>
      <w:r>
        <w:rPr>
          <w:color w:val="auto"/>
          <w:sz w:val="24"/>
        </w:rPr>
        <w:t>内封闭打入胶体磨，进行胶磨处理。该装置工作原理为：由电动机通过皮带传动带动齿（或称为转子）与相配的定齿（或称为定子）作相对的高速旋转，其中一个高速旋转，另一个静止，被加工物料通过本身的重量和外部压力（可由产生）加压生产向下的螺旋冲击力，透过定、转齿之间的间隙（间隙可调）时受到强大的剪切力、摩擦力、高频振动、高速旋涡等物理作用，使物料被有效地乳化、分散、均质和粉碎，从而将沥青进行改性，提高其性能。整个胶膜过程封闭，胶磨后的料浆由泵打入储料罐暂存，待用。</w:t>
      </w:r>
    </w:p>
    <w:p>
      <w:pPr>
        <w:spacing w:line="360" w:lineRule="auto"/>
        <w:ind w:firstLine="480"/>
        <w:rPr>
          <w:color w:val="auto"/>
          <w:sz w:val="24"/>
        </w:rPr>
      </w:pPr>
      <w:r>
        <w:rPr>
          <w:color w:val="auto"/>
          <w:sz w:val="24"/>
        </w:rPr>
        <w:t>③</w:t>
      </w:r>
      <w:r>
        <w:rPr>
          <w:rFonts w:hint="eastAsia"/>
          <w:color w:val="auto"/>
          <w:sz w:val="24"/>
        </w:rPr>
        <w:t>胎体</w:t>
      </w:r>
      <w:r>
        <w:rPr>
          <w:color w:val="auto"/>
          <w:sz w:val="24"/>
        </w:rPr>
        <w:t>烘干</w:t>
      </w:r>
    </w:p>
    <w:p>
      <w:pPr>
        <w:spacing w:line="360" w:lineRule="auto"/>
        <w:ind w:firstLine="480"/>
        <w:rPr>
          <w:color w:val="auto"/>
          <w:sz w:val="24"/>
        </w:rPr>
      </w:pPr>
      <w:r>
        <w:rPr>
          <w:color w:val="auto"/>
          <w:sz w:val="24"/>
        </w:rPr>
        <w:t>胎基中含有水分直接影响到卷材的质量，含有水分的胎基进入浸渍槽以后，因水分蒸发而产生大量泡沫，使槽中的沥青积体膨胀造成外溢，残留在胎基中的水分在浸渍后蒸发可能逸出，极易在卷材中形成针孔，影响其不透水性。因此，浸渍前，必须进行烘干。本项目胎基布经展开装置展开后，对胎基布烘干，烘干温度</w:t>
      </w:r>
      <w:r>
        <w:rPr>
          <w:rFonts w:hint="eastAsia"/>
          <w:color w:val="auto"/>
          <w:sz w:val="24"/>
        </w:rPr>
        <w:t>为</w:t>
      </w:r>
      <w:r>
        <w:rPr>
          <w:color w:val="auto"/>
          <w:sz w:val="24"/>
        </w:rPr>
        <w:t>100℃。烘干后的胎基布具有抗拉度大、延伸性好、抗老化期长、热稳定性好、浸透性及耐腐蚀性强等特点。</w:t>
      </w:r>
      <w:r>
        <w:rPr>
          <w:rFonts w:hint="eastAsia"/>
          <w:color w:val="auto"/>
          <w:sz w:val="24"/>
        </w:rPr>
        <w:t>项目</w:t>
      </w:r>
      <w:r>
        <w:rPr>
          <w:color w:val="auto"/>
          <w:sz w:val="24"/>
        </w:rPr>
        <w:t>采用烘箱烘干法，烘干原理为：以</w:t>
      </w:r>
      <w:r>
        <w:rPr>
          <w:rFonts w:hint="eastAsia"/>
          <w:color w:val="auto"/>
          <w:sz w:val="24"/>
        </w:rPr>
        <w:t>导热油</w:t>
      </w:r>
      <w:r>
        <w:rPr>
          <w:color w:val="auto"/>
          <w:sz w:val="24"/>
        </w:rPr>
        <w:t>作为传热介质，通过</w:t>
      </w:r>
      <w:r>
        <w:rPr>
          <w:rFonts w:hint="eastAsia"/>
          <w:color w:val="auto"/>
          <w:sz w:val="24"/>
        </w:rPr>
        <w:t>导热油</w:t>
      </w:r>
      <w:r>
        <w:rPr>
          <w:color w:val="auto"/>
          <w:sz w:val="24"/>
        </w:rPr>
        <w:t>在</w:t>
      </w:r>
      <w:r>
        <w:rPr>
          <w:rFonts w:hint="eastAsia"/>
          <w:color w:val="auto"/>
          <w:sz w:val="24"/>
        </w:rPr>
        <w:t>胎体烘干装置的管道</w:t>
      </w:r>
      <w:r>
        <w:rPr>
          <w:color w:val="auto"/>
          <w:sz w:val="24"/>
        </w:rPr>
        <w:t>中进行强制性循环，使其被周而复始的加热，</w:t>
      </w:r>
      <w:r>
        <w:rPr>
          <w:rFonts w:hint="eastAsia"/>
          <w:color w:val="auto"/>
          <w:sz w:val="24"/>
        </w:rPr>
        <w:t>以加热的方式烘干胎体，使胎体上的水份基本蒸发</w:t>
      </w:r>
      <w:r>
        <w:rPr>
          <w:color w:val="auto"/>
          <w:sz w:val="24"/>
        </w:rPr>
        <w:t>。</w:t>
      </w:r>
    </w:p>
    <w:p>
      <w:pPr>
        <w:spacing w:line="360" w:lineRule="auto"/>
        <w:ind w:firstLine="480"/>
        <w:rPr>
          <w:color w:val="auto"/>
          <w:sz w:val="24"/>
        </w:rPr>
      </w:pPr>
      <w:r>
        <w:rPr>
          <w:rFonts w:hint="eastAsia"/>
          <w:color w:val="auto"/>
          <w:sz w:val="24"/>
        </w:rPr>
        <w:t>④</w:t>
      </w:r>
      <w:r>
        <w:rPr>
          <w:color w:val="auto"/>
          <w:sz w:val="24"/>
        </w:rPr>
        <w:t>预浸</w:t>
      </w:r>
    </w:p>
    <w:p>
      <w:pPr>
        <w:spacing w:line="360" w:lineRule="auto"/>
        <w:ind w:firstLine="480"/>
        <w:rPr>
          <w:color w:val="auto"/>
          <w:sz w:val="24"/>
        </w:rPr>
      </w:pPr>
      <w:r>
        <w:rPr>
          <w:color w:val="auto"/>
          <w:sz w:val="24"/>
        </w:rPr>
        <w:t>经过烘干后的胎基仍含有一定水分，预浸加热时水分排出，预浸</w:t>
      </w:r>
      <w:r>
        <w:rPr>
          <w:rFonts w:hint="eastAsia"/>
          <w:color w:val="auto"/>
          <w:sz w:val="24"/>
        </w:rPr>
        <w:t>即将胎体与</w:t>
      </w:r>
      <w:r>
        <w:rPr>
          <w:color w:val="auto"/>
          <w:sz w:val="24"/>
        </w:rPr>
        <w:t>料浆</w:t>
      </w:r>
      <w:r>
        <w:rPr>
          <w:rFonts w:hint="eastAsia"/>
          <w:color w:val="auto"/>
          <w:sz w:val="24"/>
        </w:rPr>
        <w:t>初步接触，使料浆初步附着在胎体上。具体做法是</w:t>
      </w:r>
      <w:r>
        <w:rPr>
          <w:color w:val="auto"/>
          <w:sz w:val="24"/>
        </w:rPr>
        <w:t>将烘干后的胎基布由导辊引入预浸槽</w:t>
      </w:r>
      <w:r>
        <w:rPr>
          <w:rFonts w:hint="eastAsia"/>
          <w:color w:val="auto"/>
          <w:sz w:val="24"/>
        </w:rPr>
        <w:t>，</w:t>
      </w:r>
      <w:r>
        <w:rPr>
          <w:color w:val="auto"/>
          <w:sz w:val="24"/>
        </w:rPr>
        <w:t>预浸液</w:t>
      </w:r>
      <w:r>
        <w:rPr>
          <w:rFonts w:hint="eastAsia"/>
          <w:color w:val="auto"/>
          <w:sz w:val="24"/>
        </w:rPr>
        <w:t>为</w:t>
      </w:r>
      <w:r>
        <w:rPr>
          <w:color w:val="auto"/>
          <w:sz w:val="24"/>
        </w:rPr>
        <w:t>胶磨后的料浆，料浆温度约</w:t>
      </w:r>
      <w:r>
        <w:rPr>
          <w:rFonts w:hint="eastAsia"/>
          <w:color w:val="auto"/>
          <w:sz w:val="24"/>
        </w:rPr>
        <w:t>150</w:t>
      </w:r>
      <w:r>
        <w:rPr>
          <w:color w:val="auto"/>
          <w:sz w:val="24"/>
        </w:rPr>
        <w:t>℃，保证胎基被沥青全部</w:t>
      </w:r>
      <w:r>
        <w:rPr>
          <w:rFonts w:hint="eastAsia"/>
          <w:color w:val="auto"/>
          <w:sz w:val="24"/>
        </w:rPr>
        <w:t>浸</w:t>
      </w:r>
      <w:r>
        <w:rPr>
          <w:color w:val="auto"/>
          <w:sz w:val="24"/>
        </w:rPr>
        <w:t>透。</w:t>
      </w:r>
      <w:r>
        <w:rPr>
          <w:rFonts w:hint="eastAsia"/>
          <w:color w:val="auto"/>
          <w:sz w:val="24"/>
        </w:rPr>
        <w:t>在此过程中，</w:t>
      </w:r>
      <w:r>
        <w:rPr>
          <w:color w:val="auto"/>
          <w:sz w:val="24"/>
        </w:rPr>
        <w:t>可兼顾胎基加热作用</w:t>
      </w:r>
      <w:r>
        <w:rPr>
          <w:rFonts w:hint="eastAsia"/>
          <w:color w:val="auto"/>
          <w:sz w:val="24"/>
        </w:rPr>
        <w:t>，使其带有的水分进一步析出</w:t>
      </w:r>
      <w:r>
        <w:rPr>
          <w:color w:val="auto"/>
          <w:sz w:val="24"/>
        </w:rPr>
        <w:t>。</w:t>
      </w:r>
    </w:p>
    <w:p>
      <w:pPr>
        <w:spacing w:line="360" w:lineRule="auto"/>
        <w:ind w:firstLine="480"/>
        <w:rPr>
          <w:color w:val="auto"/>
          <w:sz w:val="24"/>
        </w:rPr>
      </w:pPr>
      <w:r>
        <w:rPr>
          <w:rFonts w:hint="eastAsia"/>
          <w:color w:val="auto"/>
          <w:sz w:val="24"/>
        </w:rPr>
        <w:t>⑤</w:t>
      </w:r>
      <w:r>
        <w:rPr>
          <w:color w:val="auto"/>
          <w:sz w:val="24"/>
        </w:rPr>
        <w:t>浸涂</w:t>
      </w:r>
    </w:p>
    <w:p>
      <w:pPr>
        <w:pStyle w:val="53"/>
        <w:ind w:firstLine="480"/>
        <w:rPr>
          <w:color w:val="auto"/>
          <w:sz w:val="24"/>
        </w:rPr>
      </w:pPr>
      <w:r>
        <w:rPr>
          <w:color w:val="auto"/>
          <w:sz w:val="24"/>
        </w:rPr>
        <w:t>胎基经预浸干燥后，进入浸涂槽浸涂，采用单槽途法。单槽浸涂装置是由成型辊、托辊、压辊、和槽体机架组成，槽上设有集气罩。同时设备有胎基片调偏装置、卷材厚度调整、厚度显示等装置。卷材厚度通过成型辊被校正，调节厚度可单边调节，亦可同时两边调节。</w:t>
      </w:r>
      <w:r>
        <w:rPr>
          <w:rFonts w:hint="eastAsia"/>
          <w:color w:val="auto"/>
          <w:sz w:val="24"/>
          <w:lang w:val="en-US" w:eastAsia="zh-CN"/>
        </w:rPr>
        <w:t>不v</w:t>
      </w:r>
      <w:r>
        <w:rPr>
          <w:color w:val="auto"/>
          <w:sz w:val="24"/>
        </w:rPr>
        <w:t>胎基由调偏牵引辊进入浸涂槽，用可升降的压辊压入，胎基两面被料浆浸涂，再金涂盖压辊滚挤去多余的料浆，并控制卷材的厚度和浸涂层的均匀性。浸涂液为胶磨后的料浆，料浆温度约170℃，可兼顾加热作用。</w:t>
      </w:r>
    </w:p>
    <w:p>
      <w:pPr>
        <w:spacing w:line="360" w:lineRule="auto"/>
        <w:ind w:firstLine="480"/>
        <w:rPr>
          <w:color w:val="auto"/>
          <w:sz w:val="24"/>
        </w:rPr>
      </w:pPr>
      <w:r>
        <w:rPr>
          <w:rFonts w:hint="eastAsia"/>
          <w:color w:val="auto"/>
          <w:sz w:val="24"/>
        </w:rPr>
        <w:t>⑥</w:t>
      </w:r>
      <w:r>
        <w:rPr>
          <w:color w:val="auto"/>
          <w:sz w:val="24"/>
        </w:rPr>
        <w:t>覆膜</w:t>
      </w:r>
    </w:p>
    <w:p>
      <w:pPr>
        <w:spacing w:line="360" w:lineRule="auto"/>
        <w:ind w:firstLine="480"/>
        <w:rPr>
          <w:color w:val="auto"/>
          <w:sz w:val="24"/>
        </w:rPr>
      </w:pPr>
      <w:r>
        <w:rPr>
          <w:color w:val="auto"/>
          <w:sz w:val="24"/>
        </w:rPr>
        <w:t>调控好厚度的产品有导辊依次进入覆膜装置。覆膜设备是由一组对压辊和塑料膜支架所组成。当卷材料通过对压辊时则可将塑料薄膜覆于卷材的表面，可进行双面覆膜。压辊为带花色的压花辊，覆膜过程中，花色即压入卷材表面。</w:t>
      </w:r>
    </w:p>
    <w:p>
      <w:pPr>
        <w:spacing w:line="360" w:lineRule="auto"/>
        <w:ind w:firstLine="480"/>
        <w:rPr>
          <w:color w:val="auto"/>
          <w:sz w:val="24"/>
        </w:rPr>
      </w:pPr>
      <w:r>
        <w:rPr>
          <w:color w:val="auto"/>
          <w:sz w:val="24"/>
        </w:rPr>
        <w:t>⑦</w:t>
      </w:r>
      <w:r>
        <w:rPr>
          <w:rFonts w:hint="eastAsia"/>
          <w:color w:val="auto"/>
          <w:sz w:val="24"/>
        </w:rPr>
        <w:t>冷却</w:t>
      </w:r>
    </w:p>
    <w:p>
      <w:pPr>
        <w:pStyle w:val="53"/>
        <w:ind w:firstLine="480"/>
        <w:rPr>
          <w:color w:val="auto"/>
          <w:sz w:val="24"/>
        </w:rPr>
      </w:pPr>
      <w:r>
        <w:rPr>
          <w:color w:val="auto"/>
          <w:sz w:val="24"/>
        </w:rPr>
        <w:t>为了提高卷材的生产速度，加快浸涂后卷材成型，保证卷材达到成卷时温度，必需进行冷却。单靠自然冷却是不够的，需在卷材成型线上设置冷却装置，其方式为单层水槽式冷却。覆膜后的卷材，经导辊引入水槽与水接触达到冷却目的。</w:t>
      </w:r>
    </w:p>
    <w:p>
      <w:pPr>
        <w:spacing w:line="360" w:lineRule="auto"/>
        <w:ind w:firstLine="480"/>
        <w:rPr>
          <w:color w:val="auto"/>
          <w:sz w:val="24"/>
          <w:szCs w:val="21"/>
        </w:rPr>
      </w:pPr>
      <w:r>
        <w:rPr>
          <w:color w:val="auto"/>
          <w:sz w:val="24"/>
          <w:szCs w:val="21"/>
        </w:rPr>
        <w:t>⑧</w:t>
      </w:r>
      <w:r>
        <w:rPr>
          <w:color w:val="auto"/>
          <w:sz w:val="24"/>
        </w:rPr>
        <w:t>成卷</w:t>
      </w:r>
    </w:p>
    <w:p>
      <w:pPr>
        <w:pStyle w:val="53"/>
        <w:ind w:firstLine="480"/>
        <w:rPr>
          <w:color w:val="auto"/>
          <w:sz w:val="24"/>
        </w:rPr>
      </w:pPr>
      <w:r>
        <w:rPr>
          <w:color w:val="auto"/>
          <w:sz w:val="24"/>
        </w:rPr>
        <w:t>将上述冷却后的产品由导棍引入成品贮存装置，测量长度成卷下线。</w:t>
      </w:r>
    </w:p>
    <w:p>
      <w:pPr>
        <w:pStyle w:val="7"/>
        <w:numPr>
          <w:ilvl w:val="2"/>
          <w:numId w:val="0"/>
        </w:numPr>
        <w:tabs>
          <w:tab w:val="clear" w:pos="720"/>
        </w:tabs>
        <w:spacing w:before="159" w:after="159"/>
        <w:rPr>
          <w:color w:val="auto"/>
        </w:rPr>
      </w:pPr>
      <w:bookmarkStart w:id="460" w:name="_Toc19951"/>
      <w:bookmarkStart w:id="461" w:name="_Toc14997"/>
      <w:r>
        <w:rPr>
          <w:rFonts w:hint="eastAsia"/>
          <w:color w:val="auto"/>
        </w:rPr>
        <w:t xml:space="preserve">4.4.3  </w:t>
      </w:r>
      <w:r>
        <w:rPr>
          <w:color w:val="auto"/>
        </w:rPr>
        <w:t>产污环节</w:t>
      </w:r>
      <w:bookmarkEnd w:id="460"/>
      <w:bookmarkEnd w:id="461"/>
    </w:p>
    <w:p>
      <w:pPr>
        <w:spacing w:line="360" w:lineRule="auto"/>
        <w:ind w:firstLine="480"/>
        <w:rPr>
          <w:color w:val="auto"/>
          <w:sz w:val="24"/>
          <w:szCs w:val="21"/>
        </w:rPr>
      </w:pPr>
      <w:r>
        <w:rPr>
          <w:rFonts w:hint="eastAsia"/>
          <w:color w:val="auto"/>
          <w:sz w:val="24"/>
          <w:szCs w:val="21"/>
          <w:lang w:val="en-US" w:eastAsia="zh-CN"/>
        </w:rPr>
        <w:t>迁改扩建后</w:t>
      </w:r>
      <w:r>
        <w:rPr>
          <w:color w:val="auto"/>
          <w:sz w:val="24"/>
          <w:szCs w:val="21"/>
        </w:rPr>
        <w:t>项目</w:t>
      </w:r>
      <w:r>
        <w:rPr>
          <w:rFonts w:hint="eastAsia"/>
          <w:color w:val="auto"/>
          <w:sz w:val="24"/>
          <w:szCs w:val="21"/>
          <w:lang w:val="en-US" w:eastAsia="zh-CN"/>
        </w:rPr>
        <w:t>整体</w:t>
      </w:r>
      <w:r>
        <w:rPr>
          <w:color w:val="auto"/>
          <w:sz w:val="24"/>
          <w:szCs w:val="21"/>
        </w:rPr>
        <w:t>产污节点具体如下表。</w:t>
      </w:r>
    </w:p>
    <w:p>
      <w:pPr>
        <w:tabs>
          <w:tab w:val="left" w:pos="1081"/>
        </w:tabs>
        <w:spacing w:line="480" w:lineRule="exact"/>
        <w:ind w:firstLine="480"/>
        <w:jc w:val="center"/>
        <w:rPr>
          <w:b/>
          <w:color w:val="auto"/>
          <w:szCs w:val="21"/>
        </w:rPr>
      </w:pPr>
      <w:r>
        <w:rPr>
          <w:b/>
          <w:color w:val="auto"/>
          <w:szCs w:val="21"/>
        </w:rPr>
        <w:t>表</w:t>
      </w:r>
      <w:r>
        <w:rPr>
          <w:rFonts w:hint="eastAsia"/>
          <w:b/>
          <w:color w:val="auto"/>
          <w:szCs w:val="21"/>
        </w:rPr>
        <w:t>4</w:t>
      </w:r>
      <w:r>
        <w:rPr>
          <w:b/>
          <w:color w:val="auto"/>
          <w:szCs w:val="21"/>
        </w:rPr>
        <w:t>.4-</w:t>
      </w:r>
      <w:r>
        <w:rPr>
          <w:rFonts w:hint="eastAsia"/>
          <w:b/>
          <w:color w:val="auto"/>
          <w:szCs w:val="21"/>
        </w:rPr>
        <w:t xml:space="preserve">1 </w:t>
      </w:r>
      <w:r>
        <w:rPr>
          <w:b/>
          <w:color w:val="auto"/>
          <w:szCs w:val="21"/>
        </w:rPr>
        <w:t xml:space="preserve"> 产污节点汇总表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1691"/>
        <w:gridCol w:w="1696"/>
        <w:gridCol w:w="1828"/>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tcBorders>
              <w:tl2br w:val="nil"/>
              <w:tr2bl w:val="nil"/>
            </w:tcBorders>
            <w:vAlign w:val="center"/>
          </w:tcPr>
          <w:p>
            <w:pPr>
              <w:jc w:val="center"/>
              <w:rPr>
                <w:color w:val="auto"/>
                <w:szCs w:val="21"/>
              </w:rPr>
            </w:pPr>
            <w:r>
              <w:rPr>
                <w:color w:val="auto"/>
                <w:szCs w:val="21"/>
              </w:rPr>
              <w:t>污染物类别</w:t>
            </w:r>
          </w:p>
        </w:tc>
        <w:tc>
          <w:tcPr>
            <w:tcW w:w="1691" w:type="dxa"/>
            <w:tcBorders>
              <w:tl2br w:val="nil"/>
              <w:tr2bl w:val="nil"/>
            </w:tcBorders>
            <w:vAlign w:val="center"/>
          </w:tcPr>
          <w:p>
            <w:pPr>
              <w:jc w:val="center"/>
              <w:rPr>
                <w:color w:val="auto"/>
                <w:szCs w:val="21"/>
              </w:rPr>
            </w:pPr>
            <w:r>
              <w:rPr>
                <w:color w:val="auto"/>
                <w:szCs w:val="21"/>
              </w:rPr>
              <w:t>来源</w:t>
            </w:r>
          </w:p>
        </w:tc>
        <w:tc>
          <w:tcPr>
            <w:tcW w:w="1696" w:type="dxa"/>
            <w:tcBorders>
              <w:tl2br w:val="nil"/>
              <w:tr2bl w:val="nil"/>
            </w:tcBorders>
            <w:vAlign w:val="center"/>
          </w:tcPr>
          <w:p>
            <w:pPr>
              <w:jc w:val="center"/>
              <w:rPr>
                <w:color w:val="auto"/>
                <w:szCs w:val="21"/>
              </w:rPr>
            </w:pPr>
            <w:r>
              <w:rPr>
                <w:color w:val="auto"/>
                <w:szCs w:val="21"/>
              </w:rPr>
              <w:t>污染物</w:t>
            </w:r>
          </w:p>
        </w:tc>
        <w:tc>
          <w:tcPr>
            <w:tcW w:w="1828" w:type="dxa"/>
            <w:tcBorders>
              <w:tl2br w:val="nil"/>
              <w:tr2bl w:val="nil"/>
            </w:tcBorders>
            <w:vAlign w:val="center"/>
          </w:tcPr>
          <w:p>
            <w:pPr>
              <w:jc w:val="center"/>
              <w:rPr>
                <w:color w:val="auto"/>
                <w:szCs w:val="21"/>
              </w:rPr>
            </w:pPr>
            <w:r>
              <w:rPr>
                <w:color w:val="auto"/>
                <w:szCs w:val="21"/>
              </w:rPr>
              <w:t>治理措施</w:t>
            </w:r>
          </w:p>
        </w:tc>
        <w:tc>
          <w:tcPr>
            <w:tcW w:w="2783" w:type="dxa"/>
            <w:tcBorders>
              <w:tl2br w:val="nil"/>
              <w:tr2bl w:val="nil"/>
            </w:tcBorders>
            <w:vAlign w:val="center"/>
          </w:tcPr>
          <w:p>
            <w:pPr>
              <w:jc w:val="center"/>
              <w:rPr>
                <w:color w:val="auto"/>
                <w:szCs w:val="21"/>
              </w:rPr>
            </w:pPr>
            <w:r>
              <w:rPr>
                <w:color w:val="auto"/>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restart"/>
            <w:tcBorders>
              <w:tl2br w:val="nil"/>
              <w:tr2bl w:val="nil"/>
            </w:tcBorders>
            <w:vAlign w:val="center"/>
          </w:tcPr>
          <w:p>
            <w:pPr>
              <w:jc w:val="center"/>
              <w:rPr>
                <w:color w:val="auto"/>
                <w:szCs w:val="21"/>
              </w:rPr>
            </w:pPr>
            <w:r>
              <w:rPr>
                <w:color w:val="auto"/>
                <w:szCs w:val="21"/>
              </w:rPr>
              <w:t>废水</w:t>
            </w:r>
          </w:p>
        </w:tc>
        <w:tc>
          <w:tcPr>
            <w:tcW w:w="1691" w:type="dxa"/>
            <w:tcBorders>
              <w:tl2br w:val="nil"/>
              <w:tr2bl w:val="nil"/>
            </w:tcBorders>
            <w:vAlign w:val="center"/>
          </w:tcPr>
          <w:p>
            <w:pPr>
              <w:jc w:val="center"/>
              <w:rPr>
                <w:bCs/>
                <w:color w:val="auto"/>
                <w:szCs w:val="21"/>
              </w:rPr>
            </w:pPr>
            <w:r>
              <w:rPr>
                <w:bCs/>
                <w:color w:val="auto"/>
                <w:szCs w:val="21"/>
              </w:rPr>
              <w:t>员工生活</w:t>
            </w:r>
          </w:p>
        </w:tc>
        <w:tc>
          <w:tcPr>
            <w:tcW w:w="1696" w:type="dxa"/>
            <w:tcBorders>
              <w:tl2br w:val="nil"/>
              <w:tr2bl w:val="nil"/>
            </w:tcBorders>
            <w:vAlign w:val="center"/>
          </w:tcPr>
          <w:p>
            <w:pPr>
              <w:jc w:val="center"/>
              <w:rPr>
                <w:color w:val="auto"/>
                <w:szCs w:val="21"/>
              </w:rPr>
            </w:pPr>
            <w:r>
              <w:rPr>
                <w:color w:val="auto"/>
                <w:szCs w:val="21"/>
              </w:rPr>
              <w:t>生活污水</w:t>
            </w:r>
          </w:p>
        </w:tc>
        <w:tc>
          <w:tcPr>
            <w:tcW w:w="1828" w:type="dxa"/>
            <w:tcBorders>
              <w:tl2br w:val="nil"/>
              <w:tr2bl w:val="nil"/>
            </w:tcBorders>
            <w:vAlign w:val="center"/>
          </w:tcPr>
          <w:p>
            <w:pPr>
              <w:jc w:val="center"/>
              <w:rPr>
                <w:color w:val="auto"/>
                <w:szCs w:val="21"/>
              </w:rPr>
            </w:pPr>
            <w:r>
              <w:rPr>
                <w:color w:val="auto"/>
                <w:szCs w:val="21"/>
              </w:rPr>
              <w:t>三级化粪池预处理</w:t>
            </w:r>
          </w:p>
        </w:tc>
        <w:tc>
          <w:tcPr>
            <w:tcW w:w="2783" w:type="dxa"/>
            <w:tcBorders>
              <w:tl2br w:val="nil"/>
              <w:tr2bl w:val="nil"/>
            </w:tcBorders>
            <w:vAlign w:val="center"/>
          </w:tcPr>
          <w:p>
            <w:pPr>
              <w:jc w:val="center"/>
              <w:rPr>
                <w:color w:val="auto"/>
                <w:szCs w:val="21"/>
              </w:rPr>
            </w:pPr>
            <w:r>
              <w:rPr>
                <w:color w:val="auto"/>
                <w:szCs w:val="21"/>
              </w:rPr>
              <w:t>经市政管网进入石角污水处理厂进一步处理，最后达标进入沙埗溪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bCs/>
                <w:color w:val="auto"/>
                <w:szCs w:val="21"/>
              </w:rPr>
            </w:pPr>
            <w:r>
              <w:rPr>
                <w:color w:val="auto"/>
                <w:szCs w:val="21"/>
              </w:rPr>
              <w:t>二破工序</w:t>
            </w:r>
          </w:p>
        </w:tc>
        <w:tc>
          <w:tcPr>
            <w:tcW w:w="1696" w:type="dxa"/>
            <w:vMerge w:val="restart"/>
            <w:tcBorders>
              <w:tl2br w:val="nil"/>
              <w:tr2bl w:val="nil"/>
            </w:tcBorders>
            <w:vAlign w:val="center"/>
          </w:tcPr>
          <w:p>
            <w:pPr>
              <w:jc w:val="center"/>
              <w:rPr>
                <w:color w:val="auto"/>
                <w:szCs w:val="21"/>
              </w:rPr>
            </w:pPr>
            <w:r>
              <w:rPr>
                <w:color w:val="auto"/>
                <w:szCs w:val="21"/>
              </w:rPr>
              <w:t>生产废水</w:t>
            </w:r>
          </w:p>
        </w:tc>
        <w:tc>
          <w:tcPr>
            <w:tcW w:w="1828" w:type="dxa"/>
            <w:vMerge w:val="restart"/>
            <w:tcBorders>
              <w:tl2br w:val="nil"/>
              <w:tr2bl w:val="nil"/>
            </w:tcBorders>
            <w:vAlign w:val="center"/>
          </w:tcPr>
          <w:p>
            <w:pPr>
              <w:jc w:val="center"/>
              <w:rPr>
                <w:color w:val="auto"/>
                <w:szCs w:val="21"/>
              </w:rPr>
            </w:pPr>
            <w:r>
              <w:rPr>
                <w:color w:val="auto"/>
                <w:szCs w:val="21"/>
              </w:rPr>
              <w:t>沉淀池处理</w:t>
            </w:r>
          </w:p>
        </w:tc>
        <w:tc>
          <w:tcPr>
            <w:tcW w:w="2783" w:type="dxa"/>
            <w:vMerge w:val="restart"/>
            <w:tcBorders>
              <w:tl2br w:val="nil"/>
              <w:tr2bl w:val="nil"/>
            </w:tcBorders>
            <w:vAlign w:val="center"/>
          </w:tcPr>
          <w:p>
            <w:pPr>
              <w:jc w:val="center"/>
              <w:rPr>
                <w:color w:val="auto"/>
                <w:szCs w:val="21"/>
              </w:rPr>
            </w:pPr>
            <w:r>
              <w:rPr>
                <w:color w:val="auto"/>
                <w:szCs w:val="21"/>
              </w:rPr>
              <w:t>回用于生产，不外排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bCs/>
                <w:color w:val="auto"/>
                <w:szCs w:val="21"/>
              </w:rPr>
            </w:pPr>
            <w:r>
              <w:rPr>
                <w:color w:val="auto"/>
                <w:szCs w:val="21"/>
              </w:rPr>
              <w:t>分选工序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脱水工序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冷却工序</w:t>
            </w:r>
          </w:p>
        </w:tc>
        <w:tc>
          <w:tcPr>
            <w:tcW w:w="1696" w:type="dxa"/>
            <w:tcBorders>
              <w:tl2br w:val="nil"/>
              <w:tr2bl w:val="nil"/>
            </w:tcBorders>
            <w:vAlign w:val="center"/>
          </w:tcPr>
          <w:p>
            <w:pPr>
              <w:jc w:val="center"/>
              <w:rPr>
                <w:color w:val="auto"/>
                <w:szCs w:val="21"/>
              </w:rPr>
            </w:pPr>
            <w:r>
              <w:rPr>
                <w:color w:val="auto"/>
                <w:szCs w:val="21"/>
              </w:rPr>
              <w:t>冷却水</w:t>
            </w:r>
          </w:p>
        </w:tc>
        <w:tc>
          <w:tcPr>
            <w:tcW w:w="1828" w:type="dxa"/>
            <w:tcBorders>
              <w:tl2br w:val="nil"/>
              <w:tr2bl w:val="nil"/>
            </w:tcBorders>
            <w:vAlign w:val="center"/>
          </w:tcPr>
          <w:p>
            <w:pPr>
              <w:jc w:val="center"/>
              <w:rPr>
                <w:color w:val="auto"/>
                <w:szCs w:val="21"/>
              </w:rPr>
            </w:pPr>
            <w:r>
              <w:rPr>
                <w:color w:val="auto"/>
                <w:szCs w:val="21"/>
              </w:rPr>
              <w:t>冷却塔冷却</w:t>
            </w:r>
          </w:p>
        </w:tc>
        <w:tc>
          <w:tcPr>
            <w:tcW w:w="2783" w:type="dxa"/>
            <w:tcBorders>
              <w:tl2br w:val="nil"/>
              <w:tr2bl w:val="nil"/>
            </w:tcBorders>
            <w:vAlign w:val="center"/>
          </w:tcPr>
          <w:p>
            <w:pPr>
              <w:jc w:val="center"/>
              <w:rPr>
                <w:color w:val="auto"/>
                <w:szCs w:val="21"/>
              </w:rPr>
            </w:pPr>
            <w:r>
              <w:rPr>
                <w:color w:val="auto"/>
                <w:szCs w:val="21"/>
              </w:rPr>
              <w:t>循环利用，不外排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restart"/>
            <w:tcBorders>
              <w:tl2br w:val="nil"/>
              <w:tr2bl w:val="nil"/>
            </w:tcBorders>
            <w:vAlign w:val="center"/>
          </w:tcPr>
          <w:p>
            <w:pPr>
              <w:jc w:val="center"/>
              <w:rPr>
                <w:color w:val="auto"/>
                <w:szCs w:val="21"/>
              </w:rPr>
            </w:pPr>
            <w:r>
              <w:rPr>
                <w:color w:val="auto"/>
                <w:szCs w:val="21"/>
              </w:rPr>
              <w:t>废气</w:t>
            </w:r>
          </w:p>
        </w:tc>
        <w:tc>
          <w:tcPr>
            <w:tcW w:w="1691" w:type="dxa"/>
            <w:tcBorders>
              <w:tl2br w:val="nil"/>
              <w:tr2bl w:val="nil"/>
            </w:tcBorders>
            <w:vAlign w:val="center"/>
          </w:tcPr>
          <w:p>
            <w:pPr>
              <w:jc w:val="center"/>
              <w:rPr>
                <w:color w:val="auto"/>
                <w:szCs w:val="21"/>
              </w:rPr>
            </w:pPr>
            <w:r>
              <w:rPr>
                <w:bCs/>
                <w:color w:val="auto"/>
                <w:szCs w:val="21"/>
              </w:rPr>
              <w:t>一破工序</w:t>
            </w:r>
          </w:p>
        </w:tc>
        <w:tc>
          <w:tcPr>
            <w:tcW w:w="1696" w:type="dxa"/>
            <w:tcBorders>
              <w:tl2br w:val="nil"/>
              <w:tr2bl w:val="nil"/>
            </w:tcBorders>
            <w:vAlign w:val="center"/>
          </w:tcPr>
          <w:p>
            <w:pPr>
              <w:jc w:val="center"/>
              <w:rPr>
                <w:color w:val="auto"/>
                <w:szCs w:val="21"/>
              </w:rPr>
            </w:pPr>
            <w:r>
              <w:rPr>
                <w:color w:val="auto"/>
                <w:szCs w:val="21"/>
              </w:rPr>
              <w:t>破碎粉尘</w:t>
            </w:r>
          </w:p>
        </w:tc>
        <w:tc>
          <w:tcPr>
            <w:tcW w:w="1828" w:type="dxa"/>
            <w:tcBorders>
              <w:tl2br w:val="nil"/>
              <w:tr2bl w:val="nil"/>
            </w:tcBorders>
            <w:vAlign w:val="center"/>
          </w:tcPr>
          <w:p>
            <w:pPr>
              <w:jc w:val="center"/>
              <w:rPr>
                <w:color w:val="auto"/>
                <w:szCs w:val="21"/>
              </w:rPr>
            </w:pPr>
            <w:r>
              <w:rPr>
                <w:color w:val="auto"/>
                <w:szCs w:val="21"/>
              </w:rPr>
              <w:t>旋风布袋除尘器</w:t>
            </w:r>
          </w:p>
        </w:tc>
        <w:tc>
          <w:tcPr>
            <w:tcW w:w="2783" w:type="dxa"/>
            <w:tcBorders>
              <w:tl2br w:val="nil"/>
              <w:tr2bl w:val="nil"/>
            </w:tcBorders>
            <w:vAlign w:val="center"/>
          </w:tcPr>
          <w:p>
            <w:pPr>
              <w:jc w:val="center"/>
              <w:rPr>
                <w:color w:val="auto"/>
                <w:szCs w:val="21"/>
              </w:rPr>
            </w:pPr>
            <w:r>
              <w:rPr>
                <w:color w:val="auto"/>
                <w:szCs w:val="21"/>
              </w:rPr>
              <w:t>经处理后从排气筒G2达标排放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bCs/>
                <w:color w:val="auto"/>
                <w:szCs w:val="21"/>
              </w:rPr>
            </w:pPr>
            <w:r>
              <w:rPr>
                <w:color w:val="auto"/>
                <w:szCs w:val="21"/>
              </w:rPr>
              <w:t>配料工序</w:t>
            </w:r>
          </w:p>
        </w:tc>
        <w:tc>
          <w:tcPr>
            <w:tcW w:w="1696" w:type="dxa"/>
            <w:tcBorders>
              <w:tl2br w:val="nil"/>
              <w:tr2bl w:val="nil"/>
            </w:tcBorders>
            <w:vAlign w:val="center"/>
          </w:tcPr>
          <w:p>
            <w:pPr>
              <w:jc w:val="center"/>
              <w:rPr>
                <w:color w:val="auto"/>
                <w:szCs w:val="21"/>
              </w:rPr>
            </w:pPr>
            <w:r>
              <w:rPr>
                <w:color w:val="auto"/>
                <w:szCs w:val="21"/>
              </w:rPr>
              <w:t>投料粉尘</w:t>
            </w:r>
          </w:p>
        </w:tc>
        <w:tc>
          <w:tcPr>
            <w:tcW w:w="1828" w:type="dxa"/>
            <w:vMerge w:val="restart"/>
            <w:tcBorders>
              <w:tl2br w:val="nil"/>
              <w:tr2bl w:val="nil"/>
            </w:tcBorders>
            <w:vAlign w:val="center"/>
          </w:tcPr>
          <w:p>
            <w:pPr>
              <w:jc w:val="center"/>
              <w:rPr>
                <w:color w:val="auto"/>
                <w:szCs w:val="21"/>
              </w:rPr>
            </w:pPr>
            <w:r>
              <w:rPr>
                <w:color w:val="auto"/>
                <w:szCs w:val="21"/>
              </w:rPr>
              <w:t>旋风除尘+冷凝器+油烟净化器+UV光解+活性炭吸附</w:t>
            </w:r>
          </w:p>
        </w:tc>
        <w:tc>
          <w:tcPr>
            <w:tcW w:w="2783" w:type="dxa"/>
            <w:vMerge w:val="restart"/>
            <w:tcBorders>
              <w:tl2br w:val="nil"/>
              <w:tr2bl w:val="nil"/>
            </w:tcBorders>
            <w:vAlign w:val="center"/>
          </w:tcPr>
          <w:p>
            <w:pPr>
              <w:jc w:val="center"/>
              <w:rPr>
                <w:color w:val="auto"/>
                <w:szCs w:val="21"/>
              </w:rPr>
            </w:pPr>
            <w:r>
              <w:rPr>
                <w:color w:val="auto"/>
                <w:szCs w:val="21"/>
              </w:rPr>
              <w:t>经处理后从排气筒G1达标排放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配料工序</w:t>
            </w:r>
          </w:p>
        </w:tc>
        <w:tc>
          <w:tcPr>
            <w:tcW w:w="1696" w:type="dxa"/>
            <w:vMerge w:val="restart"/>
            <w:tcBorders>
              <w:tl2br w:val="nil"/>
              <w:tr2bl w:val="nil"/>
            </w:tcBorders>
            <w:vAlign w:val="center"/>
          </w:tcPr>
          <w:p>
            <w:pPr>
              <w:spacing w:line="288" w:lineRule="auto"/>
              <w:jc w:val="center"/>
              <w:rPr>
                <w:color w:val="auto"/>
                <w:szCs w:val="21"/>
              </w:rPr>
            </w:pPr>
            <w:r>
              <w:rPr>
                <w:color w:val="auto"/>
                <w:szCs w:val="21"/>
              </w:rPr>
              <w:t>苯并[a]芘、</w:t>
            </w:r>
          </w:p>
          <w:p>
            <w:pPr>
              <w:spacing w:line="288" w:lineRule="auto"/>
              <w:jc w:val="center"/>
              <w:rPr>
                <w:color w:val="auto"/>
                <w:szCs w:val="21"/>
              </w:rPr>
            </w:pPr>
            <w:r>
              <w:rPr>
                <w:color w:val="auto"/>
                <w:szCs w:val="21"/>
              </w:rPr>
              <w:t>沥青烟、</w:t>
            </w:r>
          </w:p>
          <w:p>
            <w:pPr>
              <w:spacing w:line="288" w:lineRule="auto"/>
              <w:jc w:val="center"/>
              <w:rPr>
                <w:color w:val="auto"/>
                <w:szCs w:val="21"/>
              </w:rPr>
            </w:pPr>
            <w:r>
              <w:rPr>
                <w:color w:val="auto"/>
                <w:szCs w:val="21"/>
              </w:rPr>
              <w:t>非甲烷总烃</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预浸工序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浸涂工序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覆膜工序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冷却工序</w:t>
            </w:r>
          </w:p>
        </w:tc>
        <w:tc>
          <w:tcPr>
            <w:tcW w:w="1696" w:type="dxa"/>
            <w:vMerge w:val="continue"/>
            <w:tcBorders>
              <w:tl2br w:val="nil"/>
              <w:tr2bl w:val="nil"/>
            </w:tcBorders>
            <w:vAlign w:val="center"/>
          </w:tcPr>
          <w:p>
            <w:pPr>
              <w:jc w:val="center"/>
              <w:rPr>
                <w:color w:val="auto"/>
                <w:szCs w:val="21"/>
              </w:rPr>
            </w:pP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rFonts w:hint="eastAsia" w:eastAsia="宋体"/>
                <w:color w:val="auto"/>
                <w:szCs w:val="21"/>
                <w:lang w:eastAsia="zh-CN"/>
              </w:rPr>
            </w:pPr>
            <w:r>
              <w:rPr>
                <w:rFonts w:hint="eastAsia"/>
                <w:color w:val="auto"/>
                <w:szCs w:val="21"/>
                <w:lang w:eastAsia="zh-CN"/>
              </w:rPr>
              <w:t>导热油炉</w:t>
            </w:r>
          </w:p>
        </w:tc>
        <w:tc>
          <w:tcPr>
            <w:tcW w:w="1696" w:type="dxa"/>
            <w:tcBorders>
              <w:tl2br w:val="nil"/>
              <w:tr2bl w:val="nil"/>
            </w:tcBorders>
            <w:vAlign w:val="center"/>
          </w:tcPr>
          <w:p>
            <w:pPr>
              <w:jc w:val="center"/>
              <w:rPr>
                <w:color w:val="auto"/>
                <w:szCs w:val="21"/>
              </w:rPr>
            </w:pPr>
            <w:r>
              <w:rPr>
                <w:color w:val="auto"/>
                <w:szCs w:val="21"/>
              </w:rPr>
              <w:t>二氧化硫、氮氧化物、</w:t>
            </w:r>
            <w:r>
              <w:rPr>
                <w:rFonts w:hint="eastAsia"/>
                <w:color w:val="auto"/>
                <w:szCs w:val="21"/>
                <w:lang w:eastAsia="zh-CN"/>
              </w:rPr>
              <w:t>颗粒物</w:t>
            </w:r>
          </w:p>
        </w:tc>
        <w:tc>
          <w:tcPr>
            <w:tcW w:w="1828" w:type="dxa"/>
            <w:tcBorders>
              <w:tl2br w:val="nil"/>
              <w:tr2bl w:val="nil"/>
            </w:tcBorders>
            <w:vAlign w:val="center"/>
          </w:tcPr>
          <w:p>
            <w:pPr>
              <w:jc w:val="center"/>
              <w:rPr>
                <w:color w:val="auto"/>
                <w:szCs w:val="21"/>
              </w:rPr>
            </w:pPr>
            <w:r>
              <w:rPr>
                <w:color w:val="auto"/>
                <w:szCs w:val="21"/>
              </w:rPr>
              <w:t>/</w:t>
            </w:r>
          </w:p>
        </w:tc>
        <w:tc>
          <w:tcPr>
            <w:tcW w:w="2783" w:type="dxa"/>
            <w:tcBorders>
              <w:tl2br w:val="nil"/>
              <w:tr2bl w:val="nil"/>
            </w:tcBorders>
            <w:vAlign w:val="center"/>
          </w:tcPr>
          <w:p>
            <w:pPr>
              <w:jc w:val="center"/>
              <w:rPr>
                <w:color w:val="auto"/>
                <w:szCs w:val="21"/>
              </w:rPr>
            </w:pPr>
            <w:r>
              <w:rPr>
                <w:color w:val="auto"/>
                <w:szCs w:val="21"/>
              </w:rPr>
              <w:t>排气筒G3排放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tcBorders>
              <w:tl2br w:val="nil"/>
              <w:tr2bl w:val="nil"/>
            </w:tcBorders>
            <w:vAlign w:val="center"/>
          </w:tcPr>
          <w:p>
            <w:pPr>
              <w:jc w:val="center"/>
              <w:rPr>
                <w:color w:val="auto"/>
                <w:szCs w:val="21"/>
              </w:rPr>
            </w:pPr>
            <w:r>
              <w:rPr>
                <w:color w:val="auto"/>
                <w:szCs w:val="21"/>
              </w:rPr>
              <w:t>噪声</w:t>
            </w:r>
          </w:p>
        </w:tc>
        <w:tc>
          <w:tcPr>
            <w:tcW w:w="1691" w:type="dxa"/>
            <w:tcBorders>
              <w:tl2br w:val="nil"/>
              <w:tr2bl w:val="nil"/>
            </w:tcBorders>
            <w:vAlign w:val="center"/>
          </w:tcPr>
          <w:p>
            <w:pPr>
              <w:jc w:val="center"/>
              <w:rPr>
                <w:color w:val="auto"/>
                <w:szCs w:val="21"/>
              </w:rPr>
            </w:pPr>
            <w:r>
              <w:rPr>
                <w:color w:val="auto"/>
                <w:szCs w:val="21"/>
              </w:rPr>
              <w:t>各机械设备</w:t>
            </w:r>
          </w:p>
        </w:tc>
        <w:tc>
          <w:tcPr>
            <w:tcW w:w="1696" w:type="dxa"/>
            <w:tcBorders>
              <w:tl2br w:val="nil"/>
              <w:tr2bl w:val="nil"/>
            </w:tcBorders>
            <w:vAlign w:val="center"/>
          </w:tcPr>
          <w:p>
            <w:pPr>
              <w:jc w:val="center"/>
              <w:rPr>
                <w:color w:val="auto"/>
                <w:szCs w:val="21"/>
              </w:rPr>
            </w:pPr>
            <w:r>
              <w:rPr>
                <w:color w:val="auto"/>
                <w:szCs w:val="21"/>
              </w:rPr>
              <w:t>噪声</w:t>
            </w:r>
          </w:p>
        </w:tc>
        <w:tc>
          <w:tcPr>
            <w:tcW w:w="1828" w:type="dxa"/>
            <w:tcBorders>
              <w:tl2br w:val="nil"/>
              <w:tr2bl w:val="nil"/>
            </w:tcBorders>
            <w:vAlign w:val="center"/>
          </w:tcPr>
          <w:p>
            <w:pPr>
              <w:jc w:val="center"/>
              <w:rPr>
                <w:color w:val="auto"/>
                <w:szCs w:val="21"/>
              </w:rPr>
            </w:pPr>
            <w:r>
              <w:rPr>
                <w:color w:val="auto"/>
                <w:szCs w:val="21"/>
              </w:rPr>
              <w:t>安装减震垫、隔声</w:t>
            </w:r>
          </w:p>
        </w:tc>
        <w:tc>
          <w:tcPr>
            <w:tcW w:w="2783" w:type="dxa"/>
            <w:tcBorders>
              <w:tl2br w:val="nil"/>
              <w:tr2bl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restart"/>
            <w:tcBorders>
              <w:tl2br w:val="nil"/>
              <w:tr2bl w:val="nil"/>
            </w:tcBorders>
            <w:vAlign w:val="center"/>
          </w:tcPr>
          <w:p>
            <w:pPr>
              <w:jc w:val="center"/>
              <w:rPr>
                <w:color w:val="auto"/>
                <w:szCs w:val="21"/>
              </w:rPr>
            </w:pPr>
            <w:r>
              <w:rPr>
                <w:color w:val="auto"/>
                <w:szCs w:val="21"/>
              </w:rPr>
              <w:t>一般</w:t>
            </w:r>
          </w:p>
          <w:p>
            <w:pPr>
              <w:jc w:val="center"/>
              <w:rPr>
                <w:color w:val="auto"/>
                <w:szCs w:val="21"/>
              </w:rPr>
            </w:pPr>
            <w:r>
              <w:rPr>
                <w:color w:val="auto"/>
                <w:szCs w:val="21"/>
              </w:rPr>
              <w:t>固废</w:t>
            </w:r>
          </w:p>
        </w:tc>
        <w:tc>
          <w:tcPr>
            <w:tcW w:w="1691" w:type="dxa"/>
            <w:tcBorders>
              <w:tl2br w:val="nil"/>
              <w:tr2bl w:val="nil"/>
            </w:tcBorders>
            <w:vAlign w:val="center"/>
          </w:tcPr>
          <w:p>
            <w:pPr>
              <w:jc w:val="center"/>
              <w:rPr>
                <w:color w:val="auto"/>
                <w:szCs w:val="21"/>
              </w:rPr>
            </w:pPr>
            <w:r>
              <w:rPr>
                <w:color w:val="auto"/>
                <w:szCs w:val="21"/>
              </w:rPr>
              <w:t>员工生活</w:t>
            </w:r>
          </w:p>
        </w:tc>
        <w:tc>
          <w:tcPr>
            <w:tcW w:w="1696" w:type="dxa"/>
            <w:tcBorders>
              <w:tl2br w:val="nil"/>
              <w:tr2bl w:val="nil"/>
            </w:tcBorders>
            <w:vAlign w:val="center"/>
          </w:tcPr>
          <w:p>
            <w:pPr>
              <w:jc w:val="center"/>
              <w:rPr>
                <w:color w:val="auto"/>
                <w:szCs w:val="21"/>
              </w:rPr>
            </w:pPr>
            <w:r>
              <w:rPr>
                <w:color w:val="auto"/>
                <w:szCs w:val="21"/>
              </w:rPr>
              <w:t>生活垃圾</w:t>
            </w:r>
          </w:p>
        </w:tc>
        <w:tc>
          <w:tcPr>
            <w:tcW w:w="1828" w:type="dxa"/>
            <w:tcBorders>
              <w:tl2br w:val="nil"/>
              <w:tr2bl w:val="nil"/>
            </w:tcBorders>
            <w:vAlign w:val="center"/>
          </w:tcPr>
          <w:p>
            <w:pPr>
              <w:jc w:val="center"/>
              <w:rPr>
                <w:color w:val="auto"/>
                <w:szCs w:val="21"/>
              </w:rPr>
            </w:pPr>
            <w:r>
              <w:rPr>
                <w:color w:val="auto"/>
                <w:szCs w:val="21"/>
              </w:rPr>
              <w:t>分类收集、及时清运</w:t>
            </w:r>
          </w:p>
        </w:tc>
        <w:tc>
          <w:tcPr>
            <w:tcW w:w="2783" w:type="dxa"/>
            <w:tcBorders>
              <w:tl2br w:val="nil"/>
              <w:tr2bl w:val="nil"/>
            </w:tcBorders>
            <w:vAlign w:val="center"/>
          </w:tcPr>
          <w:p>
            <w:pPr>
              <w:jc w:val="center"/>
              <w:rPr>
                <w:color w:val="auto"/>
                <w:szCs w:val="21"/>
              </w:rPr>
            </w:pPr>
            <w:r>
              <w:rPr>
                <w:color w:val="auto"/>
                <w:szCs w:val="21"/>
              </w:rPr>
              <w:t>交由当地市政环卫部门处理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rFonts w:hint="eastAsia"/>
                <w:color w:val="auto"/>
                <w:szCs w:val="21"/>
              </w:rPr>
              <w:t>检查工序</w:t>
            </w:r>
          </w:p>
        </w:tc>
        <w:tc>
          <w:tcPr>
            <w:tcW w:w="1696" w:type="dxa"/>
            <w:tcBorders>
              <w:tl2br w:val="nil"/>
              <w:tr2bl w:val="nil"/>
            </w:tcBorders>
            <w:vAlign w:val="center"/>
          </w:tcPr>
          <w:p>
            <w:pPr>
              <w:jc w:val="center"/>
              <w:rPr>
                <w:color w:val="auto"/>
                <w:szCs w:val="21"/>
              </w:rPr>
            </w:pPr>
            <w:r>
              <w:rPr>
                <w:rFonts w:hint="eastAsia"/>
                <w:color w:val="auto"/>
                <w:szCs w:val="21"/>
              </w:rPr>
              <w:t>废塑料膜</w:t>
            </w:r>
          </w:p>
        </w:tc>
        <w:tc>
          <w:tcPr>
            <w:tcW w:w="1828" w:type="dxa"/>
            <w:vMerge w:val="restart"/>
            <w:tcBorders>
              <w:tl2br w:val="nil"/>
              <w:tr2bl w:val="nil"/>
            </w:tcBorders>
            <w:vAlign w:val="center"/>
          </w:tcPr>
          <w:p>
            <w:pPr>
              <w:jc w:val="center"/>
              <w:rPr>
                <w:color w:val="auto"/>
                <w:szCs w:val="21"/>
              </w:rPr>
            </w:pPr>
            <w:r>
              <w:rPr>
                <w:color w:val="auto"/>
                <w:szCs w:val="21"/>
              </w:rPr>
              <w:t>分类收集</w:t>
            </w:r>
          </w:p>
        </w:tc>
        <w:tc>
          <w:tcPr>
            <w:tcW w:w="2783" w:type="dxa"/>
            <w:vMerge w:val="restart"/>
            <w:tcBorders>
              <w:tl2br w:val="nil"/>
              <w:tr2bl w:val="nil"/>
            </w:tcBorders>
            <w:vAlign w:val="center"/>
          </w:tcPr>
          <w:p>
            <w:pPr>
              <w:jc w:val="center"/>
              <w:rPr>
                <w:color w:val="auto"/>
                <w:szCs w:val="21"/>
              </w:rPr>
            </w:pPr>
            <w:r>
              <w:rPr>
                <w:color w:val="auto"/>
                <w:szCs w:val="21"/>
              </w:rPr>
              <w:t>收集后外售给回收单位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配料工序</w:t>
            </w:r>
          </w:p>
        </w:tc>
        <w:tc>
          <w:tcPr>
            <w:tcW w:w="1696" w:type="dxa"/>
            <w:tcBorders>
              <w:tl2br w:val="nil"/>
              <w:tr2bl w:val="nil"/>
            </w:tcBorders>
            <w:vAlign w:val="center"/>
          </w:tcPr>
          <w:p>
            <w:pPr>
              <w:jc w:val="center"/>
              <w:rPr>
                <w:color w:val="auto"/>
                <w:szCs w:val="21"/>
              </w:rPr>
            </w:pPr>
            <w:r>
              <w:rPr>
                <w:color w:val="auto"/>
                <w:szCs w:val="21"/>
              </w:rPr>
              <w:t>包装废弃物</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旋风布袋除尘器</w:t>
            </w:r>
          </w:p>
        </w:tc>
        <w:tc>
          <w:tcPr>
            <w:tcW w:w="1696" w:type="dxa"/>
            <w:tcBorders>
              <w:tl2br w:val="nil"/>
              <w:tr2bl w:val="nil"/>
            </w:tcBorders>
            <w:vAlign w:val="center"/>
          </w:tcPr>
          <w:p>
            <w:pPr>
              <w:jc w:val="center"/>
              <w:rPr>
                <w:color w:val="auto"/>
                <w:szCs w:val="21"/>
              </w:rPr>
            </w:pPr>
            <w:r>
              <w:rPr>
                <w:color w:val="auto"/>
                <w:szCs w:val="21"/>
              </w:rPr>
              <w:t>更换的布袋</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tcBorders>
              <w:tl2br w:val="nil"/>
              <w:tr2bl w:val="nil"/>
            </w:tcBorders>
            <w:vAlign w:val="center"/>
          </w:tcPr>
          <w:p>
            <w:pPr>
              <w:jc w:val="center"/>
              <w:rPr>
                <w:color w:val="auto"/>
                <w:szCs w:val="21"/>
              </w:rPr>
            </w:pPr>
            <w:r>
              <w:rPr>
                <w:color w:val="auto"/>
                <w:szCs w:val="21"/>
              </w:rPr>
              <w:t>三级化粪池</w:t>
            </w:r>
          </w:p>
        </w:tc>
        <w:tc>
          <w:tcPr>
            <w:tcW w:w="1696" w:type="dxa"/>
            <w:tcBorders>
              <w:tl2br w:val="nil"/>
              <w:tr2bl w:val="nil"/>
            </w:tcBorders>
            <w:vAlign w:val="center"/>
          </w:tcPr>
          <w:p>
            <w:pPr>
              <w:jc w:val="center"/>
              <w:rPr>
                <w:color w:val="auto"/>
                <w:szCs w:val="21"/>
              </w:rPr>
            </w:pPr>
            <w:r>
              <w:rPr>
                <w:color w:val="auto"/>
                <w:szCs w:val="21"/>
              </w:rPr>
              <w:t>化粪池污泥</w:t>
            </w:r>
          </w:p>
        </w:tc>
        <w:tc>
          <w:tcPr>
            <w:tcW w:w="1828" w:type="dxa"/>
            <w:tcBorders>
              <w:tl2br w:val="nil"/>
              <w:tr2bl w:val="nil"/>
            </w:tcBorders>
            <w:vAlign w:val="center"/>
          </w:tcPr>
          <w:p>
            <w:pPr>
              <w:jc w:val="center"/>
              <w:rPr>
                <w:color w:val="auto"/>
                <w:szCs w:val="21"/>
              </w:rPr>
            </w:pPr>
            <w:r>
              <w:rPr>
                <w:color w:val="auto"/>
                <w:szCs w:val="21"/>
              </w:rPr>
              <w:t>定期清运</w:t>
            </w:r>
          </w:p>
        </w:tc>
        <w:tc>
          <w:tcPr>
            <w:tcW w:w="2783" w:type="dxa"/>
            <w:tcBorders>
              <w:tl2br w:val="nil"/>
              <w:tr2bl w:val="nil"/>
            </w:tcBorders>
            <w:vAlign w:val="center"/>
          </w:tcPr>
          <w:p>
            <w:pPr>
              <w:jc w:val="center"/>
              <w:rPr>
                <w:color w:val="auto"/>
                <w:szCs w:val="21"/>
              </w:rPr>
            </w:pPr>
            <w:r>
              <w:rPr>
                <w:color w:val="auto"/>
                <w:szCs w:val="21"/>
              </w:rPr>
              <w:t>委托专业处理公司使用吸粪车清理并外运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restart"/>
            <w:tcBorders>
              <w:tl2br w:val="nil"/>
              <w:tr2bl w:val="nil"/>
            </w:tcBorders>
            <w:vAlign w:val="center"/>
          </w:tcPr>
          <w:p>
            <w:pPr>
              <w:jc w:val="center"/>
              <w:rPr>
                <w:color w:val="auto"/>
                <w:szCs w:val="21"/>
              </w:rPr>
            </w:pPr>
            <w:r>
              <w:rPr>
                <w:color w:val="auto"/>
                <w:szCs w:val="21"/>
              </w:rPr>
              <w:t>危险废物</w:t>
            </w:r>
          </w:p>
        </w:tc>
        <w:tc>
          <w:tcPr>
            <w:tcW w:w="1691" w:type="dxa"/>
            <w:vMerge w:val="restart"/>
            <w:tcBorders>
              <w:tl2br w:val="nil"/>
              <w:tr2bl w:val="nil"/>
            </w:tcBorders>
            <w:vAlign w:val="center"/>
          </w:tcPr>
          <w:p>
            <w:pPr>
              <w:jc w:val="center"/>
              <w:rPr>
                <w:color w:val="auto"/>
                <w:szCs w:val="21"/>
              </w:rPr>
            </w:pPr>
            <w:r>
              <w:rPr>
                <w:color w:val="auto"/>
                <w:szCs w:val="21"/>
              </w:rPr>
              <w:t>设备维修</w:t>
            </w:r>
          </w:p>
        </w:tc>
        <w:tc>
          <w:tcPr>
            <w:tcW w:w="1696" w:type="dxa"/>
            <w:tcBorders>
              <w:tl2br w:val="nil"/>
              <w:tr2bl w:val="nil"/>
            </w:tcBorders>
            <w:vAlign w:val="center"/>
          </w:tcPr>
          <w:p>
            <w:pPr>
              <w:jc w:val="center"/>
              <w:rPr>
                <w:color w:val="auto"/>
                <w:szCs w:val="21"/>
              </w:rPr>
            </w:pPr>
            <w:r>
              <w:rPr>
                <w:rFonts w:hint="eastAsia"/>
                <w:color w:val="auto"/>
                <w:szCs w:val="21"/>
              </w:rPr>
              <w:t>废矿物油</w:t>
            </w:r>
          </w:p>
        </w:tc>
        <w:tc>
          <w:tcPr>
            <w:tcW w:w="1828" w:type="dxa"/>
            <w:tcBorders>
              <w:tl2br w:val="nil"/>
              <w:tr2bl w:val="nil"/>
            </w:tcBorders>
            <w:vAlign w:val="center"/>
          </w:tcPr>
          <w:p>
            <w:pPr>
              <w:jc w:val="center"/>
              <w:rPr>
                <w:color w:val="auto"/>
                <w:szCs w:val="21"/>
              </w:rPr>
            </w:pPr>
            <w:r>
              <w:rPr>
                <w:color w:val="auto"/>
                <w:szCs w:val="21"/>
              </w:rPr>
              <w:t>密封存放于危废暂存间</w:t>
            </w:r>
          </w:p>
        </w:tc>
        <w:tc>
          <w:tcPr>
            <w:tcW w:w="2783" w:type="dxa"/>
            <w:vMerge w:val="restart"/>
            <w:tcBorders>
              <w:tl2br w:val="nil"/>
              <w:tr2bl w:val="nil"/>
            </w:tcBorders>
            <w:vAlign w:val="center"/>
          </w:tcPr>
          <w:p>
            <w:pPr>
              <w:jc w:val="center"/>
              <w:rPr>
                <w:color w:val="auto"/>
                <w:szCs w:val="21"/>
              </w:rPr>
            </w:pPr>
            <w:r>
              <w:rPr>
                <w:color w:val="auto"/>
                <w:szCs w:val="21"/>
              </w:rPr>
              <w:t>定期交给有资质单位运走处理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continue"/>
            <w:tcBorders>
              <w:tl2br w:val="nil"/>
              <w:tr2bl w:val="nil"/>
            </w:tcBorders>
            <w:vAlign w:val="center"/>
          </w:tcPr>
          <w:p>
            <w:pPr>
              <w:jc w:val="center"/>
              <w:rPr>
                <w:color w:val="auto"/>
                <w:szCs w:val="21"/>
              </w:rPr>
            </w:pPr>
          </w:p>
        </w:tc>
        <w:tc>
          <w:tcPr>
            <w:tcW w:w="1696" w:type="dxa"/>
            <w:tcBorders>
              <w:tl2br w:val="nil"/>
              <w:tr2bl w:val="nil"/>
            </w:tcBorders>
            <w:vAlign w:val="center"/>
          </w:tcPr>
          <w:p>
            <w:pPr>
              <w:jc w:val="center"/>
              <w:rPr>
                <w:color w:val="auto"/>
                <w:szCs w:val="21"/>
              </w:rPr>
            </w:pPr>
            <w:r>
              <w:rPr>
                <w:color w:val="auto"/>
                <w:szCs w:val="21"/>
              </w:rPr>
              <w:t>含油抹布和手套</w:t>
            </w:r>
          </w:p>
        </w:tc>
        <w:tc>
          <w:tcPr>
            <w:tcW w:w="1828" w:type="dxa"/>
            <w:vMerge w:val="restart"/>
            <w:tcBorders>
              <w:tl2br w:val="nil"/>
              <w:tr2bl w:val="nil"/>
            </w:tcBorders>
            <w:vAlign w:val="center"/>
          </w:tcPr>
          <w:p>
            <w:pPr>
              <w:jc w:val="center"/>
              <w:rPr>
                <w:color w:val="auto"/>
                <w:szCs w:val="21"/>
              </w:rPr>
            </w:pPr>
            <w:r>
              <w:rPr>
                <w:color w:val="auto"/>
                <w:szCs w:val="21"/>
              </w:rPr>
              <w:t>妥善存放于危险废物暂存间</w:t>
            </w: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continue"/>
            <w:tcBorders>
              <w:tl2br w:val="nil"/>
              <w:tr2bl w:val="nil"/>
            </w:tcBorders>
            <w:vAlign w:val="center"/>
          </w:tcPr>
          <w:p>
            <w:pPr>
              <w:jc w:val="center"/>
              <w:rPr>
                <w:color w:val="auto"/>
                <w:szCs w:val="21"/>
              </w:rPr>
            </w:pPr>
          </w:p>
        </w:tc>
        <w:tc>
          <w:tcPr>
            <w:tcW w:w="1696" w:type="dxa"/>
            <w:tcBorders>
              <w:tl2br w:val="nil"/>
              <w:tr2bl w:val="nil"/>
            </w:tcBorders>
            <w:vAlign w:val="center"/>
          </w:tcPr>
          <w:p>
            <w:pPr>
              <w:jc w:val="center"/>
              <w:rPr>
                <w:color w:val="auto"/>
                <w:szCs w:val="21"/>
              </w:rPr>
            </w:pPr>
            <w:r>
              <w:rPr>
                <w:rFonts w:hint="eastAsia"/>
                <w:color w:val="auto"/>
                <w:szCs w:val="21"/>
              </w:rPr>
              <w:t>空油桶</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restart"/>
            <w:tcBorders>
              <w:tl2br w:val="nil"/>
              <w:tr2bl w:val="nil"/>
            </w:tcBorders>
            <w:vAlign w:val="center"/>
          </w:tcPr>
          <w:p>
            <w:pPr>
              <w:jc w:val="center"/>
              <w:rPr>
                <w:color w:val="auto"/>
                <w:szCs w:val="21"/>
              </w:rPr>
            </w:pPr>
            <w:r>
              <w:rPr>
                <w:color w:val="auto"/>
                <w:szCs w:val="21"/>
              </w:rPr>
              <w:t>废气治理设备</w:t>
            </w:r>
          </w:p>
        </w:tc>
        <w:tc>
          <w:tcPr>
            <w:tcW w:w="1696" w:type="dxa"/>
            <w:tcBorders>
              <w:tl2br w:val="nil"/>
              <w:tr2bl w:val="nil"/>
            </w:tcBorders>
            <w:vAlign w:val="center"/>
          </w:tcPr>
          <w:p>
            <w:pPr>
              <w:jc w:val="center"/>
              <w:rPr>
                <w:color w:val="auto"/>
                <w:szCs w:val="21"/>
              </w:rPr>
            </w:pPr>
            <w:r>
              <w:rPr>
                <w:color w:val="auto"/>
                <w:kern w:val="0"/>
                <w:szCs w:val="21"/>
              </w:rPr>
              <w:t>废UV灯管</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continue"/>
            <w:tcBorders>
              <w:tl2br w:val="nil"/>
              <w:tr2bl w:val="nil"/>
            </w:tcBorders>
            <w:vAlign w:val="center"/>
          </w:tcPr>
          <w:p>
            <w:pPr>
              <w:jc w:val="center"/>
              <w:rPr>
                <w:color w:val="auto"/>
                <w:szCs w:val="21"/>
              </w:rPr>
            </w:pPr>
          </w:p>
        </w:tc>
        <w:tc>
          <w:tcPr>
            <w:tcW w:w="1696" w:type="dxa"/>
            <w:tcBorders>
              <w:tl2br w:val="nil"/>
              <w:tr2bl w:val="nil"/>
            </w:tcBorders>
            <w:vAlign w:val="center"/>
          </w:tcPr>
          <w:p>
            <w:pPr>
              <w:jc w:val="center"/>
              <w:rPr>
                <w:color w:val="auto"/>
                <w:szCs w:val="21"/>
              </w:rPr>
            </w:pPr>
            <w:r>
              <w:rPr>
                <w:color w:val="auto"/>
                <w:szCs w:val="21"/>
              </w:rPr>
              <w:t>废活性炭</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continue"/>
            <w:tcBorders>
              <w:tl2br w:val="nil"/>
              <w:tr2bl w:val="nil"/>
            </w:tcBorders>
            <w:vAlign w:val="center"/>
          </w:tcPr>
          <w:p>
            <w:pPr>
              <w:jc w:val="center"/>
              <w:rPr>
                <w:color w:val="auto"/>
                <w:szCs w:val="21"/>
              </w:rPr>
            </w:pPr>
          </w:p>
        </w:tc>
        <w:tc>
          <w:tcPr>
            <w:tcW w:w="1696" w:type="dxa"/>
            <w:tcBorders>
              <w:tl2br w:val="nil"/>
              <w:tr2bl w:val="nil"/>
            </w:tcBorders>
            <w:vAlign w:val="center"/>
          </w:tcPr>
          <w:p>
            <w:pPr>
              <w:jc w:val="center"/>
              <w:rPr>
                <w:color w:val="auto"/>
                <w:szCs w:val="21"/>
              </w:rPr>
            </w:pPr>
            <w:r>
              <w:rPr>
                <w:color w:val="auto"/>
                <w:szCs w:val="21"/>
              </w:rPr>
              <w:t>截留的粉尘</w:t>
            </w:r>
          </w:p>
        </w:tc>
        <w:tc>
          <w:tcPr>
            <w:tcW w:w="1828" w:type="dxa"/>
            <w:vMerge w:val="restart"/>
            <w:tcBorders>
              <w:tl2br w:val="nil"/>
              <w:tr2bl w:val="nil"/>
            </w:tcBorders>
            <w:vAlign w:val="center"/>
          </w:tcPr>
          <w:p>
            <w:pPr>
              <w:jc w:val="center"/>
              <w:rPr>
                <w:color w:val="auto"/>
                <w:szCs w:val="21"/>
              </w:rPr>
            </w:pPr>
            <w:r>
              <w:rPr>
                <w:color w:val="auto"/>
                <w:szCs w:val="21"/>
              </w:rPr>
              <w:t>回用于卷材生产</w:t>
            </w:r>
          </w:p>
        </w:tc>
        <w:tc>
          <w:tcPr>
            <w:tcW w:w="2783" w:type="dxa"/>
            <w:vMerge w:val="restart"/>
            <w:tcBorders>
              <w:tl2br w:val="nil"/>
              <w:tr2bl w:val="nil"/>
            </w:tcBorders>
            <w:vAlign w:val="center"/>
          </w:tcPr>
          <w:p>
            <w:pPr>
              <w:jc w:val="center"/>
              <w:rPr>
                <w:color w:val="auto"/>
                <w:szCs w:val="21"/>
              </w:rPr>
            </w:pPr>
            <w:r>
              <w:rPr>
                <w:color w:val="auto"/>
                <w:szCs w:val="21"/>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50" w:type="dxa"/>
            <w:vMerge w:val="continue"/>
            <w:tcBorders>
              <w:tl2br w:val="nil"/>
              <w:tr2bl w:val="nil"/>
            </w:tcBorders>
            <w:vAlign w:val="center"/>
          </w:tcPr>
          <w:p>
            <w:pPr>
              <w:jc w:val="center"/>
              <w:rPr>
                <w:color w:val="auto"/>
                <w:szCs w:val="21"/>
              </w:rPr>
            </w:pPr>
          </w:p>
        </w:tc>
        <w:tc>
          <w:tcPr>
            <w:tcW w:w="1691" w:type="dxa"/>
            <w:vMerge w:val="continue"/>
            <w:tcBorders>
              <w:tl2br w:val="nil"/>
              <w:tr2bl w:val="nil"/>
            </w:tcBorders>
            <w:vAlign w:val="center"/>
          </w:tcPr>
          <w:p>
            <w:pPr>
              <w:jc w:val="center"/>
              <w:rPr>
                <w:color w:val="auto"/>
                <w:szCs w:val="21"/>
              </w:rPr>
            </w:pPr>
          </w:p>
        </w:tc>
        <w:tc>
          <w:tcPr>
            <w:tcW w:w="1696" w:type="dxa"/>
            <w:tcBorders>
              <w:tl2br w:val="nil"/>
              <w:tr2bl w:val="nil"/>
            </w:tcBorders>
            <w:vAlign w:val="center"/>
          </w:tcPr>
          <w:p>
            <w:pPr>
              <w:jc w:val="center"/>
              <w:rPr>
                <w:rFonts w:hint="eastAsia" w:eastAsia="宋体"/>
                <w:color w:val="auto"/>
                <w:szCs w:val="21"/>
                <w:lang w:val="en-US" w:eastAsia="zh-CN"/>
              </w:rPr>
            </w:pPr>
            <w:r>
              <w:rPr>
                <w:rFonts w:hint="eastAsia"/>
                <w:color w:val="auto"/>
                <w:szCs w:val="21"/>
                <w:lang w:val="en-US" w:eastAsia="zh-CN"/>
              </w:rPr>
              <w:t>截留的沥青油</w:t>
            </w:r>
          </w:p>
        </w:tc>
        <w:tc>
          <w:tcPr>
            <w:tcW w:w="1828" w:type="dxa"/>
            <w:vMerge w:val="continue"/>
            <w:tcBorders>
              <w:tl2br w:val="nil"/>
              <w:tr2bl w:val="nil"/>
            </w:tcBorders>
            <w:vAlign w:val="center"/>
          </w:tcPr>
          <w:p>
            <w:pPr>
              <w:jc w:val="center"/>
              <w:rPr>
                <w:color w:val="auto"/>
                <w:szCs w:val="21"/>
              </w:rPr>
            </w:pPr>
          </w:p>
        </w:tc>
        <w:tc>
          <w:tcPr>
            <w:tcW w:w="2783" w:type="dxa"/>
            <w:vMerge w:val="continue"/>
            <w:tcBorders>
              <w:tl2br w:val="nil"/>
              <w:tr2bl w:val="nil"/>
            </w:tcBorders>
            <w:vAlign w:val="center"/>
          </w:tcPr>
          <w:p>
            <w:pPr>
              <w:jc w:val="center"/>
              <w:rPr>
                <w:color w:val="auto"/>
                <w:szCs w:val="21"/>
              </w:rPr>
            </w:pPr>
          </w:p>
        </w:tc>
      </w:tr>
    </w:tbl>
    <w:p>
      <w:pPr>
        <w:pStyle w:val="7"/>
        <w:numPr>
          <w:ilvl w:val="2"/>
          <w:numId w:val="0"/>
        </w:numPr>
        <w:tabs>
          <w:tab w:val="clear" w:pos="720"/>
        </w:tabs>
        <w:spacing w:before="159" w:after="159"/>
        <w:rPr>
          <w:color w:val="auto"/>
        </w:rPr>
      </w:pPr>
      <w:bookmarkStart w:id="462" w:name="_Toc12181"/>
      <w:bookmarkStart w:id="463" w:name="_Toc29141"/>
      <w:r>
        <w:rPr>
          <w:rFonts w:hint="eastAsia"/>
          <w:color w:val="auto"/>
        </w:rPr>
        <w:t xml:space="preserve">4.4.4  </w:t>
      </w:r>
      <w:r>
        <w:rPr>
          <w:color w:val="auto"/>
        </w:rPr>
        <w:t>水平衡</w:t>
      </w:r>
      <w:bookmarkEnd w:id="462"/>
      <w:r>
        <w:rPr>
          <w:color w:val="auto"/>
        </w:rPr>
        <w:t>及物料平衡</w:t>
      </w:r>
      <w:bookmarkEnd w:id="463"/>
    </w:p>
    <w:p>
      <w:pPr>
        <w:spacing w:line="360" w:lineRule="auto"/>
        <w:ind w:firstLine="480"/>
        <w:rPr>
          <w:color w:val="auto"/>
          <w:sz w:val="24"/>
        </w:rPr>
      </w:pPr>
      <w:r>
        <w:rPr>
          <w:color w:val="auto"/>
          <w:sz w:val="24"/>
        </w:rPr>
        <w:t>1、水平衡</w:t>
      </w:r>
    </w:p>
    <w:p>
      <w:pPr>
        <w:spacing w:line="360" w:lineRule="auto"/>
        <w:ind w:firstLine="480"/>
        <w:rPr>
          <w:color w:val="auto"/>
          <w:sz w:val="24"/>
        </w:rPr>
      </w:pPr>
      <w:r>
        <w:rPr>
          <w:color w:val="auto"/>
          <w:sz w:val="24"/>
        </w:rPr>
        <w:t>（1）生产用水</w:t>
      </w:r>
    </w:p>
    <w:p>
      <w:pPr>
        <w:spacing w:line="360" w:lineRule="auto"/>
        <w:ind w:firstLine="480" w:firstLineChars="200"/>
        <w:rPr>
          <w:color w:val="auto"/>
          <w:sz w:val="24"/>
        </w:rPr>
      </w:pPr>
      <w:r>
        <w:rPr>
          <w:color w:val="auto"/>
          <w:sz w:val="24"/>
        </w:rPr>
        <w:t>项目的生产用水</w:t>
      </w:r>
      <w:r>
        <w:rPr>
          <w:rFonts w:hint="eastAsia"/>
          <w:color w:val="auto"/>
          <w:sz w:val="24"/>
        </w:rPr>
        <w:t>主要有湿式破碎生产线补充水及卷材生产线</w:t>
      </w:r>
      <w:r>
        <w:rPr>
          <w:color w:val="auto"/>
          <w:sz w:val="24"/>
        </w:rPr>
        <w:t>冷却</w:t>
      </w:r>
      <w:r>
        <w:rPr>
          <w:rFonts w:hint="eastAsia"/>
          <w:color w:val="auto"/>
          <w:sz w:val="24"/>
        </w:rPr>
        <w:t>补充</w:t>
      </w:r>
      <w:r>
        <w:rPr>
          <w:color w:val="auto"/>
          <w:sz w:val="24"/>
        </w:rPr>
        <w:t>水</w:t>
      </w:r>
      <w:r>
        <w:rPr>
          <w:rFonts w:hint="eastAsia"/>
          <w:color w:val="auto"/>
          <w:sz w:val="24"/>
        </w:rPr>
        <w:t>。</w:t>
      </w:r>
    </w:p>
    <w:p>
      <w:pPr>
        <w:spacing w:line="360" w:lineRule="auto"/>
        <w:ind w:firstLine="480" w:firstLineChars="200"/>
        <w:rPr>
          <w:color w:val="auto"/>
          <w:sz w:val="24"/>
        </w:rPr>
      </w:pPr>
      <w:r>
        <w:rPr>
          <w:rFonts w:hint="eastAsia"/>
          <w:color w:val="auto"/>
          <w:sz w:val="24"/>
        </w:rPr>
        <w:t>①湿式破碎生产线补充水</w:t>
      </w:r>
    </w:p>
    <w:p>
      <w:pPr>
        <w:autoSpaceDE w:val="0"/>
        <w:autoSpaceDN w:val="0"/>
        <w:spacing w:line="360" w:lineRule="auto"/>
        <w:ind w:firstLine="520" w:firstLineChars="217"/>
        <w:rPr>
          <w:color w:val="auto"/>
          <w:sz w:val="24"/>
        </w:rPr>
      </w:pPr>
      <w:r>
        <w:rPr>
          <w:rFonts w:hint="eastAsia"/>
          <w:color w:val="auto"/>
          <w:sz w:val="24"/>
        </w:rPr>
        <w:t>项目使用额定流量为80</w:t>
      </w:r>
      <w:r>
        <w:rPr>
          <w:color w:val="auto"/>
          <w:sz w:val="24"/>
        </w:rPr>
        <w:t>m</w:t>
      </w:r>
      <w:r>
        <w:rPr>
          <w:color w:val="auto"/>
          <w:sz w:val="24"/>
          <w:vertAlign w:val="superscript"/>
        </w:rPr>
        <w:t>3</w:t>
      </w:r>
      <w:r>
        <w:rPr>
          <w:color w:val="auto"/>
          <w:sz w:val="24"/>
        </w:rPr>
        <w:t>/</w:t>
      </w:r>
      <w:r>
        <w:rPr>
          <w:rFonts w:hint="eastAsia"/>
          <w:color w:val="auto"/>
          <w:sz w:val="24"/>
        </w:rPr>
        <w:t>h的循环水泵在沉淀池中抽取循环水用于生产，项目每条生产线均设有1个循环水泵。项目共设有8条湿式破碎生产线，则总循环水量为640</w:t>
      </w:r>
      <w:r>
        <w:rPr>
          <w:color w:val="auto"/>
          <w:sz w:val="24"/>
        </w:rPr>
        <w:t>m</w:t>
      </w:r>
      <w:r>
        <w:rPr>
          <w:color w:val="auto"/>
          <w:sz w:val="24"/>
          <w:vertAlign w:val="superscript"/>
        </w:rPr>
        <w:t>3</w:t>
      </w:r>
      <w:r>
        <w:rPr>
          <w:color w:val="auto"/>
          <w:sz w:val="24"/>
        </w:rPr>
        <w:t>/</w:t>
      </w:r>
      <w:r>
        <w:rPr>
          <w:rFonts w:hint="eastAsia"/>
          <w:color w:val="auto"/>
          <w:sz w:val="24"/>
        </w:rPr>
        <w:t>h。根据建设单位生产经验，在整个湿式破碎工艺流程中，损耗的水约为循环量的0.5%。则损耗量为8448m</w:t>
      </w:r>
      <w:r>
        <w:rPr>
          <w:rFonts w:hint="eastAsia"/>
          <w:color w:val="auto"/>
          <w:sz w:val="24"/>
          <w:vertAlign w:val="superscript"/>
        </w:rPr>
        <w:t>3</w:t>
      </w:r>
      <w:r>
        <w:rPr>
          <w:rFonts w:hint="eastAsia"/>
          <w:color w:val="auto"/>
          <w:sz w:val="24"/>
        </w:rPr>
        <w:t>/a。为保证湿式生产线正常运行，需要补充新鲜水8448m</w:t>
      </w:r>
      <w:r>
        <w:rPr>
          <w:rFonts w:hint="eastAsia"/>
          <w:color w:val="auto"/>
          <w:sz w:val="24"/>
          <w:vertAlign w:val="superscript"/>
        </w:rPr>
        <w:t>3</w:t>
      </w:r>
      <w:r>
        <w:rPr>
          <w:rFonts w:hint="eastAsia"/>
          <w:color w:val="auto"/>
          <w:sz w:val="24"/>
        </w:rPr>
        <w:t>/a，即湿式破碎生产线补充水量为8448m</w:t>
      </w:r>
      <w:r>
        <w:rPr>
          <w:rFonts w:hint="eastAsia"/>
          <w:color w:val="auto"/>
          <w:sz w:val="24"/>
          <w:vertAlign w:val="superscript"/>
        </w:rPr>
        <w:t>3</w:t>
      </w:r>
      <w:r>
        <w:rPr>
          <w:rFonts w:hint="eastAsia"/>
          <w:color w:val="auto"/>
          <w:sz w:val="24"/>
        </w:rPr>
        <w:t>/a。</w:t>
      </w:r>
    </w:p>
    <w:p>
      <w:pPr>
        <w:spacing w:line="360" w:lineRule="auto"/>
        <w:ind w:firstLine="480" w:firstLineChars="200"/>
        <w:rPr>
          <w:color w:val="auto"/>
          <w:sz w:val="24"/>
        </w:rPr>
      </w:pPr>
      <w:r>
        <w:rPr>
          <w:rFonts w:hint="eastAsia"/>
          <w:color w:val="auto"/>
          <w:sz w:val="24"/>
        </w:rPr>
        <w:t>②卷材生产线</w:t>
      </w:r>
      <w:r>
        <w:rPr>
          <w:color w:val="auto"/>
          <w:sz w:val="24"/>
        </w:rPr>
        <w:t>冷却</w:t>
      </w:r>
      <w:r>
        <w:rPr>
          <w:rFonts w:hint="eastAsia"/>
          <w:color w:val="auto"/>
          <w:sz w:val="24"/>
        </w:rPr>
        <w:t>补充</w:t>
      </w:r>
      <w:r>
        <w:rPr>
          <w:color w:val="auto"/>
          <w:sz w:val="24"/>
        </w:rPr>
        <w:t>水</w:t>
      </w:r>
    </w:p>
    <w:p>
      <w:pPr>
        <w:spacing w:line="360" w:lineRule="auto"/>
        <w:ind w:firstLine="480" w:firstLineChars="200"/>
        <w:rPr>
          <w:color w:val="auto"/>
          <w:sz w:val="24"/>
        </w:rPr>
      </w:pPr>
      <w:r>
        <w:rPr>
          <w:color w:val="auto"/>
          <w:sz w:val="24"/>
        </w:rPr>
        <w:t>项目的</w:t>
      </w:r>
      <w:r>
        <w:rPr>
          <w:bCs/>
          <w:color w:val="auto"/>
          <w:sz w:val="24"/>
        </w:rPr>
        <w:t>冷却工序中使用水进行冷却，冷却方式为在卷材上洒水</w:t>
      </w:r>
      <w:r>
        <w:rPr>
          <w:rFonts w:hint="eastAsia"/>
          <w:bCs/>
          <w:color w:val="auto"/>
          <w:sz w:val="24"/>
        </w:rPr>
        <w:t>和</w:t>
      </w:r>
      <w:r>
        <w:rPr>
          <w:bCs/>
          <w:color w:val="auto"/>
          <w:sz w:val="24"/>
        </w:rPr>
        <w:t>浸泡</w:t>
      </w:r>
      <w:r>
        <w:rPr>
          <w:color w:val="auto"/>
          <w:sz w:val="24"/>
        </w:rPr>
        <w:t>。为此，项目设有1个循环水池、1台冷却塔。循环水池位于卷材生产车间靠北面边界处，尺寸为</w:t>
      </w:r>
      <w:r>
        <w:rPr>
          <w:rFonts w:hint="eastAsia"/>
          <w:color w:val="auto"/>
          <w:sz w:val="24"/>
        </w:rPr>
        <w:t>2.5</w:t>
      </w:r>
      <w:r>
        <w:rPr>
          <w:color w:val="auto"/>
          <w:sz w:val="24"/>
        </w:rPr>
        <w:t>m×2.0m×1.7m（有效水深为1.5m），最大储水量为</w:t>
      </w:r>
      <w:r>
        <w:rPr>
          <w:rFonts w:hint="eastAsia"/>
          <w:color w:val="auto"/>
          <w:sz w:val="24"/>
        </w:rPr>
        <w:t>7.5</w:t>
      </w:r>
      <w:r>
        <w:rPr>
          <w:color w:val="auto"/>
          <w:sz w:val="24"/>
        </w:rPr>
        <w:t>m</w:t>
      </w:r>
      <w:r>
        <w:rPr>
          <w:color w:val="auto"/>
          <w:sz w:val="24"/>
          <w:vertAlign w:val="superscript"/>
        </w:rPr>
        <w:t>3</w:t>
      </w:r>
      <w:r>
        <w:rPr>
          <w:color w:val="auto"/>
          <w:sz w:val="24"/>
        </w:rPr>
        <w:t>。运转时，循环水泵对水施加压力，使其进入冷却塔降温，然后冷却水经管道通入生产线的</w:t>
      </w:r>
      <w:r>
        <w:rPr>
          <w:bCs/>
          <w:color w:val="auto"/>
          <w:sz w:val="24"/>
        </w:rPr>
        <w:t>悬浮冷却装置、滚筒式冷却装置和覆膜装置中，以直接接触的方式</w:t>
      </w:r>
      <w:r>
        <w:rPr>
          <w:color w:val="auto"/>
          <w:sz w:val="24"/>
        </w:rPr>
        <w:t>充分进行热交换，随后从出水管道流出，回流至循环水池中。</w:t>
      </w:r>
      <w:r>
        <w:rPr>
          <w:rFonts w:hint="eastAsia"/>
          <w:color w:val="auto"/>
          <w:sz w:val="24"/>
        </w:rPr>
        <w:t>冷却水定期补充，不外排。</w:t>
      </w:r>
    </w:p>
    <w:p>
      <w:pPr>
        <w:spacing w:line="360" w:lineRule="auto"/>
        <w:ind w:firstLine="480" w:firstLineChars="200"/>
        <w:rPr>
          <w:color w:val="auto"/>
          <w:sz w:val="24"/>
        </w:rPr>
      </w:pPr>
      <w:r>
        <w:rPr>
          <w:color w:val="auto"/>
          <w:sz w:val="24"/>
        </w:rPr>
        <w:t>由于冷却水在循环过程中由于蒸发</w:t>
      </w:r>
      <w:r>
        <w:rPr>
          <w:rFonts w:hint="eastAsia"/>
          <w:color w:val="auto"/>
          <w:sz w:val="24"/>
        </w:rPr>
        <w:t>和</w:t>
      </w:r>
      <w:r>
        <w:rPr>
          <w:color w:val="auto"/>
          <w:sz w:val="24"/>
        </w:rPr>
        <w:t>风吹损失，会有一定的损耗</w:t>
      </w:r>
      <w:r>
        <w:rPr>
          <w:rFonts w:hint="eastAsia"/>
          <w:color w:val="auto"/>
          <w:sz w:val="24"/>
        </w:rPr>
        <w:t>，需要定期补充</w:t>
      </w:r>
      <w:r>
        <w:rPr>
          <w:color w:val="auto"/>
          <w:sz w:val="24"/>
        </w:rPr>
        <w:t>。根据《工业循环冷却水处理设计规范》（GB/T50050-2017），本项目的冷却系统属于“</w:t>
      </w:r>
      <w:r>
        <w:rPr>
          <w:rFonts w:hint="eastAsia"/>
          <w:color w:val="auto"/>
          <w:sz w:val="24"/>
        </w:rPr>
        <w:t>直</w:t>
      </w:r>
      <w:r>
        <w:rPr>
          <w:color w:val="auto"/>
          <w:sz w:val="24"/>
        </w:rPr>
        <w:t>冷开式循环冷却水系统”，即循环冷却水与被冷却介质</w:t>
      </w:r>
      <w:r>
        <w:rPr>
          <w:rFonts w:hint="eastAsia"/>
          <w:color w:val="auto"/>
          <w:sz w:val="24"/>
        </w:rPr>
        <w:t>直接</w:t>
      </w:r>
      <w:r>
        <w:rPr>
          <w:color w:val="auto"/>
          <w:sz w:val="24"/>
        </w:rPr>
        <w:t>传热且循环冷切水与大气直接接触散热的循环冷却水系统。其相关计算可按下列公式计算。</w:t>
      </w:r>
    </w:p>
    <w:p>
      <w:pPr>
        <w:spacing w:line="360" w:lineRule="auto"/>
        <w:jc w:val="center"/>
        <w:rPr>
          <w:color w:val="auto"/>
        </w:rPr>
      </w:pPr>
      <w:r>
        <w:rPr>
          <w:color w:val="auto"/>
          <w:position w:val="-12"/>
        </w:rPr>
        <w:object>
          <v:shape id="_x0000_i1028" o:spt="75" type="#_x0000_t75" style="height:18.15pt;width:71.35pt;" o:ole="t" filled="f" o:preferrelative="t" stroked="f" coordsize="21600,21600">
            <v:path/>
            <v:fill on="f" focussize="0,0"/>
            <v:stroke on="f"/>
            <v:imagedata r:id="rId64" o:title=""/>
            <o:lock v:ext="edit" aspectratio="t"/>
            <w10:wrap type="none"/>
            <w10:anchorlock/>
          </v:shape>
          <o:OLEObject Type="Embed" ProgID="Equation.3" ShapeID="_x0000_i1028" DrawAspect="Content" ObjectID="_1468075728" r:id="rId63">
            <o:LockedField>false</o:LockedField>
          </o:OLEObject>
        </w:object>
      </w:r>
    </w:p>
    <w:p>
      <w:pPr>
        <w:spacing w:line="360" w:lineRule="auto"/>
        <w:ind w:firstLine="480" w:firstLineChars="200"/>
        <w:rPr>
          <w:color w:val="auto"/>
          <w:sz w:val="24"/>
        </w:rPr>
      </w:pPr>
      <w:r>
        <w:rPr>
          <w:color w:val="auto"/>
          <w:sz w:val="24"/>
        </w:rPr>
        <w:t>式中：Q</w:t>
      </w:r>
      <w:r>
        <w:rPr>
          <w:color w:val="auto"/>
          <w:sz w:val="24"/>
          <w:vertAlign w:val="subscript"/>
        </w:rPr>
        <w:t>e</w:t>
      </w:r>
      <w:r>
        <w:rPr>
          <w:color w:val="auto"/>
          <w:sz w:val="24"/>
        </w:rPr>
        <w:t>——蒸发水量（m</w:t>
      </w:r>
      <w:r>
        <w:rPr>
          <w:color w:val="auto"/>
          <w:sz w:val="24"/>
          <w:vertAlign w:val="superscript"/>
        </w:rPr>
        <w:t>3</w:t>
      </w:r>
      <w:r>
        <w:rPr>
          <w:color w:val="auto"/>
          <w:sz w:val="24"/>
        </w:rPr>
        <w:t>/h）；</w:t>
      </w:r>
    </w:p>
    <w:p>
      <w:pPr>
        <w:spacing w:line="360" w:lineRule="auto"/>
        <w:ind w:firstLine="480" w:firstLineChars="200"/>
        <w:rPr>
          <w:color w:val="auto"/>
          <w:sz w:val="24"/>
        </w:rPr>
      </w:pPr>
      <w:r>
        <w:rPr>
          <w:color w:val="auto"/>
          <w:sz w:val="24"/>
        </w:rPr>
        <w:t xml:space="preserve">      k——蒸发损失系数（1/℃）；</w:t>
      </w:r>
    </w:p>
    <w:p>
      <w:pPr>
        <w:spacing w:line="360" w:lineRule="auto"/>
        <w:ind w:firstLine="480" w:firstLineChars="200"/>
        <w:rPr>
          <w:color w:val="auto"/>
          <w:sz w:val="24"/>
        </w:rPr>
      </w:pPr>
      <w:r>
        <w:rPr>
          <w:color w:val="auto"/>
          <w:sz w:val="24"/>
        </w:rPr>
        <w:t xml:space="preserve">      △t——循环冷却水进、出冷却塔温差（℃）；</w:t>
      </w:r>
    </w:p>
    <w:p>
      <w:pPr>
        <w:spacing w:line="360" w:lineRule="auto"/>
        <w:ind w:firstLine="1200" w:firstLineChars="500"/>
        <w:rPr>
          <w:color w:val="auto"/>
          <w:sz w:val="24"/>
        </w:rPr>
      </w:pPr>
      <w:r>
        <w:rPr>
          <w:color w:val="auto"/>
          <w:sz w:val="24"/>
        </w:rPr>
        <w:t>Q</w:t>
      </w:r>
      <w:r>
        <w:rPr>
          <w:color w:val="auto"/>
          <w:sz w:val="24"/>
          <w:vertAlign w:val="subscript"/>
        </w:rPr>
        <w:t>r</w:t>
      </w:r>
      <w:r>
        <w:rPr>
          <w:color w:val="auto"/>
          <w:sz w:val="24"/>
        </w:rPr>
        <w:t>——循环冷却水量（m</w:t>
      </w:r>
      <w:r>
        <w:rPr>
          <w:color w:val="auto"/>
          <w:sz w:val="24"/>
          <w:vertAlign w:val="superscript"/>
        </w:rPr>
        <w:t>3</w:t>
      </w:r>
      <w:r>
        <w:rPr>
          <w:color w:val="auto"/>
          <w:sz w:val="24"/>
        </w:rPr>
        <w:t>/h）;</w:t>
      </w:r>
    </w:p>
    <w:p>
      <w:pPr>
        <w:spacing w:line="360" w:lineRule="auto"/>
        <w:ind w:firstLine="1200" w:firstLineChars="500"/>
        <w:rPr>
          <w:color w:val="auto"/>
          <w:kern w:val="44"/>
          <w:sz w:val="24"/>
        </w:rPr>
      </w:pPr>
      <w:r>
        <w:rPr>
          <w:color w:val="auto"/>
          <w:kern w:val="44"/>
          <w:sz w:val="24"/>
        </w:rPr>
        <w:t>N——浓缩倍数。</w:t>
      </w:r>
    </w:p>
    <w:p>
      <w:pPr>
        <w:spacing w:line="360" w:lineRule="auto"/>
        <w:ind w:firstLine="1200" w:firstLineChars="500"/>
        <w:rPr>
          <w:color w:val="auto"/>
          <w:sz w:val="24"/>
        </w:rPr>
      </w:pPr>
      <w:r>
        <w:rPr>
          <w:color w:val="auto"/>
          <w:sz w:val="24"/>
        </w:rPr>
        <w:t>Q</w:t>
      </w:r>
      <w:r>
        <w:rPr>
          <w:color w:val="auto"/>
          <w:sz w:val="24"/>
          <w:vertAlign w:val="subscript"/>
        </w:rPr>
        <w:t>w</w:t>
      </w:r>
      <w:r>
        <w:rPr>
          <w:color w:val="auto"/>
          <w:sz w:val="24"/>
        </w:rPr>
        <w:t>——风吹损失水量（m</w:t>
      </w:r>
      <w:r>
        <w:rPr>
          <w:color w:val="auto"/>
          <w:sz w:val="24"/>
          <w:vertAlign w:val="superscript"/>
        </w:rPr>
        <w:t>3</w:t>
      </w:r>
      <w:r>
        <w:rPr>
          <w:color w:val="auto"/>
          <w:sz w:val="24"/>
        </w:rPr>
        <w:t>/h）;</w:t>
      </w:r>
    </w:p>
    <w:p>
      <w:pPr>
        <w:spacing w:line="360" w:lineRule="auto"/>
        <w:ind w:firstLine="480" w:firstLineChars="200"/>
        <w:rPr>
          <w:color w:val="auto"/>
          <w:sz w:val="24"/>
        </w:rPr>
      </w:pPr>
      <w:r>
        <w:rPr>
          <w:color w:val="auto"/>
          <w:sz w:val="24"/>
        </w:rPr>
        <w:t>项目</w:t>
      </w:r>
      <w:r>
        <w:rPr>
          <w:rFonts w:hint="eastAsia"/>
          <w:color w:val="auto"/>
          <w:sz w:val="24"/>
        </w:rPr>
        <w:t>卷材生产线</w:t>
      </w:r>
      <w:r>
        <w:rPr>
          <w:color w:val="auto"/>
          <w:sz w:val="24"/>
        </w:rPr>
        <w:t>的冷却塔水的水循环量为20m</w:t>
      </w:r>
      <w:r>
        <w:rPr>
          <w:color w:val="auto"/>
          <w:sz w:val="24"/>
          <w:vertAlign w:val="superscript"/>
        </w:rPr>
        <w:t>3</w:t>
      </w:r>
      <w:r>
        <w:rPr>
          <w:color w:val="auto"/>
          <w:sz w:val="24"/>
        </w:rPr>
        <w:t>/h。进塔大气温度以30℃计算，则k=0.0015。据</w:t>
      </w:r>
      <w:r>
        <w:rPr>
          <w:rFonts w:hint="eastAsia"/>
          <w:color w:val="auto"/>
          <w:sz w:val="24"/>
        </w:rPr>
        <w:t>建设单位提供</w:t>
      </w:r>
      <w:r>
        <w:rPr>
          <w:color w:val="auto"/>
          <w:sz w:val="24"/>
        </w:rPr>
        <w:t>资料，项目循环冷却水进冷却塔的温度约35℃，出冷却塔温度约25℃，则△t=10℃。由《工业循环冷却水处理设计规范》（GB/T50050-2017）可知，</w:t>
      </w:r>
      <w:r>
        <w:rPr>
          <w:rFonts w:hint="eastAsia"/>
          <w:color w:val="auto"/>
          <w:sz w:val="24"/>
        </w:rPr>
        <w:t>直</w:t>
      </w:r>
      <w:r>
        <w:rPr>
          <w:color w:val="auto"/>
          <w:sz w:val="24"/>
        </w:rPr>
        <w:t>冷开式系统的设计浓缩倍数N不宜小于</w:t>
      </w:r>
      <w:r>
        <w:rPr>
          <w:rFonts w:hint="eastAsia"/>
          <w:color w:val="auto"/>
          <w:sz w:val="24"/>
        </w:rPr>
        <w:t>3</w:t>
      </w:r>
      <w:r>
        <w:rPr>
          <w:color w:val="auto"/>
          <w:sz w:val="24"/>
        </w:rPr>
        <w:t>.0，且不应小于3.0。故本项目取值N=</w:t>
      </w:r>
      <w:r>
        <w:rPr>
          <w:rFonts w:hint="eastAsia"/>
          <w:color w:val="auto"/>
          <w:sz w:val="24"/>
        </w:rPr>
        <w:t>3</w:t>
      </w:r>
      <w:r>
        <w:rPr>
          <w:color w:val="auto"/>
          <w:sz w:val="24"/>
        </w:rPr>
        <w:t>.0；风吹损失水量约为循环水量的0.2%~0.3%，本项目取最不利因素，以0.3%计算。</w:t>
      </w:r>
    </w:p>
    <w:p>
      <w:pPr>
        <w:spacing w:line="360" w:lineRule="auto"/>
        <w:ind w:firstLine="480" w:firstLineChars="200"/>
        <w:rPr>
          <w:color w:val="auto"/>
        </w:rPr>
      </w:pPr>
      <w:r>
        <w:rPr>
          <w:color w:val="auto"/>
          <w:sz w:val="24"/>
        </w:rPr>
        <w:t>由上诉条件可得，Q</w:t>
      </w:r>
      <w:r>
        <w:rPr>
          <w:color w:val="auto"/>
          <w:sz w:val="24"/>
          <w:vertAlign w:val="subscript"/>
        </w:rPr>
        <w:t>e</w:t>
      </w:r>
      <w:r>
        <w:rPr>
          <w:color w:val="auto"/>
          <w:sz w:val="24"/>
        </w:rPr>
        <w:t>=0.</w:t>
      </w:r>
      <w:r>
        <w:rPr>
          <w:rFonts w:hint="eastAsia"/>
          <w:color w:val="auto"/>
          <w:sz w:val="24"/>
        </w:rPr>
        <w:t>3</w:t>
      </w:r>
      <w:r>
        <w:rPr>
          <w:color w:val="auto"/>
          <w:sz w:val="24"/>
        </w:rPr>
        <w:t>m</w:t>
      </w:r>
      <w:r>
        <w:rPr>
          <w:color w:val="auto"/>
          <w:sz w:val="24"/>
          <w:vertAlign w:val="superscript"/>
        </w:rPr>
        <w:t>3</w:t>
      </w:r>
      <w:r>
        <w:rPr>
          <w:color w:val="auto"/>
          <w:sz w:val="24"/>
        </w:rPr>
        <w:t>/h；Q</w:t>
      </w:r>
      <w:r>
        <w:rPr>
          <w:color w:val="auto"/>
          <w:sz w:val="24"/>
          <w:vertAlign w:val="subscript"/>
        </w:rPr>
        <w:t>w</w:t>
      </w:r>
      <w:r>
        <w:rPr>
          <w:color w:val="auto"/>
          <w:sz w:val="24"/>
        </w:rPr>
        <w:t>=0.</w:t>
      </w:r>
      <w:r>
        <w:rPr>
          <w:rFonts w:hint="eastAsia"/>
          <w:color w:val="auto"/>
          <w:sz w:val="24"/>
        </w:rPr>
        <w:t>06</w:t>
      </w:r>
      <w:r>
        <w:rPr>
          <w:color w:val="auto"/>
          <w:sz w:val="24"/>
        </w:rPr>
        <w:t>m</w:t>
      </w:r>
      <w:r>
        <w:rPr>
          <w:color w:val="auto"/>
          <w:sz w:val="24"/>
          <w:vertAlign w:val="superscript"/>
        </w:rPr>
        <w:t>3</w:t>
      </w:r>
      <w:r>
        <w:rPr>
          <w:color w:val="auto"/>
          <w:sz w:val="24"/>
        </w:rPr>
        <w:t>/h。</w:t>
      </w:r>
      <w:r>
        <w:rPr>
          <w:rFonts w:hint="eastAsia"/>
          <w:color w:val="auto"/>
          <w:sz w:val="24"/>
        </w:rPr>
        <w:t>卷材生产线</w:t>
      </w:r>
      <w:r>
        <w:rPr>
          <w:color w:val="auto"/>
          <w:sz w:val="24"/>
        </w:rPr>
        <w:t>年生产</w:t>
      </w:r>
      <w:r>
        <w:rPr>
          <w:rFonts w:hint="eastAsia"/>
          <w:color w:val="auto"/>
          <w:sz w:val="24"/>
        </w:rPr>
        <w:t>330天</w:t>
      </w:r>
      <w:r>
        <w:rPr>
          <w:color w:val="auto"/>
          <w:sz w:val="24"/>
        </w:rPr>
        <w:t>，每天工作</w:t>
      </w:r>
      <w:r>
        <w:rPr>
          <w:rFonts w:hint="eastAsia"/>
          <w:color w:val="auto"/>
          <w:sz w:val="24"/>
        </w:rPr>
        <w:t>24</w:t>
      </w:r>
      <w:r>
        <w:rPr>
          <w:color w:val="auto"/>
          <w:sz w:val="24"/>
        </w:rPr>
        <w:t>h。则总蒸发水量为</w:t>
      </w:r>
      <w:r>
        <w:rPr>
          <w:rFonts w:hint="eastAsia"/>
          <w:color w:val="auto"/>
          <w:sz w:val="24"/>
        </w:rPr>
        <w:t>2376</w:t>
      </w:r>
      <w:r>
        <w:rPr>
          <w:color w:val="auto"/>
          <w:sz w:val="24"/>
        </w:rPr>
        <w:t>m</w:t>
      </w:r>
      <w:r>
        <w:rPr>
          <w:color w:val="auto"/>
          <w:sz w:val="24"/>
          <w:vertAlign w:val="superscript"/>
        </w:rPr>
        <w:t>3</w:t>
      </w:r>
      <w:r>
        <w:rPr>
          <w:color w:val="auto"/>
          <w:sz w:val="24"/>
        </w:rPr>
        <w:t>/a；总风吹损失水量为</w:t>
      </w:r>
      <w:r>
        <w:rPr>
          <w:rFonts w:hint="eastAsia"/>
          <w:color w:val="auto"/>
          <w:sz w:val="24"/>
        </w:rPr>
        <w:t>475.2</w:t>
      </w:r>
      <w:r>
        <w:rPr>
          <w:color w:val="auto"/>
          <w:sz w:val="24"/>
        </w:rPr>
        <w:t>m</w:t>
      </w:r>
      <w:r>
        <w:rPr>
          <w:color w:val="auto"/>
          <w:sz w:val="24"/>
          <w:vertAlign w:val="superscript"/>
        </w:rPr>
        <w:t>3</w:t>
      </w:r>
      <w:r>
        <w:rPr>
          <w:color w:val="auto"/>
          <w:sz w:val="24"/>
        </w:rPr>
        <w:t>/a</w:t>
      </w:r>
      <w:r>
        <w:rPr>
          <w:rFonts w:hint="eastAsia"/>
          <w:color w:val="auto"/>
        </w:rPr>
        <w:t>，</w:t>
      </w:r>
      <w:r>
        <w:rPr>
          <w:rFonts w:hint="eastAsia"/>
          <w:color w:val="auto"/>
          <w:sz w:val="24"/>
        </w:rPr>
        <w:t>湿式破碎生产线补充水量合计2851.2</w:t>
      </w:r>
      <w:r>
        <w:rPr>
          <w:color w:val="auto"/>
          <w:sz w:val="24"/>
        </w:rPr>
        <w:t>m</w:t>
      </w:r>
      <w:r>
        <w:rPr>
          <w:color w:val="auto"/>
          <w:sz w:val="24"/>
          <w:vertAlign w:val="superscript"/>
        </w:rPr>
        <w:t>3</w:t>
      </w:r>
      <w:r>
        <w:rPr>
          <w:color w:val="auto"/>
          <w:sz w:val="24"/>
        </w:rPr>
        <w:t>/a</w:t>
      </w:r>
      <w:r>
        <w:rPr>
          <w:rFonts w:hint="eastAsia"/>
          <w:color w:val="auto"/>
          <w:sz w:val="24"/>
        </w:rPr>
        <w:t>。</w:t>
      </w:r>
    </w:p>
    <w:p>
      <w:pPr>
        <w:spacing w:line="360" w:lineRule="auto"/>
        <w:ind w:firstLine="480"/>
        <w:rPr>
          <w:color w:val="auto"/>
          <w:sz w:val="24"/>
        </w:rPr>
      </w:pPr>
      <w:r>
        <w:rPr>
          <w:color w:val="auto"/>
          <w:sz w:val="24"/>
        </w:rPr>
        <w:t>（2）生活用水</w:t>
      </w:r>
    </w:p>
    <w:p>
      <w:pPr>
        <w:spacing w:line="360" w:lineRule="auto"/>
        <w:ind w:firstLine="480"/>
        <w:rPr>
          <w:color w:val="auto"/>
          <w:sz w:val="24"/>
        </w:rPr>
      </w:pPr>
      <w:r>
        <w:rPr>
          <w:color w:val="auto"/>
          <w:sz w:val="24"/>
        </w:rPr>
        <w:t>项目</w:t>
      </w:r>
      <w:r>
        <w:rPr>
          <w:rFonts w:hint="eastAsia"/>
          <w:color w:val="auto"/>
          <w:sz w:val="24"/>
          <w:lang w:eastAsia="zh-CN"/>
        </w:rPr>
        <w:t>迁改</w:t>
      </w:r>
      <w:r>
        <w:rPr>
          <w:rFonts w:hint="eastAsia"/>
          <w:color w:val="auto"/>
          <w:sz w:val="24"/>
        </w:rPr>
        <w:t>扩建后</w:t>
      </w:r>
      <w:r>
        <w:rPr>
          <w:color w:val="auto"/>
          <w:sz w:val="24"/>
        </w:rPr>
        <w:t>共有员工</w:t>
      </w:r>
      <w:r>
        <w:rPr>
          <w:rFonts w:hint="eastAsia"/>
          <w:color w:val="auto"/>
          <w:sz w:val="24"/>
        </w:rPr>
        <w:t>60</w:t>
      </w:r>
      <w:r>
        <w:rPr>
          <w:color w:val="auto"/>
          <w:sz w:val="24"/>
        </w:rPr>
        <w:t>人，均不在厂内食住，生活用水参照《广东省用水定额》（DB44T1461-2014）中表4城镇公共用水定额表，人均用水按40L/d（0.04m</w:t>
      </w:r>
      <w:r>
        <w:rPr>
          <w:color w:val="auto"/>
          <w:sz w:val="24"/>
          <w:vertAlign w:val="superscript"/>
        </w:rPr>
        <w:t>3</w:t>
      </w:r>
      <w:r>
        <w:rPr>
          <w:color w:val="auto"/>
          <w:sz w:val="24"/>
        </w:rPr>
        <w:t>/d）进行计算，则项目员工生活需水量为</w:t>
      </w:r>
      <w:r>
        <w:rPr>
          <w:rFonts w:hint="eastAsia"/>
          <w:bCs/>
          <w:color w:val="auto"/>
          <w:sz w:val="24"/>
        </w:rPr>
        <w:t>792</w:t>
      </w:r>
      <w:r>
        <w:rPr>
          <w:color w:val="auto"/>
          <w:sz w:val="24"/>
        </w:rPr>
        <w:t>m</w:t>
      </w:r>
      <w:r>
        <w:rPr>
          <w:color w:val="auto"/>
          <w:sz w:val="24"/>
          <w:vertAlign w:val="superscript"/>
        </w:rPr>
        <w:t>3</w:t>
      </w:r>
      <w:r>
        <w:rPr>
          <w:bCs/>
          <w:color w:val="auto"/>
          <w:sz w:val="24"/>
        </w:rPr>
        <w:t>/a（</w:t>
      </w:r>
      <w:r>
        <w:rPr>
          <w:rFonts w:hint="eastAsia"/>
          <w:bCs/>
          <w:color w:val="auto"/>
          <w:sz w:val="24"/>
        </w:rPr>
        <w:t>2.475</w:t>
      </w:r>
      <w:r>
        <w:rPr>
          <w:color w:val="auto"/>
          <w:sz w:val="24"/>
        </w:rPr>
        <w:t>m</w:t>
      </w:r>
      <w:r>
        <w:rPr>
          <w:color w:val="auto"/>
          <w:sz w:val="24"/>
          <w:vertAlign w:val="superscript"/>
        </w:rPr>
        <w:t>3</w:t>
      </w:r>
      <w:r>
        <w:rPr>
          <w:bCs/>
          <w:color w:val="auto"/>
          <w:sz w:val="24"/>
        </w:rPr>
        <w:t>/d）</w:t>
      </w:r>
      <w:r>
        <w:rPr>
          <w:rFonts w:hint="eastAsia"/>
          <w:bCs/>
          <w:color w:val="auto"/>
          <w:sz w:val="24"/>
        </w:rPr>
        <w:t>。</w:t>
      </w:r>
      <w:r>
        <w:rPr>
          <w:color w:val="auto"/>
          <w:sz w:val="24"/>
        </w:rPr>
        <w:t>生活污水排污</w:t>
      </w:r>
      <w:r>
        <w:rPr>
          <w:bCs/>
          <w:color w:val="auto"/>
          <w:sz w:val="24"/>
        </w:rPr>
        <w:t>系数取值0.9</w:t>
      </w:r>
      <w:r>
        <w:rPr>
          <w:rFonts w:hint="eastAsia"/>
          <w:bCs/>
          <w:color w:val="auto"/>
          <w:sz w:val="24"/>
        </w:rPr>
        <w:t>，</w:t>
      </w:r>
      <w:r>
        <w:rPr>
          <w:bCs/>
          <w:color w:val="auto"/>
          <w:sz w:val="24"/>
        </w:rPr>
        <w:t>污水产生量为</w:t>
      </w:r>
      <w:r>
        <w:rPr>
          <w:rFonts w:hint="eastAsia"/>
          <w:bCs/>
          <w:color w:val="auto"/>
          <w:sz w:val="24"/>
        </w:rPr>
        <w:t>712.8</w:t>
      </w:r>
      <w:r>
        <w:rPr>
          <w:color w:val="auto"/>
          <w:sz w:val="24"/>
        </w:rPr>
        <w:t>m</w:t>
      </w:r>
      <w:r>
        <w:rPr>
          <w:color w:val="auto"/>
          <w:sz w:val="24"/>
          <w:vertAlign w:val="superscript"/>
        </w:rPr>
        <w:t>3</w:t>
      </w:r>
      <w:r>
        <w:rPr>
          <w:bCs/>
          <w:color w:val="auto"/>
          <w:sz w:val="24"/>
        </w:rPr>
        <w:t>/a（</w:t>
      </w:r>
      <w:r>
        <w:rPr>
          <w:rFonts w:hint="eastAsia"/>
          <w:bCs/>
          <w:color w:val="auto"/>
          <w:sz w:val="24"/>
        </w:rPr>
        <w:t>2.16</w:t>
      </w:r>
      <w:r>
        <w:rPr>
          <w:color w:val="auto"/>
          <w:sz w:val="24"/>
        </w:rPr>
        <w:t>m</w:t>
      </w:r>
      <w:r>
        <w:rPr>
          <w:color w:val="auto"/>
          <w:sz w:val="24"/>
          <w:vertAlign w:val="superscript"/>
        </w:rPr>
        <w:t>3</w:t>
      </w:r>
      <w:r>
        <w:rPr>
          <w:bCs/>
          <w:color w:val="auto"/>
          <w:sz w:val="24"/>
        </w:rPr>
        <w:t>/d）。</w:t>
      </w:r>
      <w:r>
        <w:rPr>
          <w:color w:val="auto"/>
          <w:sz w:val="24"/>
        </w:rPr>
        <w:t>均由自来水管网提供。</w:t>
      </w:r>
    </w:p>
    <w:p>
      <w:pPr>
        <w:ind w:firstLine="480" w:firstLineChars="200"/>
        <w:rPr>
          <w:color w:val="auto"/>
          <w:sz w:val="24"/>
        </w:rPr>
      </w:pPr>
      <w:r>
        <w:rPr>
          <w:color w:val="auto"/>
          <w:sz w:val="24"/>
        </w:rPr>
        <w:t>（3）水平衡小结</w:t>
      </w:r>
    </w:p>
    <w:p>
      <w:pPr>
        <w:spacing w:line="360" w:lineRule="auto"/>
        <w:ind w:firstLine="480" w:firstLineChars="200"/>
        <w:rPr>
          <w:color w:val="auto"/>
          <w:sz w:val="24"/>
        </w:rPr>
      </w:pPr>
      <w:r>
        <w:rPr>
          <w:color w:val="auto"/>
          <w:sz w:val="24"/>
        </w:rPr>
        <w:t>项目给排水水量平衡见</w:t>
      </w:r>
      <w:r>
        <w:rPr>
          <w:rFonts w:hint="eastAsia"/>
          <w:color w:val="auto"/>
          <w:sz w:val="24"/>
        </w:rPr>
        <w:t>下表</w:t>
      </w:r>
      <w:r>
        <w:rPr>
          <w:color w:val="auto"/>
          <w:sz w:val="24"/>
        </w:rPr>
        <w:t>和</w:t>
      </w:r>
      <w:r>
        <w:rPr>
          <w:rFonts w:hint="eastAsia"/>
          <w:color w:val="auto"/>
          <w:sz w:val="24"/>
        </w:rPr>
        <w:t>下图</w:t>
      </w:r>
      <w:r>
        <w:rPr>
          <w:color w:val="auto"/>
          <w:sz w:val="24"/>
        </w:rPr>
        <w:t>。</w:t>
      </w:r>
    </w:p>
    <w:p>
      <w:pPr>
        <w:spacing w:line="360" w:lineRule="auto"/>
        <w:ind w:right="103" w:rightChars="49"/>
        <w:jc w:val="center"/>
        <w:rPr>
          <w:b/>
          <w:color w:val="auto"/>
          <w:kern w:val="0"/>
          <w:szCs w:val="21"/>
        </w:rPr>
      </w:pPr>
      <w:r>
        <w:rPr>
          <w:b/>
          <w:color w:val="auto"/>
          <w:kern w:val="0"/>
          <w:szCs w:val="21"/>
        </w:rPr>
        <w:t>表</w:t>
      </w:r>
      <w:r>
        <w:rPr>
          <w:rFonts w:hint="eastAsia"/>
          <w:b/>
          <w:color w:val="auto"/>
          <w:kern w:val="0"/>
          <w:szCs w:val="21"/>
        </w:rPr>
        <w:t>4</w:t>
      </w:r>
      <w:r>
        <w:rPr>
          <w:b/>
          <w:color w:val="auto"/>
          <w:kern w:val="0"/>
          <w:szCs w:val="21"/>
        </w:rPr>
        <w:t>.4-</w:t>
      </w:r>
      <w:r>
        <w:rPr>
          <w:rFonts w:hint="eastAsia"/>
          <w:b/>
          <w:color w:val="auto"/>
          <w:kern w:val="0"/>
          <w:szCs w:val="21"/>
        </w:rPr>
        <w:t>2  本</w:t>
      </w:r>
      <w:r>
        <w:rPr>
          <w:b/>
          <w:color w:val="auto"/>
          <w:kern w:val="0"/>
          <w:szCs w:val="21"/>
        </w:rPr>
        <w:t>项目用排水情况表（单位：</w:t>
      </w:r>
      <w:r>
        <w:rPr>
          <w:color w:val="auto"/>
          <w:szCs w:val="21"/>
        </w:rPr>
        <w:t>m</w:t>
      </w:r>
      <w:r>
        <w:rPr>
          <w:color w:val="auto"/>
          <w:szCs w:val="21"/>
          <w:vertAlign w:val="superscript"/>
        </w:rPr>
        <w:t>3</w:t>
      </w:r>
      <w:r>
        <w:rPr>
          <w:color w:val="auto"/>
          <w:szCs w:val="21"/>
        </w:rPr>
        <w:t>/a</w:t>
      </w:r>
      <w:r>
        <w:rPr>
          <w:b/>
          <w:color w:val="auto"/>
          <w:kern w:val="0"/>
          <w:szCs w:val="21"/>
        </w:rPr>
        <w:t>）</w:t>
      </w:r>
    </w:p>
    <w:tbl>
      <w:tblPr>
        <w:tblStyle w:val="23"/>
        <w:tblW w:w="87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28" w:type="dxa"/>
          <w:bottom w:w="0" w:type="dxa"/>
          <w:right w:w="28" w:type="dxa"/>
        </w:tblCellMar>
      </w:tblPr>
      <w:tblGrid>
        <w:gridCol w:w="1143"/>
        <w:gridCol w:w="782"/>
        <w:gridCol w:w="793"/>
        <w:gridCol w:w="902"/>
        <w:gridCol w:w="665"/>
        <w:gridCol w:w="4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28" w:type="dxa"/>
            <w:bottom w:w="0" w:type="dxa"/>
            <w:right w:w="28" w:type="dxa"/>
          </w:tblCellMar>
        </w:tblPrEx>
        <w:trPr>
          <w:trHeight w:val="20" w:hRule="atLeast"/>
          <w:jc w:val="center"/>
        </w:trPr>
        <w:tc>
          <w:tcPr>
            <w:tcW w:w="1143" w:type="dxa"/>
            <w:tcBorders>
              <w:tl2br w:val="nil"/>
              <w:tr2bl w:val="nil"/>
            </w:tcBorders>
            <w:vAlign w:val="center"/>
          </w:tcPr>
          <w:p>
            <w:pPr>
              <w:spacing w:line="300" w:lineRule="auto"/>
              <w:jc w:val="center"/>
              <w:rPr>
                <w:bCs/>
                <w:color w:val="auto"/>
                <w:szCs w:val="21"/>
              </w:rPr>
            </w:pPr>
            <w:r>
              <w:rPr>
                <w:bCs/>
                <w:color w:val="auto"/>
                <w:szCs w:val="21"/>
              </w:rPr>
              <w:t>项目</w:t>
            </w:r>
          </w:p>
        </w:tc>
        <w:tc>
          <w:tcPr>
            <w:tcW w:w="782" w:type="dxa"/>
            <w:tcBorders>
              <w:tl2br w:val="nil"/>
              <w:tr2bl w:val="nil"/>
            </w:tcBorders>
            <w:vAlign w:val="center"/>
          </w:tcPr>
          <w:p>
            <w:pPr>
              <w:spacing w:line="300" w:lineRule="auto"/>
              <w:jc w:val="center"/>
              <w:rPr>
                <w:bCs/>
                <w:color w:val="auto"/>
                <w:szCs w:val="21"/>
              </w:rPr>
            </w:pPr>
            <w:r>
              <w:rPr>
                <w:bCs/>
                <w:color w:val="auto"/>
                <w:szCs w:val="21"/>
              </w:rPr>
              <w:t>需求量</w:t>
            </w:r>
          </w:p>
        </w:tc>
        <w:tc>
          <w:tcPr>
            <w:tcW w:w="793" w:type="dxa"/>
            <w:tcBorders>
              <w:tl2br w:val="nil"/>
              <w:tr2bl w:val="nil"/>
            </w:tcBorders>
            <w:vAlign w:val="center"/>
          </w:tcPr>
          <w:p>
            <w:pPr>
              <w:spacing w:line="300" w:lineRule="auto"/>
              <w:jc w:val="center"/>
              <w:rPr>
                <w:bCs/>
                <w:color w:val="auto"/>
                <w:szCs w:val="21"/>
              </w:rPr>
            </w:pPr>
            <w:r>
              <w:rPr>
                <w:bCs/>
                <w:color w:val="auto"/>
                <w:szCs w:val="21"/>
              </w:rPr>
              <w:t>新鲜</w:t>
            </w:r>
          </w:p>
          <w:p>
            <w:pPr>
              <w:spacing w:line="300" w:lineRule="auto"/>
              <w:jc w:val="center"/>
              <w:rPr>
                <w:bCs/>
                <w:color w:val="auto"/>
                <w:szCs w:val="21"/>
              </w:rPr>
            </w:pPr>
            <w:r>
              <w:rPr>
                <w:bCs/>
                <w:color w:val="auto"/>
                <w:szCs w:val="21"/>
              </w:rPr>
              <w:t>水用量</w:t>
            </w:r>
          </w:p>
        </w:tc>
        <w:tc>
          <w:tcPr>
            <w:tcW w:w="902" w:type="dxa"/>
            <w:tcBorders>
              <w:tl2br w:val="nil"/>
              <w:tr2bl w:val="nil"/>
            </w:tcBorders>
            <w:vAlign w:val="center"/>
          </w:tcPr>
          <w:p>
            <w:pPr>
              <w:spacing w:line="300" w:lineRule="auto"/>
              <w:jc w:val="center"/>
              <w:rPr>
                <w:bCs/>
                <w:color w:val="auto"/>
                <w:szCs w:val="21"/>
              </w:rPr>
            </w:pPr>
            <w:r>
              <w:rPr>
                <w:bCs/>
                <w:color w:val="auto"/>
                <w:szCs w:val="21"/>
              </w:rPr>
              <w:t>损耗量</w:t>
            </w:r>
          </w:p>
        </w:tc>
        <w:tc>
          <w:tcPr>
            <w:tcW w:w="665" w:type="dxa"/>
            <w:tcBorders>
              <w:tl2br w:val="nil"/>
              <w:tr2bl w:val="nil"/>
            </w:tcBorders>
            <w:vAlign w:val="center"/>
          </w:tcPr>
          <w:p>
            <w:pPr>
              <w:spacing w:line="300" w:lineRule="auto"/>
              <w:jc w:val="center"/>
              <w:rPr>
                <w:bCs/>
                <w:color w:val="auto"/>
                <w:szCs w:val="21"/>
              </w:rPr>
            </w:pPr>
            <w:r>
              <w:rPr>
                <w:bCs/>
                <w:color w:val="auto"/>
                <w:szCs w:val="21"/>
              </w:rPr>
              <w:t>外排量</w:t>
            </w:r>
          </w:p>
        </w:tc>
        <w:tc>
          <w:tcPr>
            <w:tcW w:w="4503" w:type="dxa"/>
            <w:tcBorders>
              <w:tl2br w:val="nil"/>
              <w:tr2bl w:val="nil"/>
            </w:tcBorders>
            <w:vAlign w:val="center"/>
          </w:tcPr>
          <w:p>
            <w:pPr>
              <w:spacing w:line="300" w:lineRule="auto"/>
              <w:jc w:val="center"/>
              <w:rPr>
                <w:bCs/>
                <w:color w:val="auto"/>
                <w:szCs w:val="21"/>
              </w:rPr>
            </w:pPr>
            <w:r>
              <w:rPr>
                <w:bCs/>
                <w:color w:val="auto"/>
                <w:szCs w:val="21"/>
              </w:rPr>
              <w:t>处理措施及排水去向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28" w:type="dxa"/>
            <w:bottom w:w="0" w:type="dxa"/>
            <w:right w:w="28" w:type="dxa"/>
          </w:tblCellMar>
        </w:tblPrEx>
        <w:trPr>
          <w:trHeight w:val="172" w:hRule="atLeast"/>
          <w:jc w:val="center"/>
        </w:trPr>
        <w:tc>
          <w:tcPr>
            <w:tcW w:w="1143" w:type="dxa"/>
            <w:tcBorders>
              <w:tl2br w:val="nil"/>
              <w:tr2bl w:val="nil"/>
            </w:tcBorders>
            <w:vAlign w:val="center"/>
          </w:tcPr>
          <w:p>
            <w:pPr>
              <w:spacing w:line="300" w:lineRule="auto"/>
              <w:jc w:val="center"/>
              <w:rPr>
                <w:color w:val="auto"/>
                <w:szCs w:val="21"/>
              </w:rPr>
            </w:pPr>
            <w:r>
              <w:rPr>
                <w:color w:val="auto"/>
                <w:szCs w:val="21"/>
              </w:rPr>
              <w:t>员工</w:t>
            </w:r>
          </w:p>
          <w:p>
            <w:pPr>
              <w:spacing w:line="300" w:lineRule="auto"/>
              <w:jc w:val="center"/>
              <w:rPr>
                <w:color w:val="auto"/>
                <w:szCs w:val="21"/>
              </w:rPr>
            </w:pPr>
            <w:r>
              <w:rPr>
                <w:color w:val="auto"/>
                <w:szCs w:val="21"/>
              </w:rPr>
              <w:t>生活用水</w:t>
            </w:r>
          </w:p>
        </w:tc>
        <w:tc>
          <w:tcPr>
            <w:tcW w:w="782" w:type="dxa"/>
            <w:tcBorders>
              <w:tl2br w:val="nil"/>
              <w:tr2bl w:val="nil"/>
            </w:tcBorders>
            <w:vAlign w:val="center"/>
          </w:tcPr>
          <w:p>
            <w:pPr>
              <w:spacing w:line="300" w:lineRule="auto"/>
              <w:jc w:val="center"/>
              <w:rPr>
                <w:color w:val="auto"/>
                <w:szCs w:val="21"/>
              </w:rPr>
            </w:pPr>
            <w:r>
              <w:rPr>
                <w:bCs/>
                <w:color w:val="auto"/>
                <w:szCs w:val="21"/>
              </w:rPr>
              <w:t>792</w:t>
            </w:r>
          </w:p>
        </w:tc>
        <w:tc>
          <w:tcPr>
            <w:tcW w:w="793" w:type="dxa"/>
            <w:tcBorders>
              <w:tl2br w:val="nil"/>
              <w:tr2bl w:val="nil"/>
            </w:tcBorders>
            <w:vAlign w:val="center"/>
          </w:tcPr>
          <w:p>
            <w:pPr>
              <w:spacing w:line="300" w:lineRule="auto"/>
              <w:jc w:val="center"/>
              <w:rPr>
                <w:color w:val="auto"/>
                <w:szCs w:val="21"/>
              </w:rPr>
            </w:pPr>
            <w:r>
              <w:rPr>
                <w:bCs/>
                <w:color w:val="auto"/>
                <w:szCs w:val="21"/>
              </w:rPr>
              <w:t>792</w:t>
            </w:r>
          </w:p>
        </w:tc>
        <w:tc>
          <w:tcPr>
            <w:tcW w:w="902" w:type="dxa"/>
            <w:tcBorders>
              <w:tl2br w:val="nil"/>
              <w:tr2bl w:val="nil"/>
            </w:tcBorders>
            <w:vAlign w:val="center"/>
          </w:tcPr>
          <w:p>
            <w:pPr>
              <w:spacing w:line="300" w:lineRule="auto"/>
              <w:jc w:val="center"/>
              <w:rPr>
                <w:color w:val="auto"/>
                <w:szCs w:val="21"/>
              </w:rPr>
            </w:pPr>
            <w:r>
              <w:rPr>
                <w:color w:val="auto"/>
                <w:szCs w:val="21"/>
              </w:rPr>
              <w:t>79.2</w:t>
            </w:r>
          </w:p>
        </w:tc>
        <w:tc>
          <w:tcPr>
            <w:tcW w:w="665" w:type="dxa"/>
            <w:tcBorders>
              <w:tl2br w:val="nil"/>
              <w:tr2bl w:val="nil"/>
            </w:tcBorders>
            <w:vAlign w:val="center"/>
          </w:tcPr>
          <w:p>
            <w:pPr>
              <w:spacing w:line="300" w:lineRule="auto"/>
              <w:jc w:val="center"/>
              <w:rPr>
                <w:color w:val="auto"/>
                <w:szCs w:val="21"/>
              </w:rPr>
            </w:pPr>
            <w:r>
              <w:rPr>
                <w:color w:val="auto"/>
                <w:szCs w:val="21"/>
              </w:rPr>
              <w:t>712.8</w:t>
            </w:r>
          </w:p>
        </w:tc>
        <w:tc>
          <w:tcPr>
            <w:tcW w:w="4503" w:type="dxa"/>
            <w:tcBorders>
              <w:tl2br w:val="nil"/>
              <w:tr2bl w:val="nil"/>
            </w:tcBorders>
            <w:vAlign w:val="center"/>
          </w:tcPr>
          <w:p>
            <w:pPr>
              <w:spacing w:line="300" w:lineRule="auto"/>
              <w:rPr>
                <w:color w:val="auto"/>
                <w:szCs w:val="21"/>
              </w:rPr>
            </w:pPr>
            <w:r>
              <w:rPr>
                <w:color w:val="auto"/>
                <w:szCs w:val="21"/>
              </w:rPr>
              <w:t>经三级化粪池预处理达到广东省地方标准《水污染物排放限值》（DB44/26-2001）第二时段三级标准及石角污水处理厂进水水质标准较严值后经市政管网进入石角污水处理厂集中处理，最后尾水达标排入沙埗溪。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28" w:type="dxa"/>
            <w:bottom w:w="0" w:type="dxa"/>
            <w:right w:w="28" w:type="dxa"/>
          </w:tblCellMar>
        </w:tblPrEx>
        <w:trPr>
          <w:trHeight w:val="20" w:hRule="atLeast"/>
          <w:jc w:val="center"/>
        </w:trPr>
        <w:tc>
          <w:tcPr>
            <w:tcW w:w="1143" w:type="dxa"/>
            <w:tcBorders>
              <w:tl2br w:val="nil"/>
              <w:tr2bl w:val="nil"/>
            </w:tcBorders>
            <w:vAlign w:val="center"/>
          </w:tcPr>
          <w:p>
            <w:pPr>
              <w:spacing w:line="300" w:lineRule="auto"/>
              <w:jc w:val="center"/>
              <w:rPr>
                <w:color w:val="auto"/>
                <w:szCs w:val="21"/>
              </w:rPr>
            </w:pPr>
            <w:r>
              <w:rPr>
                <w:color w:val="auto"/>
                <w:szCs w:val="21"/>
              </w:rPr>
              <w:t>湿式破碎生产线补充水</w:t>
            </w:r>
          </w:p>
        </w:tc>
        <w:tc>
          <w:tcPr>
            <w:tcW w:w="782" w:type="dxa"/>
            <w:tcBorders>
              <w:tl2br w:val="nil"/>
              <w:tr2bl w:val="nil"/>
            </w:tcBorders>
            <w:vAlign w:val="center"/>
          </w:tcPr>
          <w:p>
            <w:pPr>
              <w:spacing w:line="300" w:lineRule="auto"/>
              <w:jc w:val="center"/>
              <w:rPr>
                <w:color w:val="auto"/>
                <w:szCs w:val="21"/>
              </w:rPr>
            </w:pPr>
            <w:r>
              <w:rPr>
                <w:color w:val="auto"/>
                <w:szCs w:val="21"/>
              </w:rPr>
              <w:t>8448</w:t>
            </w:r>
          </w:p>
        </w:tc>
        <w:tc>
          <w:tcPr>
            <w:tcW w:w="793" w:type="dxa"/>
            <w:tcBorders>
              <w:tl2br w:val="nil"/>
              <w:tr2bl w:val="nil"/>
            </w:tcBorders>
            <w:vAlign w:val="center"/>
          </w:tcPr>
          <w:p>
            <w:pPr>
              <w:spacing w:line="300" w:lineRule="auto"/>
              <w:jc w:val="center"/>
              <w:rPr>
                <w:color w:val="auto"/>
                <w:szCs w:val="21"/>
              </w:rPr>
            </w:pPr>
            <w:r>
              <w:rPr>
                <w:color w:val="auto"/>
                <w:szCs w:val="21"/>
              </w:rPr>
              <w:t>8448</w:t>
            </w:r>
          </w:p>
        </w:tc>
        <w:tc>
          <w:tcPr>
            <w:tcW w:w="902" w:type="dxa"/>
            <w:tcBorders>
              <w:tl2br w:val="nil"/>
              <w:tr2bl w:val="nil"/>
            </w:tcBorders>
            <w:vAlign w:val="center"/>
          </w:tcPr>
          <w:p>
            <w:pPr>
              <w:spacing w:line="300" w:lineRule="auto"/>
              <w:jc w:val="center"/>
              <w:rPr>
                <w:color w:val="auto"/>
                <w:szCs w:val="21"/>
              </w:rPr>
            </w:pPr>
            <w:r>
              <w:rPr>
                <w:color w:val="auto"/>
                <w:szCs w:val="21"/>
              </w:rPr>
              <w:t>8448</w:t>
            </w:r>
          </w:p>
        </w:tc>
        <w:tc>
          <w:tcPr>
            <w:tcW w:w="665" w:type="dxa"/>
            <w:tcBorders>
              <w:tl2br w:val="nil"/>
              <w:tr2bl w:val="nil"/>
            </w:tcBorders>
            <w:vAlign w:val="center"/>
          </w:tcPr>
          <w:p>
            <w:pPr>
              <w:spacing w:line="300" w:lineRule="auto"/>
              <w:jc w:val="center"/>
              <w:rPr>
                <w:color w:val="auto"/>
                <w:szCs w:val="21"/>
              </w:rPr>
            </w:pPr>
            <w:r>
              <w:rPr>
                <w:color w:val="auto"/>
                <w:szCs w:val="21"/>
              </w:rPr>
              <w:t>0</w:t>
            </w:r>
          </w:p>
        </w:tc>
        <w:tc>
          <w:tcPr>
            <w:tcW w:w="4503" w:type="dxa"/>
            <w:tcBorders>
              <w:tl2br w:val="nil"/>
              <w:tr2bl w:val="nil"/>
            </w:tcBorders>
            <w:vAlign w:val="center"/>
          </w:tcPr>
          <w:p>
            <w:pPr>
              <w:spacing w:line="300" w:lineRule="auto"/>
              <w:jc w:val="center"/>
              <w:rPr>
                <w:color w:val="auto"/>
                <w:szCs w:val="21"/>
              </w:rPr>
            </w:pPr>
            <w:r>
              <w:rPr>
                <w:color w:val="auto"/>
                <w:szCs w:val="21"/>
              </w:rPr>
              <w:t>经沉淀处理后回用，最终在不断循环的过程中损耗。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28" w:type="dxa"/>
            <w:bottom w:w="0" w:type="dxa"/>
            <w:right w:w="28" w:type="dxa"/>
          </w:tblCellMar>
        </w:tblPrEx>
        <w:trPr>
          <w:trHeight w:val="20" w:hRule="atLeast"/>
          <w:jc w:val="center"/>
        </w:trPr>
        <w:tc>
          <w:tcPr>
            <w:tcW w:w="1143" w:type="dxa"/>
            <w:tcBorders>
              <w:tl2br w:val="nil"/>
              <w:tr2bl w:val="nil"/>
            </w:tcBorders>
            <w:vAlign w:val="center"/>
          </w:tcPr>
          <w:p>
            <w:pPr>
              <w:spacing w:line="300" w:lineRule="auto"/>
              <w:jc w:val="center"/>
              <w:rPr>
                <w:color w:val="auto"/>
                <w:szCs w:val="21"/>
              </w:rPr>
            </w:pPr>
            <w:r>
              <w:rPr>
                <w:color w:val="auto"/>
                <w:szCs w:val="21"/>
              </w:rPr>
              <w:t>卷材生产线冷却补充水</w:t>
            </w:r>
          </w:p>
        </w:tc>
        <w:tc>
          <w:tcPr>
            <w:tcW w:w="782" w:type="dxa"/>
            <w:tcBorders>
              <w:tl2br w:val="nil"/>
              <w:tr2bl w:val="nil"/>
            </w:tcBorders>
            <w:vAlign w:val="center"/>
          </w:tcPr>
          <w:p>
            <w:pPr>
              <w:spacing w:line="300" w:lineRule="auto"/>
              <w:jc w:val="center"/>
              <w:rPr>
                <w:color w:val="auto"/>
                <w:szCs w:val="21"/>
              </w:rPr>
            </w:pPr>
            <w:r>
              <w:rPr>
                <w:color w:val="auto"/>
                <w:szCs w:val="21"/>
              </w:rPr>
              <w:t>2851.2</w:t>
            </w:r>
          </w:p>
        </w:tc>
        <w:tc>
          <w:tcPr>
            <w:tcW w:w="793" w:type="dxa"/>
            <w:tcBorders>
              <w:tl2br w:val="nil"/>
              <w:tr2bl w:val="nil"/>
            </w:tcBorders>
            <w:vAlign w:val="center"/>
          </w:tcPr>
          <w:p>
            <w:pPr>
              <w:spacing w:line="300" w:lineRule="auto"/>
              <w:jc w:val="center"/>
              <w:rPr>
                <w:color w:val="auto"/>
                <w:szCs w:val="21"/>
              </w:rPr>
            </w:pPr>
            <w:r>
              <w:rPr>
                <w:color w:val="auto"/>
                <w:szCs w:val="21"/>
              </w:rPr>
              <w:t>2851.2</w:t>
            </w:r>
          </w:p>
        </w:tc>
        <w:tc>
          <w:tcPr>
            <w:tcW w:w="902" w:type="dxa"/>
            <w:tcBorders>
              <w:tl2br w:val="nil"/>
              <w:tr2bl w:val="nil"/>
            </w:tcBorders>
            <w:vAlign w:val="center"/>
          </w:tcPr>
          <w:p>
            <w:pPr>
              <w:spacing w:line="300" w:lineRule="auto"/>
              <w:jc w:val="center"/>
              <w:rPr>
                <w:color w:val="auto"/>
                <w:szCs w:val="21"/>
              </w:rPr>
            </w:pPr>
            <w:r>
              <w:rPr>
                <w:color w:val="auto"/>
                <w:szCs w:val="21"/>
              </w:rPr>
              <w:t>2851.2</w:t>
            </w:r>
          </w:p>
        </w:tc>
        <w:tc>
          <w:tcPr>
            <w:tcW w:w="665" w:type="dxa"/>
            <w:tcBorders>
              <w:tl2br w:val="nil"/>
              <w:tr2bl w:val="nil"/>
            </w:tcBorders>
            <w:vAlign w:val="center"/>
          </w:tcPr>
          <w:p>
            <w:pPr>
              <w:spacing w:line="300" w:lineRule="auto"/>
              <w:jc w:val="center"/>
              <w:rPr>
                <w:color w:val="auto"/>
                <w:szCs w:val="21"/>
              </w:rPr>
            </w:pPr>
            <w:r>
              <w:rPr>
                <w:color w:val="auto"/>
                <w:szCs w:val="21"/>
              </w:rPr>
              <w:t>0</w:t>
            </w:r>
          </w:p>
        </w:tc>
        <w:tc>
          <w:tcPr>
            <w:tcW w:w="4503" w:type="dxa"/>
            <w:tcBorders>
              <w:tl2br w:val="nil"/>
              <w:tr2bl w:val="nil"/>
            </w:tcBorders>
            <w:vAlign w:val="center"/>
          </w:tcPr>
          <w:p>
            <w:pPr>
              <w:spacing w:line="300" w:lineRule="auto"/>
              <w:jc w:val="center"/>
              <w:rPr>
                <w:color w:val="auto"/>
                <w:szCs w:val="21"/>
              </w:rPr>
            </w:pPr>
            <w:r>
              <w:rPr>
                <w:color w:val="auto"/>
                <w:szCs w:val="21"/>
              </w:rPr>
              <w:t>循环使用，不外排，最终因蒸发损失和风吹损失而消耗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28" w:type="dxa"/>
            <w:bottom w:w="0" w:type="dxa"/>
            <w:right w:w="28" w:type="dxa"/>
          </w:tblCellMar>
        </w:tblPrEx>
        <w:trPr>
          <w:trHeight w:val="20" w:hRule="atLeast"/>
          <w:jc w:val="center"/>
        </w:trPr>
        <w:tc>
          <w:tcPr>
            <w:tcW w:w="1143" w:type="dxa"/>
            <w:tcBorders>
              <w:tl2br w:val="nil"/>
              <w:tr2bl w:val="nil"/>
            </w:tcBorders>
            <w:vAlign w:val="center"/>
          </w:tcPr>
          <w:p>
            <w:pPr>
              <w:spacing w:line="300" w:lineRule="auto"/>
              <w:jc w:val="center"/>
              <w:rPr>
                <w:color w:val="auto"/>
                <w:szCs w:val="21"/>
              </w:rPr>
            </w:pPr>
            <w:r>
              <w:rPr>
                <w:color w:val="auto"/>
                <w:szCs w:val="21"/>
              </w:rPr>
              <w:t>合计</w:t>
            </w:r>
          </w:p>
        </w:tc>
        <w:tc>
          <w:tcPr>
            <w:tcW w:w="782"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12091.2</w:t>
            </w:r>
          </w:p>
        </w:tc>
        <w:tc>
          <w:tcPr>
            <w:tcW w:w="793"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12091.2</w:t>
            </w:r>
          </w:p>
        </w:tc>
        <w:tc>
          <w:tcPr>
            <w:tcW w:w="902"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11378.4</w:t>
            </w:r>
          </w:p>
        </w:tc>
        <w:tc>
          <w:tcPr>
            <w:tcW w:w="665" w:type="dxa"/>
            <w:tcBorders>
              <w:tl2br w:val="nil"/>
              <w:tr2bl w:val="nil"/>
            </w:tcBorders>
            <w:vAlign w:val="center"/>
          </w:tcPr>
          <w:p>
            <w:pPr>
              <w:spacing w:line="300" w:lineRule="auto"/>
              <w:jc w:val="center"/>
              <w:rPr>
                <w:color w:val="auto"/>
                <w:szCs w:val="21"/>
              </w:rPr>
            </w:pPr>
            <w:r>
              <w:rPr>
                <w:color w:val="auto"/>
                <w:szCs w:val="21"/>
              </w:rPr>
              <w:t>712.8</w:t>
            </w:r>
          </w:p>
        </w:tc>
        <w:tc>
          <w:tcPr>
            <w:tcW w:w="4503" w:type="dxa"/>
            <w:tcBorders>
              <w:tl2br w:val="nil"/>
              <w:tr2bl w:val="nil"/>
            </w:tcBorders>
            <w:vAlign w:val="center"/>
          </w:tcPr>
          <w:p>
            <w:pPr>
              <w:spacing w:line="300" w:lineRule="auto"/>
              <w:jc w:val="center"/>
              <w:rPr>
                <w:color w:val="auto"/>
                <w:szCs w:val="21"/>
              </w:rPr>
            </w:pPr>
            <w:r>
              <w:rPr>
                <w:color w:val="auto"/>
                <w:szCs w:val="21"/>
              </w:rPr>
              <w:t>合理处理</w:t>
            </w:r>
          </w:p>
        </w:tc>
      </w:tr>
    </w:tbl>
    <w:p>
      <w:pPr>
        <w:spacing w:line="360" w:lineRule="auto"/>
        <w:ind w:leftChars="-200" w:hanging="420" w:hangingChars="200"/>
        <w:jc w:val="center"/>
        <w:rPr>
          <w:b/>
          <w:color w:val="auto"/>
          <w:kern w:val="0"/>
          <w:sz w:val="24"/>
        </w:rPr>
      </w:pPr>
      <w:r>
        <w:rPr>
          <w:color w:val="auto"/>
        </w:rPr>
        <w:object>
          <v:shape id="_x0000_i1029" o:spt="75" type="#_x0000_t75" style="height:221.65pt;width:446.15pt;" o:ole="t" filled="f" o:preferrelative="t" stroked="f" coordsize="21600,21600">
            <v:path/>
            <v:fill on="f" focussize="0,0"/>
            <v:stroke on="f"/>
            <v:imagedata r:id="rId66" o:title=""/>
            <o:lock v:ext="edit" aspectratio="f"/>
            <w10:wrap type="none"/>
            <w10:anchorlock/>
          </v:shape>
          <o:OLEObject Type="Embed" ProgID="Visio.Drawing.11" ShapeID="_x0000_i1029" DrawAspect="Content" ObjectID="_1468075729" r:id="rId65">
            <o:LockedField>false</o:LockedField>
          </o:OLEObject>
        </w:object>
      </w:r>
    </w:p>
    <w:p>
      <w:pPr>
        <w:spacing w:line="360" w:lineRule="auto"/>
        <w:jc w:val="center"/>
        <w:rPr>
          <w:b/>
          <w:color w:val="auto"/>
          <w:kern w:val="0"/>
          <w:sz w:val="24"/>
        </w:rPr>
      </w:pPr>
      <w:r>
        <w:rPr>
          <w:b/>
          <w:color w:val="auto"/>
          <w:kern w:val="0"/>
          <w:sz w:val="24"/>
        </w:rPr>
        <w:t>图</w:t>
      </w:r>
      <w:r>
        <w:rPr>
          <w:rFonts w:hint="eastAsia"/>
          <w:b/>
          <w:color w:val="auto"/>
          <w:kern w:val="0"/>
          <w:sz w:val="24"/>
        </w:rPr>
        <w:t>4</w:t>
      </w:r>
      <w:r>
        <w:rPr>
          <w:b/>
          <w:color w:val="auto"/>
          <w:kern w:val="0"/>
          <w:sz w:val="24"/>
        </w:rPr>
        <w:t>.4-</w:t>
      </w:r>
      <w:r>
        <w:rPr>
          <w:rFonts w:hint="eastAsia"/>
          <w:b/>
          <w:color w:val="auto"/>
          <w:kern w:val="0"/>
          <w:sz w:val="24"/>
        </w:rPr>
        <w:t xml:space="preserve">4 </w:t>
      </w:r>
      <w:r>
        <w:rPr>
          <w:b/>
          <w:color w:val="auto"/>
          <w:kern w:val="0"/>
          <w:sz w:val="24"/>
        </w:rPr>
        <w:t xml:space="preserve"> </w:t>
      </w:r>
      <w:r>
        <w:rPr>
          <w:rFonts w:hint="eastAsia"/>
          <w:b/>
          <w:color w:val="auto"/>
          <w:kern w:val="0"/>
          <w:sz w:val="24"/>
        </w:rPr>
        <w:t>本</w:t>
      </w:r>
      <w:r>
        <w:rPr>
          <w:b/>
          <w:color w:val="auto"/>
          <w:kern w:val="0"/>
          <w:sz w:val="24"/>
        </w:rPr>
        <w:t>项目水平衡图</w:t>
      </w:r>
    </w:p>
    <w:p>
      <w:pPr>
        <w:spacing w:line="360" w:lineRule="auto"/>
        <w:ind w:firstLine="480"/>
        <w:rPr>
          <w:color w:val="auto"/>
          <w:sz w:val="24"/>
        </w:rPr>
      </w:pPr>
      <w:r>
        <w:rPr>
          <w:color w:val="auto"/>
          <w:sz w:val="24"/>
        </w:rPr>
        <w:t>2、物料平衡</w:t>
      </w:r>
    </w:p>
    <w:p>
      <w:pPr>
        <w:spacing w:line="360" w:lineRule="auto"/>
        <w:ind w:firstLine="480"/>
        <w:rPr>
          <w:color w:val="auto"/>
          <w:sz w:val="24"/>
        </w:rPr>
      </w:pPr>
      <w:r>
        <w:rPr>
          <w:color w:val="auto"/>
          <w:sz w:val="24"/>
        </w:rPr>
        <w:t>据建设单位提供的资料，本项目生产过程中主要原辅材料物料平衡如下表。</w:t>
      </w:r>
    </w:p>
    <w:p>
      <w:pPr>
        <w:spacing w:line="360" w:lineRule="auto"/>
        <w:ind w:right="103" w:rightChars="49"/>
        <w:jc w:val="center"/>
        <w:rPr>
          <w:b/>
          <w:color w:val="auto"/>
          <w:kern w:val="0"/>
          <w:szCs w:val="21"/>
        </w:rPr>
      </w:pPr>
      <w:r>
        <w:rPr>
          <w:b/>
          <w:color w:val="auto"/>
          <w:kern w:val="0"/>
          <w:szCs w:val="21"/>
        </w:rPr>
        <w:t>表</w:t>
      </w:r>
      <w:r>
        <w:rPr>
          <w:rFonts w:hint="eastAsia"/>
          <w:b/>
          <w:color w:val="auto"/>
          <w:kern w:val="0"/>
          <w:szCs w:val="21"/>
        </w:rPr>
        <w:t>4</w:t>
      </w:r>
      <w:r>
        <w:rPr>
          <w:b/>
          <w:color w:val="auto"/>
          <w:kern w:val="0"/>
          <w:szCs w:val="21"/>
        </w:rPr>
        <w:t>.4-</w:t>
      </w:r>
      <w:r>
        <w:rPr>
          <w:rFonts w:hint="eastAsia"/>
          <w:b/>
          <w:color w:val="auto"/>
          <w:kern w:val="0"/>
          <w:szCs w:val="21"/>
        </w:rPr>
        <w:t xml:space="preserve">3 </w:t>
      </w:r>
      <w:r>
        <w:rPr>
          <w:b/>
          <w:color w:val="auto"/>
          <w:kern w:val="0"/>
          <w:szCs w:val="21"/>
        </w:rPr>
        <w:t xml:space="preserve"> 项目主要原辅料物料平衡表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64"/>
        <w:gridCol w:w="1180"/>
        <w:gridCol w:w="236"/>
        <w:gridCol w:w="1179"/>
        <w:gridCol w:w="1168"/>
        <w:gridCol w:w="1198"/>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4"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投入物料</w:t>
            </w:r>
          </w:p>
        </w:tc>
        <w:tc>
          <w:tcPr>
            <w:tcW w:w="236" w:type="dxa"/>
            <w:vMerge w:val="restart"/>
            <w:tcBorders>
              <w:tl2br w:val="nil"/>
              <w:tr2bl w:val="nil"/>
            </w:tcBorders>
            <w:vAlign w:val="center"/>
          </w:tcPr>
          <w:p>
            <w:pPr>
              <w:pStyle w:val="52"/>
              <w:spacing w:line="240" w:lineRule="auto"/>
              <w:ind w:firstLine="0"/>
              <w:jc w:val="center"/>
              <w:rPr>
                <w:bCs/>
                <w:color w:val="auto"/>
                <w:sz w:val="21"/>
                <w:szCs w:val="21"/>
              </w:rPr>
            </w:pPr>
          </w:p>
        </w:tc>
        <w:tc>
          <w:tcPr>
            <w:tcW w:w="4968" w:type="dxa"/>
            <w:gridSpan w:val="4"/>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产出物料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64"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物料名称</w:t>
            </w:r>
          </w:p>
        </w:tc>
        <w:tc>
          <w:tcPr>
            <w:tcW w:w="1180"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数量（t/a）</w:t>
            </w:r>
          </w:p>
        </w:tc>
        <w:tc>
          <w:tcPr>
            <w:tcW w:w="236"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79"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物料类型</w:t>
            </w: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物料名称</w:t>
            </w:r>
          </w:p>
        </w:tc>
        <w:tc>
          <w:tcPr>
            <w:tcW w:w="1423"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64" w:type="dxa"/>
            <w:tcBorders>
              <w:tl2br w:val="nil"/>
              <w:tr2bl w:val="nil"/>
            </w:tcBorders>
            <w:vAlign w:val="center"/>
          </w:tcPr>
          <w:p>
            <w:pPr>
              <w:jc w:val="center"/>
              <w:rPr>
                <w:bCs/>
                <w:color w:val="auto"/>
                <w:szCs w:val="21"/>
              </w:rPr>
            </w:pPr>
            <w:r>
              <w:rPr>
                <w:color w:val="auto"/>
                <w:szCs w:val="21"/>
              </w:rPr>
              <w:t>废覆铜板（不含元器件）</w:t>
            </w:r>
          </w:p>
        </w:tc>
        <w:tc>
          <w:tcPr>
            <w:tcW w:w="1180" w:type="dxa"/>
            <w:tcBorders>
              <w:tl2br w:val="nil"/>
              <w:tr2bl w:val="nil"/>
            </w:tcBorders>
            <w:vAlign w:val="center"/>
          </w:tcPr>
          <w:p>
            <w:pPr>
              <w:widowControl/>
              <w:jc w:val="center"/>
              <w:rPr>
                <w:bCs/>
                <w:color w:val="auto"/>
                <w:szCs w:val="21"/>
              </w:rPr>
            </w:pPr>
            <w:r>
              <w:rPr>
                <w:color w:val="auto"/>
                <w:kern w:val="0"/>
                <w:szCs w:val="21"/>
              </w:rPr>
              <w:t>30000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产品</w:t>
            </w: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铜粉</w:t>
            </w:r>
          </w:p>
        </w:tc>
        <w:tc>
          <w:tcPr>
            <w:tcW w:w="1423" w:type="dxa"/>
            <w:tcBorders>
              <w:tl2br w:val="nil"/>
              <w:tr2bl w:val="nil"/>
            </w:tcBorders>
            <w:vAlign w:val="center"/>
          </w:tcPr>
          <w:p>
            <w:pPr>
              <w:widowControl/>
              <w:jc w:val="center"/>
              <w:textAlignment w:val="center"/>
              <w:rPr>
                <w:bCs/>
                <w:color w:val="auto"/>
                <w:szCs w:val="21"/>
              </w:rPr>
            </w:pPr>
            <w:r>
              <w:rPr>
                <w:color w:val="auto"/>
                <w:kern w:val="0"/>
                <w:szCs w:val="21"/>
                <w:lang w:bidi="ar"/>
              </w:rPr>
              <w:t>23574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石油沥青</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4000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防水卷材</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23018.6589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SBS颗粒</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2500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气体污染物</w:t>
            </w:r>
          </w:p>
        </w:tc>
        <w:tc>
          <w:tcPr>
            <w:tcW w:w="1168"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颗粒物</w:t>
            </w: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有组织</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0.3306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PE膜</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1500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无组织</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0.4585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滑石粉</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6000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苯并[a]芘</w:t>
            </w: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有组织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SBR颗粒</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2100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无组织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widowControl/>
              <w:jc w:val="center"/>
              <w:textAlignment w:val="center"/>
              <w:rPr>
                <w:bCs/>
                <w:color w:val="auto"/>
                <w:szCs w:val="21"/>
              </w:rPr>
            </w:pPr>
            <w:r>
              <w:rPr>
                <w:color w:val="auto"/>
                <w:kern w:val="0"/>
                <w:szCs w:val="21"/>
                <w:lang w:bidi="ar"/>
              </w:rPr>
              <w:t>软化油</w:t>
            </w:r>
          </w:p>
        </w:tc>
        <w:tc>
          <w:tcPr>
            <w:tcW w:w="1180" w:type="dxa"/>
            <w:tcBorders>
              <w:tl2br w:val="nil"/>
              <w:tr2bl w:val="nil"/>
            </w:tcBorders>
            <w:vAlign w:val="center"/>
          </w:tcPr>
          <w:p>
            <w:pPr>
              <w:widowControl/>
              <w:jc w:val="center"/>
              <w:textAlignment w:val="center"/>
              <w:rPr>
                <w:bCs/>
                <w:color w:val="auto"/>
                <w:szCs w:val="21"/>
              </w:rPr>
            </w:pPr>
            <w:r>
              <w:rPr>
                <w:color w:val="auto"/>
                <w:kern w:val="0"/>
                <w:szCs w:val="21"/>
                <w:lang w:bidi="ar"/>
              </w:rPr>
              <w:t>500</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沥青烟</w:t>
            </w: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有组织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0.2228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无组织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0.0225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非甲烷总烃</w:t>
            </w: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有组织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68" w:type="dxa"/>
            <w:vMerge w:val="continue"/>
            <w:tcBorders>
              <w:tl2br w:val="nil"/>
              <w:tr2bl w:val="nil"/>
            </w:tcBorders>
            <w:vAlign w:val="center"/>
          </w:tcPr>
          <w:p>
            <w:pPr>
              <w:pStyle w:val="52"/>
              <w:spacing w:line="240" w:lineRule="auto"/>
              <w:ind w:firstLine="0"/>
              <w:jc w:val="center"/>
              <w:rPr>
                <w:bCs/>
                <w:color w:val="auto"/>
                <w:sz w:val="21"/>
                <w:szCs w:val="21"/>
              </w:rPr>
            </w:pPr>
          </w:p>
        </w:tc>
        <w:tc>
          <w:tcPr>
            <w:tcW w:w="1198" w:type="dxa"/>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无组织</w:t>
            </w:r>
          </w:p>
        </w:tc>
        <w:tc>
          <w:tcPr>
            <w:tcW w:w="1423"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restart"/>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去除量</w:t>
            </w: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颗粒物</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6.2813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苯并[a]芘</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0.000356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沥青烟</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2.0048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564" w:type="dxa"/>
            <w:tcBorders>
              <w:tl2br w:val="nil"/>
              <w:tr2bl w:val="nil"/>
            </w:tcBorders>
            <w:vAlign w:val="center"/>
          </w:tcPr>
          <w:p>
            <w:pPr>
              <w:jc w:val="center"/>
              <w:rPr>
                <w:bCs/>
                <w:color w:val="auto"/>
                <w:szCs w:val="21"/>
              </w:rPr>
            </w:pPr>
            <w:r>
              <w:rPr>
                <w:bCs/>
                <w:color w:val="auto"/>
                <w:szCs w:val="21"/>
              </w:rPr>
              <w:t>/</w:t>
            </w:r>
          </w:p>
        </w:tc>
        <w:tc>
          <w:tcPr>
            <w:tcW w:w="1180" w:type="dxa"/>
            <w:tcBorders>
              <w:tl2br w:val="nil"/>
              <w:tr2bl w:val="nil"/>
            </w:tcBorders>
            <w:vAlign w:val="center"/>
          </w:tcPr>
          <w:p>
            <w:pPr>
              <w:jc w:val="center"/>
              <w:rPr>
                <w:bCs/>
                <w:color w:val="auto"/>
                <w:szCs w:val="21"/>
              </w:rPr>
            </w:pPr>
            <w:r>
              <w:rPr>
                <w:bCs/>
                <w:color w:val="auto"/>
                <w:szCs w:val="21"/>
              </w:rPr>
              <w:t>/</w:t>
            </w:r>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1179" w:type="dxa"/>
            <w:vMerge w:val="continue"/>
            <w:tcBorders>
              <w:tl2br w:val="nil"/>
              <w:tr2bl w:val="nil"/>
            </w:tcBorders>
            <w:vAlign w:val="center"/>
          </w:tcPr>
          <w:p>
            <w:pPr>
              <w:pStyle w:val="52"/>
              <w:spacing w:line="240" w:lineRule="auto"/>
              <w:ind w:firstLine="0"/>
              <w:jc w:val="center"/>
              <w:rPr>
                <w:bCs/>
                <w:color w:val="auto"/>
                <w:sz w:val="21"/>
                <w:szCs w:val="21"/>
              </w:rPr>
            </w:pPr>
          </w:p>
        </w:tc>
        <w:tc>
          <w:tcPr>
            <w:tcW w:w="2366" w:type="dxa"/>
            <w:gridSpan w:val="2"/>
            <w:tcBorders>
              <w:tl2br w:val="nil"/>
              <w:tr2bl w:val="nil"/>
            </w:tcBorders>
            <w:vAlign w:val="center"/>
          </w:tcPr>
          <w:p>
            <w:pPr>
              <w:pStyle w:val="52"/>
              <w:spacing w:line="240" w:lineRule="auto"/>
              <w:ind w:firstLine="0"/>
              <w:jc w:val="center"/>
              <w:rPr>
                <w:bCs/>
                <w:color w:val="auto"/>
                <w:sz w:val="21"/>
                <w:szCs w:val="21"/>
              </w:rPr>
            </w:pPr>
            <w:r>
              <w:rPr>
                <w:bCs/>
                <w:color w:val="auto"/>
                <w:sz w:val="21"/>
                <w:szCs w:val="21"/>
              </w:rPr>
              <w:t>非甲烷总烃</w:t>
            </w:r>
          </w:p>
        </w:tc>
        <w:tc>
          <w:tcPr>
            <w:tcW w:w="1423" w:type="dxa"/>
            <w:tcBorders>
              <w:tl2br w:val="nil"/>
              <w:tr2bl w:val="nil"/>
            </w:tcBorders>
            <w:vAlign w:val="center"/>
          </w:tcPr>
          <w:p>
            <w:pPr>
              <w:widowControl/>
              <w:jc w:val="center"/>
              <w:textAlignment w:val="center"/>
              <w:rPr>
                <w:bCs/>
                <w:color w:val="auto"/>
                <w:szCs w:val="21"/>
              </w:rPr>
            </w:pPr>
            <w:r>
              <w:rPr>
                <w:bCs/>
                <w:color w:val="auto"/>
                <w:szCs w:val="21"/>
              </w:rPr>
              <w:t>0.0089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64" w:type="dxa"/>
            <w:tcBorders>
              <w:tl2br w:val="nil"/>
              <w:tr2bl w:val="nil"/>
            </w:tcBorders>
            <w:vAlign w:val="center"/>
          </w:tcPr>
          <w:p>
            <w:pPr>
              <w:pStyle w:val="4"/>
              <w:numPr>
                <w:ilvl w:val="0"/>
                <w:numId w:val="0"/>
              </w:numPr>
              <w:spacing w:before="159" w:after="159" w:line="240" w:lineRule="auto"/>
              <w:ind w:left="568"/>
              <w:outlineLvl w:val="0"/>
              <w:rPr>
                <w:b w:val="0"/>
                <w:bCs/>
                <w:color w:val="auto"/>
                <w:sz w:val="21"/>
                <w:szCs w:val="21"/>
              </w:rPr>
            </w:pPr>
            <w:bookmarkStart w:id="464" w:name="_Toc15266"/>
            <w:bookmarkStart w:id="465" w:name="_Toc17157"/>
            <w:bookmarkStart w:id="466" w:name="_Toc4603"/>
            <w:bookmarkStart w:id="467" w:name="_Toc15188"/>
            <w:bookmarkStart w:id="468" w:name="_Toc8494"/>
            <w:bookmarkStart w:id="469" w:name="_Toc26632"/>
            <w:r>
              <w:rPr>
                <w:b w:val="0"/>
                <w:bCs/>
                <w:color w:val="auto"/>
                <w:sz w:val="21"/>
                <w:szCs w:val="21"/>
              </w:rPr>
              <w:t>∑投入</w:t>
            </w:r>
            <w:bookmarkEnd w:id="464"/>
            <w:bookmarkEnd w:id="465"/>
            <w:bookmarkEnd w:id="466"/>
            <w:bookmarkEnd w:id="467"/>
            <w:bookmarkEnd w:id="468"/>
            <w:bookmarkEnd w:id="469"/>
          </w:p>
        </w:tc>
        <w:tc>
          <w:tcPr>
            <w:tcW w:w="1180" w:type="dxa"/>
            <w:tcBorders>
              <w:tl2br w:val="nil"/>
              <w:tr2bl w:val="nil"/>
            </w:tcBorders>
            <w:vAlign w:val="center"/>
          </w:tcPr>
          <w:p>
            <w:pPr>
              <w:pStyle w:val="4"/>
              <w:numPr>
                <w:ilvl w:val="0"/>
                <w:numId w:val="0"/>
              </w:numPr>
              <w:spacing w:before="159" w:after="159" w:line="240" w:lineRule="auto"/>
              <w:outlineLvl w:val="0"/>
              <w:rPr>
                <w:b w:val="0"/>
                <w:bCs/>
                <w:color w:val="auto"/>
                <w:sz w:val="21"/>
                <w:szCs w:val="21"/>
              </w:rPr>
            </w:pPr>
            <w:bookmarkStart w:id="470" w:name="_Toc2729"/>
            <w:bookmarkStart w:id="471" w:name="_Toc3035"/>
            <w:bookmarkStart w:id="472" w:name="_Toc277"/>
            <w:bookmarkStart w:id="473" w:name="_Toc12244"/>
            <w:r>
              <w:rPr>
                <w:b w:val="0"/>
                <w:bCs/>
                <w:color w:val="auto"/>
                <w:sz w:val="21"/>
                <w:szCs w:val="21"/>
              </w:rPr>
              <w:t>46600</w:t>
            </w:r>
            <w:bookmarkEnd w:id="470"/>
            <w:bookmarkEnd w:id="471"/>
            <w:bookmarkEnd w:id="472"/>
            <w:bookmarkEnd w:id="473"/>
          </w:p>
        </w:tc>
        <w:tc>
          <w:tcPr>
            <w:tcW w:w="236" w:type="dxa"/>
            <w:vMerge w:val="continue"/>
            <w:tcBorders>
              <w:tl2br w:val="nil"/>
              <w:tr2bl w:val="nil"/>
            </w:tcBorders>
            <w:vAlign w:val="center"/>
          </w:tcPr>
          <w:p>
            <w:pPr>
              <w:pStyle w:val="4"/>
              <w:spacing w:before="159" w:after="159" w:line="240" w:lineRule="auto"/>
              <w:outlineLvl w:val="0"/>
              <w:rPr>
                <w:b w:val="0"/>
                <w:bCs/>
                <w:color w:val="auto"/>
                <w:sz w:val="21"/>
                <w:szCs w:val="21"/>
              </w:rPr>
            </w:pPr>
          </w:p>
        </w:tc>
        <w:tc>
          <w:tcPr>
            <w:tcW w:w="3545" w:type="dxa"/>
            <w:gridSpan w:val="3"/>
            <w:tcBorders>
              <w:tl2br w:val="nil"/>
              <w:tr2bl w:val="nil"/>
            </w:tcBorders>
            <w:vAlign w:val="center"/>
          </w:tcPr>
          <w:p>
            <w:pPr>
              <w:pStyle w:val="4"/>
              <w:numPr>
                <w:ilvl w:val="0"/>
                <w:numId w:val="0"/>
              </w:numPr>
              <w:spacing w:before="159" w:after="159" w:line="240" w:lineRule="auto"/>
              <w:outlineLvl w:val="0"/>
              <w:rPr>
                <w:b w:val="0"/>
                <w:bCs/>
                <w:color w:val="auto"/>
                <w:sz w:val="21"/>
                <w:szCs w:val="21"/>
              </w:rPr>
            </w:pPr>
            <w:bookmarkStart w:id="474" w:name="_Toc20094"/>
            <w:bookmarkStart w:id="475" w:name="_Toc21633"/>
            <w:bookmarkStart w:id="476" w:name="_Toc21568"/>
            <w:bookmarkStart w:id="477" w:name="_Toc24001"/>
            <w:bookmarkStart w:id="478" w:name="_Toc9576"/>
            <w:bookmarkStart w:id="479" w:name="_Toc22247"/>
            <w:r>
              <w:rPr>
                <w:b w:val="0"/>
                <w:bCs/>
                <w:color w:val="auto"/>
                <w:sz w:val="21"/>
                <w:szCs w:val="21"/>
              </w:rPr>
              <w:t>∑产出</w:t>
            </w:r>
            <w:bookmarkEnd w:id="474"/>
            <w:bookmarkEnd w:id="475"/>
            <w:bookmarkEnd w:id="476"/>
            <w:bookmarkEnd w:id="477"/>
            <w:bookmarkEnd w:id="478"/>
            <w:bookmarkEnd w:id="479"/>
          </w:p>
        </w:tc>
        <w:tc>
          <w:tcPr>
            <w:tcW w:w="1423" w:type="dxa"/>
            <w:tcBorders>
              <w:tl2br w:val="nil"/>
              <w:tr2bl w:val="nil"/>
            </w:tcBorders>
            <w:vAlign w:val="center"/>
          </w:tcPr>
          <w:p>
            <w:pPr>
              <w:widowControl/>
              <w:jc w:val="center"/>
              <w:textAlignment w:val="center"/>
              <w:rPr>
                <w:bCs/>
                <w:color w:val="auto"/>
                <w:szCs w:val="21"/>
              </w:rPr>
            </w:pPr>
            <w:r>
              <w:rPr>
                <w:bCs/>
                <w:color w:val="auto"/>
                <w:kern w:val="0"/>
                <w:szCs w:val="21"/>
                <w:lang w:bidi="ar"/>
              </w:rPr>
              <w:t>46601.9898</w:t>
            </w:r>
          </w:p>
        </w:tc>
      </w:tr>
    </w:tbl>
    <w:p>
      <w:pPr>
        <w:pStyle w:val="32"/>
        <w:spacing w:line="360" w:lineRule="auto"/>
        <w:ind w:left="61" w:leftChars="29" w:firstLine="60" w:firstLineChars="25"/>
        <w:rPr>
          <w:color w:val="auto"/>
          <w:kern w:val="2"/>
        </w:rPr>
      </w:pPr>
      <w:r>
        <w:rPr>
          <w:color w:val="auto"/>
          <w:kern w:val="2"/>
        </w:rPr>
        <w:t>由上表可知，本项目</w:t>
      </w:r>
      <w:r>
        <w:rPr>
          <w:bCs/>
          <w:color w:val="auto"/>
        </w:rPr>
        <w:t>产出物料和投入物料的差值为1.9898t，占投入物料的0.0043%。差值相对于物料总量来说十分微小，为计算过程中产生的误差，可忽略不计。因此项目总体</w:t>
      </w:r>
      <w:r>
        <w:rPr>
          <w:color w:val="auto"/>
          <w:kern w:val="2"/>
        </w:rPr>
        <w:t>物料守恒，物料投入、产出合理。</w:t>
      </w:r>
    </w:p>
    <w:p>
      <w:pPr>
        <w:pStyle w:val="5"/>
        <w:numPr>
          <w:ilvl w:val="1"/>
          <w:numId w:val="0"/>
        </w:numPr>
        <w:tabs>
          <w:tab w:val="clear" w:pos="720"/>
        </w:tabs>
        <w:spacing w:before="159" w:after="159"/>
        <w:rPr>
          <w:color w:val="auto"/>
          <w:sz w:val="32"/>
          <w:szCs w:val="32"/>
        </w:rPr>
      </w:pPr>
      <w:bookmarkStart w:id="480" w:name="_Toc28807"/>
      <w:bookmarkStart w:id="481" w:name="_Toc7525"/>
      <w:bookmarkStart w:id="482" w:name="_Toc4984"/>
      <w:bookmarkStart w:id="483" w:name="_Toc2011"/>
      <w:r>
        <w:rPr>
          <w:rFonts w:hint="eastAsia"/>
          <w:color w:val="auto"/>
          <w:sz w:val="32"/>
          <w:szCs w:val="32"/>
        </w:rPr>
        <w:t xml:space="preserve">4.5  </w:t>
      </w:r>
      <w:r>
        <w:rPr>
          <w:color w:val="auto"/>
          <w:sz w:val="32"/>
          <w:szCs w:val="32"/>
        </w:rPr>
        <w:t>污染源强分析</w:t>
      </w:r>
      <w:bookmarkEnd w:id="480"/>
      <w:bookmarkEnd w:id="481"/>
      <w:bookmarkEnd w:id="482"/>
      <w:bookmarkEnd w:id="483"/>
    </w:p>
    <w:p>
      <w:pPr>
        <w:pStyle w:val="44"/>
        <w:numPr>
          <w:ilvl w:val="2"/>
          <w:numId w:val="0"/>
        </w:numPr>
        <w:tabs>
          <w:tab w:val="clear" w:pos="720"/>
        </w:tabs>
        <w:spacing w:before="159" w:after="159" w:line="360" w:lineRule="auto"/>
        <w:rPr>
          <w:color w:val="auto"/>
          <w:sz w:val="28"/>
          <w:szCs w:val="28"/>
        </w:rPr>
      </w:pPr>
      <w:bookmarkStart w:id="484" w:name="_Toc29159"/>
      <w:bookmarkStart w:id="485" w:name="_Toc1206"/>
      <w:r>
        <w:rPr>
          <w:rFonts w:hint="eastAsia"/>
          <w:color w:val="auto"/>
          <w:sz w:val="28"/>
          <w:szCs w:val="28"/>
        </w:rPr>
        <w:t>4</w:t>
      </w:r>
      <w:r>
        <w:rPr>
          <w:color w:val="auto"/>
          <w:sz w:val="28"/>
          <w:szCs w:val="28"/>
        </w:rPr>
        <w:t>.5.1</w:t>
      </w:r>
      <w:r>
        <w:rPr>
          <w:rFonts w:hint="eastAsia"/>
          <w:color w:val="auto"/>
          <w:sz w:val="28"/>
          <w:szCs w:val="28"/>
        </w:rPr>
        <w:t xml:space="preserve">  </w:t>
      </w:r>
      <w:r>
        <w:rPr>
          <w:color w:val="auto"/>
          <w:sz w:val="28"/>
          <w:szCs w:val="28"/>
        </w:rPr>
        <w:t>施工期污染源分析</w:t>
      </w:r>
      <w:bookmarkEnd w:id="484"/>
      <w:bookmarkEnd w:id="485"/>
    </w:p>
    <w:p>
      <w:pPr>
        <w:pStyle w:val="32"/>
        <w:spacing w:line="360" w:lineRule="auto"/>
        <w:ind w:firstLine="466"/>
        <w:rPr>
          <w:color w:val="auto"/>
          <w:kern w:val="2"/>
        </w:rPr>
      </w:pPr>
      <w:bookmarkStart w:id="486" w:name="_Toc10908"/>
      <w:r>
        <w:rPr>
          <w:rFonts w:hint="eastAsia"/>
          <w:color w:val="auto"/>
          <w:kern w:val="2"/>
        </w:rPr>
        <w:t>项目租赁的厂房大部分为现有厂房，但办公室和卷材生产区处目前仍然为平整、露天的地块。因此，项目需要对租赁的场所进行小规模的修整，主要为办公室和卷材生产区处加盖棚顶，将其地面硬底化处理。施工期工艺流程如下图。</w:t>
      </w:r>
    </w:p>
    <w:p>
      <w:pPr>
        <w:pStyle w:val="32"/>
        <w:ind w:firstLine="466"/>
        <w:jc w:val="center"/>
        <w:rPr>
          <w:b/>
          <w:color w:val="auto"/>
          <w:spacing w:val="-12"/>
          <w:sz w:val="28"/>
          <w:szCs w:val="28"/>
        </w:rPr>
      </w:pPr>
      <w:r>
        <w:rPr>
          <w:rFonts w:hint="eastAsia"/>
          <w:b/>
          <w:color w:val="auto"/>
          <w:spacing w:val="-12"/>
          <w:sz w:val="28"/>
          <w:szCs w:val="28"/>
        </w:rPr>
        <w:object>
          <v:shape id="_x0000_i1030" o:spt="75" type="#_x0000_t75" style="height:444.95pt;width:338.6pt;" o:ole="t" filled="f" o:preferrelative="t" stroked="f" coordsize="21600,21600">
            <v:path/>
            <v:fill on="f" focussize="0,0"/>
            <v:stroke on="f"/>
            <v:imagedata r:id="rId68" o:title=""/>
            <o:lock v:ext="edit" aspectratio="f"/>
            <w10:wrap type="none"/>
            <w10:anchorlock/>
          </v:shape>
          <o:OLEObject Type="Embed" ProgID="Visio.Drawing.11" ShapeID="_x0000_i1030" DrawAspect="Content" ObjectID="_1468075730" r:id="rId67">
            <o:LockedField>false</o:LockedField>
          </o:OLEObject>
        </w:object>
      </w:r>
    </w:p>
    <w:p>
      <w:pPr>
        <w:pStyle w:val="32"/>
        <w:jc w:val="center"/>
        <w:rPr>
          <w:b/>
          <w:color w:val="auto"/>
          <w:kern w:val="2"/>
          <w:sz w:val="21"/>
          <w:szCs w:val="21"/>
        </w:rPr>
      </w:pPr>
    </w:p>
    <w:p>
      <w:pPr>
        <w:pStyle w:val="32"/>
        <w:jc w:val="center"/>
        <w:rPr>
          <w:b/>
          <w:color w:val="auto"/>
          <w:kern w:val="2"/>
          <w:sz w:val="21"/>
          <w:szCs w:val="21"/>
        </w:rPr>
      </w:pPr>
      <w:r>
        <w:rPr>
          <w:rFonts w:hint="eastAsia"/>
          <w:b/>
          <w:color w:val="auto"/>
          <w:kern w:val="2"/>
          <w:sz w:val="21"/>
          <w:szCs w:val="21"/>
        </w:rPr>
        <w:t>图4.5-1  项目施工期工艺流程示意图</w:t>
      </w:r>
    </w:p>
    <w:p>
      <w:pPr>
        <w:spacing w:line="360" w:lineRule="auto"/>
        <w:ind w:firstLine="480" w:firstLineChars="200"/>
        <w:jc w:val="left"/>
        <w:rPr>
          <w:color w:val="auto"/>
          <w:sz w:val="24"/>
        </w:rPr>
      </w:pPr>
      <w:r>
        <w:rPr>
          <w:rFonts w:hint="eastAsia"/>
          <w:color w:val="auto"/>
          <w:sz w:val="24"/>
        </w:rPr>
        <w:t>（1）</w:t>
      </w:r>
      <w:r>
        <w:rPr>
          <w:color w:val="auto"/>
          <w:sz w:val="24"/>
        </w:rPr>
        <w:t>工</w:t>
      </w:r>
      <w:r>
        <w:rPr>
          <w:rFonts w:hint="eastAsia"/>
          <w:color w:val="auto"/>
          <w:sz w:val="24"/>
        </w:rPr>
        <w:t>序简述</w:t>
      </w:r>
    </w:p>
    <w:p>
      <w:pPr>
        <w:adjustRightInd w:val="0"/>
        <w:snapToGrid w:val="0"/>
        <w:spacing w:line="360" w:lineRule="auto"/>
        <w:ind w:firstLine="480" w:firstLineChars="200"/>
        <w:rPr>
          <w:color w:val="auto"/>
          <w:sz w:val="24"/>
        </w:rPr>
      </w:pPr>
      <w:r>
        <w:rPr>
          <w:rFonts w:hint="eastAsia"/>
          <w:color w:val="auto"/>
          <w:sz w:val="24"/>
        </w:rPr>
        <w:t>项目施工期工序如下：首先对场地进行基础建设，包括开挖、地基筑建等。基础建设完毕后即进入结构架搭阶段，即使用钢架立柱和对厂房的屋顶、墙体等进行安装。钢结构厂房成型后对内部进行修整，即对内部进行水电安装和简单的收拾整理。上述工序完成后即可交付使用。</w:t>
      </w:r>
    </w:p>
    <w:p>
      <w:pPr>
        <w:adjustRightInd w:val="0"/>
        <w:snapToGrid w:val="0"/>
        <w:spacing w:line="360" w:lineRule="auto"/>
        <w:ind w:firstLine="480" w:firstLineChars="200"/>
        <w:rPr>
          <w:color w:val="auto"/>
          <w:sz w:val="24"/>
        </w:rPr>
      </w:pPr>
      <w:r>
        <w:rPr>
          <w:rFonts w:hint="eastAsia"/>
          <w:color w:val="auto"/>
          <w:sz w:val="24"/>
        </w:rPr>
        <w:t>本项目不设置施工生活营地，施工人员不在施工场内食宿。根据建设单位提供资料，预计施工人员最多10人，建设期约1个月。</w:t>
      </w:r>
    </w:p>
    <w:p>
      <w:pPr>
        <w:tabs>
          <w:tab w:val="left" w:pos="1081"/>
        </w:tabs>
        <w:spacing w:line="360" w:lineRule="auto"/>
        <w:ind w:firstLine="480"/>
        <w:rPr>
          <w:color w:val="auto"/>
          <w:sz w:val="24"/>
        </w:rPr>
      </w:pPr>
      <w:r>
        <w:rPr>
          <w:rFonts w:hint="eastAsia"/>
          <w:color w:val="auto"/>
          <w:sz w:val="24"/>
        </w:rPr>
        <w:t>（2）产污节点分析</w:t>
      </w:r>
    </w:p>
    <w:p>
      <w:pPr>
        <w:tabs>
          <w:tab w:val="left" w:pos="1081"/>
        </w:tabs>
        <w:spacing w:line="360" w:lineRule="auto"/>
        <w:ind w:firstLine="480"/>
        <w:rPr>
          <w:bCs/>
          <w:color w:val="auto"/>
          <w:sz w:val="24"/>
        </w:rPr>
      </w:pPr>
      <w:r>
        <w:rPr>
          <w:rFonts w:hint="eastAsia"/>
          <w:bCs/>
          <w:color w:val="auto"/>
          <w:sz w:val="24"/>
        </w:rPr>
        <w:t>①废水：项目在施工期产生的废水为</w:t>
      </w:r>
      <w:r>
        <w:rPr>
          <w:rFonts w:hint="eastAsia" w:hAnsi="宋体"/>
          <w:color w:val="auto"/>
          <w:sz w:val="24"/>
        </w:rPr>
        <w:t>建筑施工废水和暴雨的地表径流</w:t>
      </w:r>
      <w:r>
        <w:rPr>
          <w:rFonts w:hint="eastAsia"/>
          <w:bCs/>
          <w:color w:val="auto"/>
          <w:sz w:val="24"/>
        </w:rPr>
        <w:t>。</w:t>
      </w:r>
    </w:p>
    <w:p>
      <w:pPr>
        <w:adjustRightInd w:val="0"/>
        <w:snapToGrid w:val="0"/>
        <w:spacing w:line="360" w:lineRule="auto"/>
        <w:ind w:firstLine="480" w:firstLineChars="200"/>
        <w:rPr>
          <w:color w:val="auto"/>
          <w:sz w:val="24"/>
        </w:rPr>
      </w:pPr>
      <w:r>
        <w:rPr>
          <w:rFonts w:hint="eastAsia"/>
          <w:bCs/>
          <w:color w:val="auto"/>
          <w:sz w:val="24"/>
        </w:rPr>
        <w:t>②废气：</w:t>
      </w:r>
      <w:r>
        <w:rPr>
          <w:color w:val="auto"/>
          <w:sz w:val="24"/>
        </w:rPr>
        <w:t>施工期大气污染源主要包括施工扬尘</w:t>
      </w:r>
      <w:r>
        <w:rPr>
          <w:rFonts w:hint="eastAsia"/>
          <w:color w:val="auto"/>
          <w:sz w:val="24"/>
        </w:rPr>
        <w:t>、</w:t>
      </w:r>
      <w:r>
        <w:rPr>
          <w:color w:val="auto"/>
          <w:sz w:val="24"/>
        </w:rPr>
        <w:t>施工机械设备燃油废气等。</w:t>
      </w:r>
    </w:p>
    <w:p>
      <w:pPr>
        <w:adjustRightInd w:val="0"/>
        <w:snapToGrid w:val="0"/>
        <w:spacing w:line="360" w:lineRule="auto"/>
        <w:ind w:right="57" w:rightChars="27" w:firstLine="480" w:firstLineChars="200"/>
        <w:rPr>
          <w:bCs/>
          <w:color w:val="auto"/>
          <w:sz w:val="24"/>
        </w:rPr>
      </w:pPr>
      <w:r>
        <w:rPr>
          <w:rFonts w:hint="eastAsia"/>
          <w:bCs/>
          <w:color w:val="auto"/>
          <w:sz w:val="24"/>
        </w:rPr>
        <w:t>③噪声：项目各机械设备在运行时发出一定的噪声，以Leq：dB(A)表示。</w:t>
      </w:r>
    </w:p>
    <w:p>
      <w:pPr>
        <w:adjustRightInd w:val="0"/>
        <w:snapToGrid w:val="0"/>
        <w:spacing w:line="360" w:lineRule="auto"/>
        <w:ind w:right="57" w:rightChars="27" w:firstLine="480" w:firstLineChars="200"/>
        <w:rPr>
          <w:bCs/>
          <w:color w:val="auto"/>
          <w:sz w:val="24"/>
        </w:rPr>
      </w:pPr>
      <w:r>
        <w:rPr>
          <w:rFonts w:hint="eastAsia"/>
          <w:bCs/>
          <w:color w:val="auto"/>
          <w:sz w:val="24"/>
        </w:rPr>
        <w:t>④固废：施工期固体废物主要包括弃土方、建筑垃圾、生活垃圾。</w:t>
      </w:r>
    </w:p>
    <w:p>
      <w:pPr>
        <w:adjustRightInd w:val="0"/>
        <w:snapToGrid w:val="0"/>
        <w:spacing w:line="360" w:lineRule="auto"/>
        <w:rPr>
          <w:b/>
          <w:color w:val="auto"/>
          <w:spacing w:val="-12"/>
          <w:sz w:val="24"/>
        </w:rPr>
      </w:pPr>
      <w:r>
        <w:rPr>
          <w:rFonts w:hint="eastAsia"/>
          <w:b/>
          <w:color w:val="auto"/>
          <w:spacing w:val="-12"/>
          <w:sz w:val="24"/>
        </w:rPr>
        <w:t>4.5.1.1  废水污染源</w:t>
      </w:r>
    </w:p>
    <w:p>
      <w:pPr>
        <w:adjustRightInd w:val="0"/>
        <w:snapToGrid w:val="0"/>
        <w:spacing w:line="360" w:lineRule="auto"/>
        <w:ind w:right="57" w:rightChars="27" w:firstLine="480" w:firstLineChars="200"/>
        <w:rPr>
          <w:rFonts w:hAnsi="宋体"/>
          <w:color w:val="auto"/>
          <w:sz w:val="24"/>
        </w:rPr>
      </w:pPr>
      <w:r>
        <w:rPr>
          <w:rFonts w:hint="eastAsia" w:hAnsi="宋体"/>
          <w:color w:val="auto"/>
          <w:sz w:val="24"/>
        </w:rPr>
        <w:t>施工期废水主要有建筑施工废水、施工人员废水和暴雨的地表径流。</w:t>
      </w:r>
    </w:p>
    <w:p>
      <w:pPr>
        <w:adjustRightInd w:val="0"/>
        <w:snapToGrid w:val="0"/>
        <w:spacing w:line="360" w:lineRule="auto"/>
        <w:ind w:right="57" w:rightChars="27" w:firstLine="480" w:firstLineChars="200"/>
        <w:rPr>
          <w:rFonts w:hAnsi="宋体"/>
          <w:color w:val="auto"/>
          <w:sz w:val="24"/>
        </w:rPr>
      </w:pPr>
      <w:r>
        <w:rPr>
          <w:rFonts w:hint="eastAsia" w:hAnsi="宋体"/>
          <w:color w:val="auto"/>
          <w:sz w:val="24"/>
        </w:rPr>
        <w:t>（1）建筑施工废水</w:t>
      </w:r>
    </w:p>
    <w:p>
      <w:pPr>
        <w:adjustRightInd w:val="0"/>
        <w:snapToGrid w:val="0"/>
        <w:spacing w:line="360" w:lineRule="auto"/>
        <w:ind w:firstLine="480" w:firstLineChars="200"/>
        <w:rPr>
          <w:bCs/>
          <w:color w:val="auto"/>
          <w:sz w:val="24"/>
        </w:rPr>
      </w:pPr>
      <w:r>
        <w:rPr>
          <w:rFonts w:hint="eastAsia"/>
          <w:bCs/>
          <w:color w:val="auto"/>
          <w:sz w:val="24"/>
        </w:rPr>
        <w:t>建筑施工废水主要来自土方阶段降水井排水，结构阶段混凝土养护冲水，清洗车辆的冲洗水等废水。根据《广东省用水定额》（DB44/T 1461-2014）“建筑工地”的用水标准，每平方米建筑面积用水量为2.9L/m</w:t>
      </w:r>
      <w:r>
        <w:rPr>
          <w:rFonts w:hint="eastAsia"/>
          <w:bCs/>
          <w:color w:val="auto"/>
          <w:sz w:val="24"/>
          <w:vertAlign w:val="superscript"/>
        </w:rPr>
        <w:t>2</w:t>
      </w:r>
      <w:r>
        <w:rPr>
          <w:rFonts w:hint="eastAsia"/>
          <w:bCs/>
          <w:color w:val="auto"/>
          <w:sz w:val="24"/>
        </w:rPr>
        <w:t>·d。本项目需要进行施工的面积为</w:t>
      </w:r>
      <w:r>
        <w:rPr>
          <w:rFonts w:hint="eastAsia"/>
          <w:color w:val="auto"/>
          <w:sz w:val="24"/>
        </w:rPr>
        <w:t>2448</w:t>
      </w:r>
      <w:r>
        <w:rPr>
          <w:rFonts w:hint="eastAsia"/>
          <w:bCs/>
          <w:color w:val="auto"/>
          <w:sz w:val="24"/>
        </w:rPr>
        <w:t>m</w:t>
      </w:r>
      <w:r>
        <w:rPr>
          <w:rFonts w:hint="eastAsia"/>
          <w:bCs/>
          <w:color w:val="auto"/>
          <w:sz w:val="24"/>
          <w:vertAlign w:val="superscript"/>
        </w:rPr>
        <w:t>2</w:t>
      </w:r>
      <w:r>
        <w:rPr>
          <w:rFonts w:hint="eastAsia"/>
          <w:bCs/>
          <w:color w:val="auto"/>
          <w:sz w:val="24"/>
        </w:rPr>
        <w:t>，用水量为7.099m</w:t>
      </w:r>
      <w:r>
        <w:rPr>
          <w:rFonts w:hint="eastAsia"/>
          <w:bCs/>
          <w:color w:val="auto"/>
          <w:sz w:val="24"/>
          <w:vertAlign w:val="superscript"/>
        </w:rPr>
        <w:t>3</w:t>
      </w:r>
      <w:r>
        <w:rPr>
          <w:rFonts w:hint="eastAsia"/>
          <w:bCs/>
          <w:color w:val="auto"/>
          <w:sz w:val="24"/>
        </w:rPr>
        <w:t>/d。类比相同工程经验，建筑废水产生量以用水量的80%估算，施工期建筑废水为5.6792m</w:t>
      </w:r>
      <w:r>
        <w:rPr>
          <w:rFonts w:hint="eastAsia"/>
          <w:bCs/>
          <w:color w:val="auto"/>
          <w:sz w:val="24"/>
          <w:vertAlign w:val="superscript"/>
        </w:rPr>
        <w:t>3</w:t>
      </w:r>
      <w:r>
        <w:rPr>
          <w:rFonts w:hint="eastAsia"/>
          <w:bCs/>
          <w:color w:val="auto"/>
          <w:sz w:val="24"/>
        </w:rPr>
        <w:t>/d。施工废水泥砂含量高，一般SS浓度为80-120g/L，施工废水经沉淀等处理后循环使用，或回用于洒水抑尘，不外排。</w:t>
      </w:r>
    </w:p>
    <w:p>
      <w:pPr>
        <w:adjustRightInd w:val="0"/>
        <w:snapToGrid w:val="0"/>
        <w:spacing w:line="360" w:lineRule="auto"/>
        <w:ind w:firstLine="480" w:firstLineChars="200"/>
        <w:rPr>
          <w:bCs/>
          <w:color w:val="auto"/>
          <w:sz w:val="24"/>
        </w:rPr>
      </w:pPr>
      <w:r>
        <w:rPr>
          <w:bCs/>
          <w:color w:val="auto"/>
          <w:sz w:val="24"/>
        </w:rPr>
        <w:t>（</w:t>
      </w:r>
      <w:r>
        <w:rPr>
          <w:rFonts w:hint="eastAsia"/>
          <w:bCs/>
          <w:color w:val="auto"/>
          <w:sz w:val="24"/>
        </w:rPr>
        <w:t>2</w:t>
      </w:r>
      <w:r>
        <w:rPr>
          <w:bCs/>
          <w:color w:val="auto"/>
          <w:sz w:val="24"/>
        </w:rPr>
        <w:t>）地表径流</w:t>
      </w:r>
    </w:p>
    <w:p>
      <w:pPr>
        <w:adjustRightInd w:val="0"/>
        <w:snapToGrid w:val="0"/>
        <w:spacing w:line="360" w:lineRule="auto"/>
        <w:ind w:firstLine="480" w:firstLineChars="200"/>
        <w:rPr>
          <w:bCs/>
          <w:color w:val="auto"/>
          <w:sz w:val="24"/>
        </w:rPr>
      </w:pPr>
      <w:r>
        <w:rPr>
          <w:bCs/>
          <w:color w:val="auto"/>
          <w:sz w:val="24"/>
        </w:rPr>
        <w:t>在基础开挖过程中，由于地表植被破坏以及地形坡度、土壤密实度等的改变，将导致开挖区局部水土流失强度增加，同时弃土方、弃渣的流失等也会对附近水体带来一定的不利影响。尤其遇暴雨期间，各开挖面、弃渣场地表土受冲刷流失进入附近水体，将使水体混浊度上升，影响水环境质量</w:t>
      </w:r>
      <w:r>
        <w:rPr>
          <w:rFonts w:hint="eastAsia"/>
          <w:bCs/>
          <w:color w:val="auto"/>
          <w:sz w:val="24"/>
        </w:rPr>
        <w:t>。</w:t>
      </w:r>
    </w:p>
    <w:p>
      <w:pPr>
        <w:adjustRightInd w:val="0"/>
        <w:snapToGrid w:val="0"/>
        <w:spacing w:line="360" w:lineRule="auto"/>
        <w:ind w:right="57" w:rightChars="27" w:firstLine="480" w:firstLineChars="200"/>
        <w:rPr>
          <w:bCs/>
          <w:color w:val="auto"/>
          <w:sz w:val="24"/>
        </w:rPr>
      </w:pPr>
      <w:r>
        <w:rPr>
          <w:bCs/>
          <w:color w:val="auto"/>
          <w:sz w:val="24"/>
        </w:rPr>
        <w:t>（</w:t>
      </w:r>
      <w:r>
        <w:rPr>
          <w:rFonts w:hint="eastAsia"/>
          <w:bCs/>
          <w:color w:val="auto"/>
          <w:sz w:val="24"/>
        </w:rPr>
        <w:t>3</w:t>
      </w:r>
      <w:r>
        <w:rPr>
          <w:bCs/>
          <w:color w:val="auto"/>
          <w:sz w:val="24"/>
        </w:rPr>
        <w:t>）施工人员生活污水</w:t>
      </w:r>
    </w:p>
    <w:p>
      <w:pPr>
        <w:adjustRightInd w:val="0"/>
        <w:snapToGrid w:val="0"/>
        <w:spacing w:line="360" w:lineRule="auto"/>
        <w:ind w:firstLine="480" w:firstLineChars="200"/>
        <w:rPr>
          <w:color w:val="auto"/>
          <w:sz w:val="24"/>
        </w:rPr>
      </w:pPr>
      <w:r>
        <w:rPr>
          <w:bCs/>
          <w:color w:val="auto"/>
          <w:sz w:val="24"/>
        </w:rPr>
        <w:t>本项目施工期间</w:t>
      </w:r>
      <w:r>
        <w:rPr>
          <w:rFonts w:hint="eastAsia"/>
          <w:bCs/>
          <w:color w:val="auto"/>
          <w:sz w:val="24"/>
        </w:rPr>
        <w:t>的</w:t>
      </w:r>
      <w:r>
        <w:rPr>
          <w:bCs/>
          <w:color w:val="auto"/>
          <w:sz w:val="24"/>
        </w:rPr>
        <w:t>施工人员约</w:t>
      </w:r>
      <w:r>
        <w:rPr>
          <w:rFonts w:hint="eastAsia"/>
          <w:bCs/>
          <w:color w:val="auto"/>
          <w:sz w:val="24"/>
        </w:rPr>
        <w:t>10</w:t>
      </w:r>
      <w:r>
        <w:rPr>
          <w:bCs/>
          <w:color w:val="auto"/>
          <w:sz w:val="24"/>
        </w:rPr>
        <w:t>人，</w:t>
      </w:r>
      <w:r>
        <w:rPr>
          <w:rFonts w:hint="eastAsia"/>
          <w:color w:val="auto"/>
          <w:sz w:val="24"/>
        </w:rPr>
        <w:t>不在施工场所食宿。施工期间借用项目西面兴域铝业有限公司的卫生间解决个人卫生问题。故本项目在施工期无生活污水产生。</w:t>
      </w:r>
    </w:p>
    <w:p>
      <w:pPr>
        <w:tabs>
          <w:tab w:val="left" w:pos="1081"/>
        </w:tabs>
        <w:spacing w:line="360" w:lineRule="auto"/>
        <w:rPr>
          <w:b/>
          <w:color w:val="auto"/>
          <w:spacing w:val="-12"/>
          <w:sz w:val="24"/>
        </w:rPr>
      </w:pPr>
      <w:r>
        <w:rPr>
          <w:rFonts w:hint="eastAsia"/>
          <w:b/>
          <w:color w:val="auto"/>
          <w:spacing w:val="-12"/>
          <w:sz w:val="24"/>
        </w:rPr>
        <w:t>4.5.1.2  废气污染源</w:t>
      </w:r>
    </w:p>
    <w:p>
      <w:pPr>
        <w:tabs>
          <w:tab w:val="left" w:pos="1081"/>
        </w:tabs>
        <w:spacing w:line="360" w:lineRule="auto"/>
        <w:ind w:firstLine="480"/>
        <w:rPr>
          <w:color w:val="auto"/>
          <w:sz w:val="24"/>
        </w:rPr>
      </w:pPr>
      <w:r>
        <w:rPr>
          <w:rFonts w:hint="eastAsia"/>
          <w:color w:val="auto"/>
          <w:sz w:val="24"/>
        </w:rPr>
        <w:t>（1）施工扬尘</w:t>
      </w:r>
    </w:p>
    <w:p>
      <w:pPr>
        <w:tabs>
          <w:tab w:val="left" w:pos="1081"/>
        </w:tabs>
        <w:spacing w:line="360" w:lineRule="auto"/>
        <w:ind w:firstLine="480"/>
        <w:rPr>
          <w:color w:val="auto"/>
          <w:sz w:val="24"/>
        </w:rPr>
      </w:pPr>
      <w:r>
        <w:rPr>
          <w:rFonts w:hint="eastAsia"/>
          <w:color w:val="auto"/>
          <w:sz w:val="24"/>
        </w:rPr>
        <w:t>对整个施工期而言，施工产生的扬尘主要集中在基础建设阶段。按起尘的原因可分为风力起尘和动力起尘。其中，风力起尘主要是由于露天堆放的建材（如黄沙、水泥等）及裸露的施工区表层浮尘因天气干燥及大风，产生风尘扬尘；而动力起尘，主要是在建材的装卸、搅拌过程中，由于外力而产生的尘粒再悬浮而造成，其中施工材料及装卸车辆造成的扬尘最为严重。施工作业过程中，产生扬尘的环节主要有以下几个方面：</w:t>
      </w:r>
    </w:p>
    <w:p>
      <w:pPr>
        <w:tabs>
          <w:tab w:val="left" w:pos="1081"/>
        </w:tabs>
        <w:spacing w:line="360" w:lineRule="auto"/>
        <w:ind w:firstLine="480"/>
        <w:rPr>
          <w:color w:val="auto"/>
          <w:sz w:val="24"/>
        </w:rPr>
      </w:pPr>
      <w:r>
        <w:rPr>
          <w:rFonts w:hint="eastAsia"/>
          <w:color w:val="auto"/>
          <w:sz w:val="24"/>
        </w:rPr>
        <w:t>① 场地平整、地基开挖等施工作业破坏地表植被，扰动地面泥土，会产生施工扬尘；</w:t>
      </w:r>
    </w:p>
    <w:p>
      <w:pPr>
        <w:tabs>
          <w:tab w:val="left" w:pos="1081"/>
        </w:tabs>
        <w:spacing w:line="360" w:lineRule="auto"/>
        <w:ind w:firstLine="480"/>
        <w:rPr>
          <w:color w:val="auto"/>
          <w:sz w:val="24"/>
        </w:rPr>
      </w:pPr>
      <w:r>
        <w:rPr>
          <w:rFonts w:hint="eastAsia"/>
          <w:color w:val="auto"/>
          <w:sz w:val="24"/>
        </w:rPr>
        <w:t>② 弃土方、建筑材料装卸、运输过程中会产生施工扬尘；</w:t>
      </w:r>
    </w:p>
    <w:p>
      <w:pPr>
        <w:tabs>
          <w:tab w:val="left" w:pos="1081"/>
        </w:tabs>
        <w:spacing w:line="360" w:lineRule="auto"/>
        <w:ind w:firstLine="480"/>
        <w:rPr>
          <w:color w:val="auto"/>
          <w:sz w:val="24"/>
        </w:rPr>
      </w:pPr>
      <w:r>
        <w:rPr>
          <w:rFonts w:hint="eastAsia"/>
          <w:color w:val="auto"/>
          <w:sz w:val="24"/>
        </w:rPr>
        <w:t>③ 建筑材料堆场、弃渣场、裸露地表等，在大风吹时也会产生扬尘；</w:t>
      </w:r>
    </w:p>
    <w:p>
      <w:pPr>
        <w:tabs>
          <w:tab w:val="left" w:pos="1081"/>
        </w:tabs>
        <w:spacing w:line="360" w:lineRule="auto"/>
        <w:ind w:firstLine="480"/>
        <w:rPr>
          <w:color w:val="auto"/>
          <w:sz w:val="24"/>
        </w:rPr>
      </w:pPr>
      <w:r>
        <w:rPr>
          <w:rFonts w:hint="eastAsia"/>
          <w:color w:val="auto"/>
          <w:sz w:val="24"/>
        </w:rPr>
        <w:t>④ 材料运输车辆在道路上、施工场地内行驶会扬起扬尘；</w:t>
      </w:r>
    </w:p>
    <w:p>
      <w:pPr>
        <w:tabs>
          <w:tab w:val="left" w:pos="1081"/>
        </w:tabs>
        <w:spacing w:line="360" w:lineRule="auto"/>
        <w:ind w:firstLine="480"/>
        <w:rPr>
          <w:color w:val="auto"/>
          <w:sz w:val="24"/>
        </w:rPr>
      </w:pPr>
      <w:r>
        <w:rPr>
          <w:rFonts w:hint="eastAsia"/>
          <w:color w:val="auto"/>
          <w:sz w:val="24"/>
        </w:rPr>
        <w:t>施工扬尘属于无组织排放，排放量与施工强度和气象条件密切相关。类比同类型项目，施工区域内粉尘产生浓度约1~2mg/m</w:t>
      </w:r>
      <w:r>
        <w:rPr>
          <w:rFonts w:hint="eastAsia"/>
          <w:color w:val="auto"/>
          <w:sz w:val="24"/>
          <w:vertAlign w:val="superscript"/>
        </w:rPr>
        <w:t>3</w:t>
      </w:r>
      <w:r>
        <w:rPr>
          <w:rFonts w:hint="eastAsia"/>
          <w:color w:val="auto"/>
          <w:sz w:val="24"/>
        </w:rPr>
        <w:t>。</w:t>
      </w:r>
    </w:p>
    <w:p>
      <w:pPr>
        <w:tabs>
          <w:tab w:val="left" w:pos="1081"/>
        </w:tabs>
        <w:spacing w:line="360" w:lineRule="auto"/>
        <w:ind w:firstLine="480"/>
        <w:rPr>
          <w:color w:val="auto"/>
          <w:sz w:val="24"/>
        </w:rPr>
      </w:pPr>
      <w:r>
        <w:rPr>
          <w:rFonts w:hint="eastAsia"/>
          <w:color w:val="auto"/>
          <w:sz w:val="24"/>
        </w:rPr>
        <w:t>（2）施工机械设备燃油废气</w:t>
      </w:r>
    </w:p>
    <w:p>
      <w:pPr>
        <w:tabs>
          <w:tab w:val="left" w:pos="1081"/>
        </w:tabs>
        <w:spacing w:line="360" w:lineRule="auto"/>
        <w:ind w:firstLine="480"/>
        <w:rPr>
          <w:color w:val="auto"/>
          <w:sz w:val="24"/>
        </w:rPr>
      </w:pPr>
      <w:r>
        <w:rPr>
          <w:rFonts w:hint="eastAsia"/>
          <w:color w:val="auto"/>
          <w:sz w:val="24"/>
        </w:rPr>
        <w:t>施工期间，本项目使用到的机械设备包括挖掘机、起重机等柴油动力机械。这些机械设备在使用过程中会产生燃油废气，废气中污染物主要有SO</w:t>
      </w:r>
      <w:r>
        <w:rPr>
          <w:rFonts w:hint="eastAsia"/>
          <w:color w:val="auto"/>
          <w:sz w:val="24"/>
          <w:vertAlign w:val="subscript"/>
        </w:rPr>
        <w:t>2</w:t>
      </w:r>
      <w:r>
        <w:rPr>
          <w:rFonts w:hint="eastAsia"/>
          <w:color w:val="auto"/>
          <w:sz w:val="24"/>
        </w:rPr>
        <w:t>、NO</w:t>
      </w:r>
      <w:r>
        <w:rPr>
          <w:rFonts w:hint="eastAsia"/>
          <w:color w:val="auto"/>
          <w:sz w:val="24"/>
          <w:vertAlign w:val="subscript"/>
        </w:rPr>
        <w:t>X</w:t>
      </w:r>
      <w:r>
        <w:rPr>
          <w:rFonts w:hint="eastAsia"/>
          <w:color w:val="auto"/>
          <w:sz w:val="24"/>
        </w:rPr>
        <w:t>、CO等。</w:t>
      </w:r>
    </w:p>
    <w:p>
      <w:pPr>
        <w:tabs>
          <w:tab w:val="left" w:pos="1081"/>
        </w:tabs>
        <w:spacing w:line="360" w:lineRule="auto"/>
        <w:ind w:firstLine="480"/>
        <w:rPr>
          <w:color w:val="auto"/>
          <w:sz w:val="24"/>
        </w:rPr>
      </w:pPr>
      <w:r>
        <w:rPr>
          <w:rFonts w:hint="eastAsia"/>
          <w:color w:val="auto"/>
          <w:sz w:val="24"/>
        </w:rPr>
        <w:t>（3）焊接</w:t>
      </w:r>
      <w:r>
        <w:rPr>
          <w:rFonts w:hint="eastAsia"/>
          <w:color w:val="auto"/>
          <w:sz w:val="24"/>
          <w:lang w:eastAsia="zh-CN"/>
        </w:rPr>
        <w:t>颗粒物</w:t>
      </w:r>
    </w:p>
    <w:p>
      <w:pPr>
        <w:tabs>
          <w:tab w:val="left" w:pos="1081"/>
        </w:tabs>
        <w:spacing w:line="360" w:lineRule="auto"/>
        <w:ind w:firstLine="480"/>
        <w:rPr>
          <w:color w:val="auto"/>
          <w:sz w:val="24"/>
        </w:rPr>
      </w:pPr>
      <w:r>
        <w:rPr>
          <w:rFonts w:hint="eastAsia"/>
          <w:color w:val="auto"/>
          <w:sz w:val="24"/>
        </w:rPr>
        <w:t>项目在结构架搭工序中需使用焊机对钢架等进行焊接操作，过程中会产生少量的焊接</w:t>
      </w:r>
      <w:r>
        <w:rPr>
          <w:rFonts w:hint="eastAsia"/>
          <w:color w:val="auto"/>
          <w:sz w:val="24"/>
          <w:lang w:eastAsia="zh-CN"/>
        </w:rPr>
        <w:t>颗粒物</w:t>
      </w:r>
      <w:r>
        <w:rPr>
          <w:rFonts w:hint="eastAsia"/>
          <w:color w:val="auto"/>
          <w:sz w:val="24"/>
        </w:rPr>
        <w:t>，焊接</w:t>
      </w:r>
      <w:r>
        <w:rPr>
          <w:rFonts w:hint="eastAsia"/>
          <w:color w:val="auto"/>
          <w:sz w:val="24"/>
          <w:lang w:eastAsia="zh-CN"/>
        </w:rPr>
        <w:t>颗粒物</w:t>
      </w:r>
      <w:r>
        <w:rPr>
          <w:rFonts w:hint="eastAsia"/>
          <w:color w:val="auto"/>
          <w:sz w:val="24"/>
        </w:rPr>
        <w:t>以无组织形式排放。</w:t>
      </w:r>
    </w:p>
    <w:p>
      <w:pPr>
        <w:adjustRightInd w:val="0"/>
        <w:snapToGrid w:val="0"/>
        <w:spacing w:line="360" w:lineRule="auto"/>
        <w:rPr>
          <w:b/>
          <w:color w:val="auto"/>
          <w:spacing w:val="-12"/>
          <w:sz w:val="24"/>
        </w:rPr>
      </w:pPr>
      <w:r>
        <w:rPr>
          <w:rFonts w:hint="eastAsia"/>
          <w:b/>
          <w:color w:val="auto"/>
          <w:spacing w:val="-12"/>
          <w:sz w:val="24"/>
        </w:rPr>
        <w:t>4.5.1.3  噪声源</w:t>
      </w:r>
    </w:p>
    <w:p>
      <w:pPr>
        <w:adjustRightInd w:val="0"/>
        <w:snapToGrid w:val="0"/>
        <w:spacing w:line="360" w:lineRule="auto"/>
        <w:ind w:right="57" w:rightChars="27" w:firstLine="480" w:firstLineChars="200"/>
        <w:rPr>
          <w:bCs/>
          <w:color w:val="auto"/>
          <w:sz w:val="24"/>
        </w:rPr>
      </w:pPr>
      <w:r>
        <w:rPr>
          <w:bCs/>
          <w:color w:val="auto"/>
          <w:sz w:val="24"/>
        </w:rPr>
        <w:t>施工期噪声源主要为施工机械设备和运输车辆产生的噪声，不同的施工阶段，所产生噪声源类型不同。从噪声产生角度分析，可分为</w:t>
      </w:r>
      <w:r>
        <w:rPr>
          <w:rFonts w:hint="eastAsia"/>
          <w:bCs/>
          <w:color w:val="auto"/>
          <w:sz w:val="24"/>
        </w:rPr>
        <w:t>三</w:t>
      </w:r>
      <w:r>
        <w:rPr>
          <w:bCs/>
          <w:color w:val="auto"/>
          <w:sz w:val="24"/>
        </w:rPr>
        <w:t>个阶段：基础</w:t>
      </w:r>
      <w:r>
        <w:rPr>
          <w:rFonts w:hint="eastAsia"/>
          <w:bCs/>
          <w:color w:val="auto"/>
          <w:sz w:val="24"/>
        </w:rPr>
        <w:t>建设</w:t>
      </w:r>
      <w:r>
        <w:rPr>
          <w:bCs/>
          <w:color w:val="auto"/>
          <w:sz w:val="24"/>
        </w:rPr>
        <w:t>阶段、结构</w:t>
      </w:r>
      <w:r>
        <w:rPr>
          <w:rFonts w:hint="eastAsia"/>
          <w:bCs/>
          <w:color w:val="auto"/>
          <w:sz w:val="24"/>
        </w:rPr>
        <w:t>架搭</w:t>
      </w:r>
      <w:r>
        <w:rPr>
          <w:bCs/>
          <w:color w:val="auto"/>
          <w:sz w:val="24"/>
        </w:rPr>
        <w:t>阶段和</w:t>
      </w:r>
      <w:r>
        <w:rPr>
          <w:rFonts w:hint="eastAsia"/>
          <w:bCs/>
          <w:color w:val="auto"/>
          <w:sz w:val="24"/>
        </w:rPr>
        <w:t>内部</w:t>
      </w:r>
      <w:r>
        <w:rPr>
          <w:bCs/>
          <w:color w:val="auto"/>
          <w:sz w:val="24"/>
        </w:rPr>
        <w:t>装修阶段。</w:t>
      </w:r>
    </w:p>
    <w:p>
      <w:pPr>
        <w:adjustRightInd w:val="0"/>
        <w:snapToGrid w:val="0"/>
        <w:spacing w:line="360" w:lineRule="auto"/>
        <w:ind w:right="57" w:rightChars="27" w:firstLine="480" w:firstLineChars="200"/>
        <w:jc w:val="center"/>
        <w:rPr>
          <w:bCs/>
          <w:color w:val="auto"/>
          <w:sz w:val="24"/>
        </w:rPr>
      </w:pPr>
      <w:r>
        <w:rPr>
          <w:bCs/>
          <w:color w:val="auto"/>
          <w:sz w:val="24"/>
        </w:rPr>
        <w:t>施工期施工机械主要有装载机、挖掘机、振动夯锤、混凝土振捣器等机械，根据《环境噪声与振动控制工程技术导则》（HJ 2034—2013），其噪声级见</w:t>
      </w:r>
      <w:r>
        <w:rPr>
          <w:rFonts w:hint="eastAsia"/>
          <w:bCs/>
          <w:color w:val="auto"/>
          <w:sz w:val="24"/>
        </w:rPr>
        <w:t>下表</w:t>
      </w:r>
      <w:r>
        <w:rPr>
          <w:bCs/>
          <w:color w:val="auto"/>
          <w:sz w:val="24"/>
        </w:rPr>
        <w:t>。</w:t>
      </w:r>
    </w:p>
    <w:p>
      <w:pPr>
        <w:adjustRightInd w:val="0"/>
        <w:snapToGrid w:val="0"/>
        <w:spacing w:line="360" w:lineRule="auto"/>
        <w:ind w:right="57" w:rightChars="27" w:firstLine="480" w:firstLineChars="200"/>
        <w:jc w:val="center"/>
        <w:rPr>
          <w:bCs/>
          <w:color w:val="auto"/>
          <w:sz w:val="24"/>
        </w:rPr>
      </w:pPr>
    </w:p>
    <w:p>
      <w:pPr>
        <w:adjustRightInd w:val="0"/>
        <w:snapToGrid w:val="0"/>
        <w:spacing w:line="360" w:lineRule="auto"/>
        <w:ind w:right="57" w:rightChars="27" w:firstLine="480" w:firstLineChars="200"/>
        <w:jc w:val="center"/>
        <w:rPr>
          <w:bCs/>
          <w:color w:val="auto"/>
          <w:sz w:val="24"/>
        </w:rPr>
      </w:pPr>
    </w:p>
    <w:p>
      <w:pPr>
        <w:adjustRightInd w:val="0"/>
        <w:snapToGrid w:val="0"/>
        <w:spacing w:line="360" w:lineRule="auto"/>
        <w:ind w:right="57" w:rightChars="27" w:firstLine="480" w:firstLineChars="200"/>
        <w:jc w:val="center"/>
        <w:rPr>
          <w:bCs/>
          <w:color w:val="auto"/>
          <w:sz w:val="24"/>
        </w:rPr>
      </w:pPr>
    </w:p>
    <w:p>
      <w:pPr>
        <w:adjustRightInd w:val="0"/>
        <w:snapToGrid w:val="0"/>
        <w:spacing w:line="360" w:lineRule="auto"/>
        <w:ind w:right="57" w:rightChars="27" w:firstLine="422" w:firstLineChars="200"/>
        <w:jc w:val="center"/>
        <w:rPr>
          <w:color w:val="auto"/>
          <w:sz w:val="24"/>
        </w:rPr>
      </w:pPr>
      <w:r>
        <w:rPr>
          <w:b/>
          <w:bCs/>
          <w:color w:val="auto"/>
          <w:szCs w:val="21"/>
        </w:rPr>
        <w:t>表</w:t>
      </w:r>
      <w:r>
        <w:rPr>
          <w:rFonts w:hint="eastAsia"/>
          <w:b/>
          <w:bCs/>
          <w:color w:val="auto"/>
          <w:szCs w:val="21"/>
        </w:rPr>
        <w:t>4.5</w:t>
      </w:r>
      <w:r>
        <w:rPr>
          <w:b/>
          <w:bCs/>
          <w:color w:val="auto"/>
          <w:szCs w:val="21"/>
        </w:rPr>
        <w:t>-</w:t>
      </w:r>
      <w:r>
        <w:rPr>
          <w:rFonts w:hint="eastAsia"/>
          <w:b/>
          <w:bCs/>
          <w:color w:val="auto"/>
          <w:szCs w:val="21"/>
        </w:rPr>
        <w:t>1</w:t>
      </w:r>
      <w:r>
        <w:rPr>
          <w:b/>
          <w:bCs/>
          <w:color w:val="auto"/>
          <w:szCs w:val="21"/>
        </w:rPr>
        <w:t xml:space="preserve">  各施工阶段施工机械噪声源不同距离声压等级</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255"/>
        <w:gridCol w:w="2513"/>
        <w:gridCol w:w="2088"/>
        <w:gridCol w:w="209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restart"/>
            <w:tcBorders>
              <w:tl2br w:val="nil"/>
              <w:tr2bl w:val="nil"/>
            </w:tcBorders>
            <w:vAlign w:val="center"/>
          </w:tcPr>
          <w:p>
            <w:pPr>
              <w:adjustRightInd w:val="0"/>
              <w:snapToGrid w:val="0"/>
              <w:ind w:right="57" w:rightChars="27"/>
              <w:jc w:val="center"/>
              <w:rPr>
                <w:color w:val="auto"/>
                <w:szCs w:val="21"/>
              </w:rPr>
            </w:pPr>
            <w:r>
              <w:rPr>
                <w:color w:val="auto"/>
                <w:szCs w:val="21"/>
              </w:rPr>
              <w:t>施工阶段</w:t>
            </w:r>
          </w:p>
        </w:tc>
        <w:tc>
          <w:tcPr>
            <w:tcW w:w="2513" w:type="dxa"/>
            <w:vMerge w:val="restart"/>
            <w:tcBorders>
              <w:tl2br w:val="nil"/>
              <w:tr2bl w:val="nil"/>
            </w:tcBorders>
            <w:vAlign w:val="center"/>
          </w:tcPr>
          <w:p>
            <w:pPr>
              <w:adjustRightInd w:val="0"/>
              <w:snapToGrid w:val="0"/>
              <w:ind w:right="57" w:rightChars="27"/>
              <w:jc w:val="center"/>
              <w:rPr>
                <w:color w:val="auto"/>
                <w:szCs w:val="21"/>
              </w:rPr>
            </w:pPr>
            <w:r>
              <w:rPr>
                <w:color w:val="auto"/>
                <w:szCs w:val="21"/>
              </w:rPr>
              <w:t>机械名称</w:t>
            </w:r>
          </w:p>
        </w:tc>
        <w:tc>
          <w:tcPr>
            <w:tcW w:w="4180" w:type="dxa"/>
            <w:gridSpan w:val="2"/>
            <w:tcBorders>
              <w:tl2br w:val="nil"/>
              <w:tr2bl w:val="nil"/>
            </w:tcBorders>
            <w:vAlign w:val="center"/>
          </w:tcPr>
          <w:p>
            <w:pPr>
              <w:adjustRightInd w:val="0"/>
              <w:snapToGrid w:val="0"/>
              <w:ind w:right="57" w:rightChars="27"/>
              <w:jc w:val="center"/>
              <w:rPr>
                <w:color w:val="auto"/>
                <w:szCs w:val="21"/>
              </w:rPr>
            </w:pPr>
            <w:r>
              <w:rPr>
                <w:color w:val="auto"/>
                <w:szCs w:val="21"/>
              </w:rPr>
              <w:t>与声源距离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vMerge w:val="continue"/>
            <w:tcBorders>
              <w:tl2br w:val="nil"/>
              <w:tr2bl w:val="nil"/>
            </w:tcBorders>
            <w:vAlign w:val="center"/>
          </w:tcPr>
          <w:p>
            <w:pPr>
              <w:adjustRightInd w:val="0"/>
              <w:snapToGrid w:val="0"/>
              <w:ind w:right="57" w:rightChars="27"/>
              <w:jc w:val="center"/>
              <w:rPr>
                <w:color w:val="auto"/>
                <w:szCs w:val="21"/>
              </w:rPr>
            </w:pPr>
          </w:p>
        </w:tc>
        <w:tc>
          <w:tcPr>
            <w:tcW w:w="2088" w:type="dxa"/>
            <w:tcBorders>
              <w:tl2br w:val="nil"/>
              <w:tr2bl w:val="nil"/>
            </w:tcBorders>
            <w:vAlign w:val="center"/>
          </w:tcPr>
          <w:p>
            <w:pPr>
              <w:adjustRightInd w:val="0"/>
              <w:snapToGrid w:val="0"/>
              <w:ind w:right="57" w:rightChars="27"/>
              <w:jc w:val="center"/>
              <w:rPr>
                <w:color w:val="auto"/>
                <w:szCs w:val="21"/>
              </w:rPr>
            </w:pPr>
            <w:r>
              <w:rPr>
                <w:color w:val="auto"/>
                <w:szCs w:val="21"/>
              </w:rPr>
              <w:t>5m</w:t>
            </w:r>
          </w:p>
        </w:tc>
        <w:tc>
          <w:tcPr>
            <w:tcW w:w="2092" w:type="dxa"/>
            <w:tcBorders>
              <w:tl2br w:val="nil"/>
              <w:tr2bl w:val="nil"/>
            </w:tcBorders>
            <w:vAlign w:val="center"/>
          </w:tcPr>
          <w:p>
            <w:pPr>
              <w:adjustRightInd w:val="0"/>
              <w:snapToGrid w:val="0"/>
              <w:ind w:right="57" w:rightChars="27"/>
              <w:jc w:val="center"/>
              <w:rPr>
                <w:color w:val="auto"/>
                <w:szCs w:val="21"/>
              </w:rPr>
            </w:pPr>
            <w:r>
              <w:rPr>
                <w:color w:val="auto"/>
                <w:szCs w:val="21"/>
              </w:rPr>
              <w:t>10m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restart"/>
            <w:tcBorders>
              <w:tl2br w:val="nil"/>
              <w:tr2bl w:val="nil"/>
            </w:tcBorders>
            <w:vAlign w:val="center"/>
          </w:tcPr>
          <w:p>
            <w:pPr>
              <w:adjustRightInd w:val="0"/>
              <w:snapToGrid w:val="0"/>
              <w:ind w:right="57" w:rightChars="27"/>
              <w:jc w:val="center"/>
              <w:rPr>
                <w:color w:val="auto"/>
                <w:szCs w:val="21"/>
              </w:rPr>
            </w:pPr>
            <w:r>
              <w:rPr>
                <w:color w:val="auto"/>
                <w:szCs w:val="21"/>
              </w:rPr>
              <w:t>基础</w:t>
            </w:r>
            <w:r>
              <w:rPr>
                <w:rFonts w:hint="eastAsia"/>
                <w:color w:val="auto"/>
                <w:szCs w:val="21"/>
              </w:rPr>
              <w:t>建设</w:t>
            </w:r>
            <w:r>
              <w:rPr>
                <w:color w:val="auto"/>
                <w:szCs w:val="21"/>
              </w:rPr>
              <w:t>阶段</w:t>
            </w: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液压</w:t>
            </w:r>
            <w:r>
              <w:rPr>
                <w:color w:val="auto"/>
                <w:szCs w:val="21"/>
              </w:rPr>
              <w:t>挖掘机</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82~90</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78~86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轮式</w:t>
            </w:r>
            <w:r>
              <w:rPr>
                <w:color w:val="auto"/>
                <w:szCs w:val="21"/>
              </w:rPr>
              <w:t>装载机</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90~95</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85~91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重型</w:t>
            </w:r>
            <w:r>
              <w:rPr>
                <w:color w:val="auto"/>
                <w:szCs w:val="21"/>
              </w:rPr>
              <w:t>运输车</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82~90</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78~86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color w:val="auto"/>
                <w:kern w:val="0"/>
                <w:szCs w:val="21"/>
              </w:rPr>
              <w:t>振动夯锤</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92~</w:t>
            </w:r>
            <w:r>
              <w:rPr>
                <w:color w:val="auto"/>
                <w:szCs w:val="21"/>
              </w:rPr>
              <w:t>100</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86~94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color w:val="auto"/>
                <w:szCs w:val="21"/>
              </w:rPr>
              <w:t>静力压桩机</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70~</w:t>
            </w:r>
            <w:r>
              <w:rPr>
                <w:color w:val="auto"/>
                <w:szCs w:val="21"/>
              </w:rPr>
              <w:t>75</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68~73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商砼搅拌车</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85~90</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82~84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color w:val="auto"/>
                <w:szCs w:val="21"/>
              </w:rPr>
              <w:t>混凝土振捣器</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80~</w:t>
            </w:r>
            <w:r>
              <w:rPr>
                <w:color w:val="auto"/>
                <w:szCs w:val="21"/>
              </w:rPr>
              <w:t>88</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75~84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tcBorders>
              <w:tl2br w:val="nil"/>
              <w:tr2bl w:val="nil"/>
            </w:tcBorders>
            <w:vAlign w:val="center"/>
          </w:tcPr>
          <w:p>
            <w:pPr>
              <w:adjustRightInd w:val="0"/>
              <w:snapToGrid w:val="0"/>
              <w:ind w:right="57" w:rightChars="27"/>
              <w:jc w:val="center"/>
              <w:rPr>
                <w:color w:val="auto"/>
                <w:szCs w:val="21"/>
              </w:rPr>
            </w:pPr>
            <w:r>
              <w:rPr>
                <w:color w:val="auto"/>
                <w:szCs w:val="21"/>
              </w:rPr>
              <w:t>结构</w:t>
            </w:r>
            <w:r>
              <w:rPr>
                <w:rFonts w:hint="eastAsia"/>
                <w:color w:val="auto"/>
                <w:szCs w:val="21"/>
              </w:rPr>
              <w:t>架搭</w:t>
            </w:r>
            <w:r>
              <w:rPr>
                <w:color w:val="auto"/>
                <w:szCs w:val="21"/>
              </w:rPr>
              <w:t>阶段</w:t>
            </w: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电锤</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100~105</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95~99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restart"/>
            <w:tcBorders>
              <w:tl2br w:val="nil"/>
              <w:tr2bl w:val="nil"/>
            </w:tcBorders>
            <w:vAlign w:val="center"/>
          </w:tcPr>
          <w:p>
            <w:pPr>
              <w:adjustRightInd w:val="0"/>
              <w:snapToGrid w:val="0"/>
              <w:ind w:right="57" w:rightChars="27"/>
              <w:jc w:val="center"/>
              <w:rPr>
                <w:color w:val="auto"/>
                <w:szCs w:val="21"/>
              </w:rPr>
            </w:pPr>
            <w:r>
              <w:rPr>
                <w:color w:val="auto"/>
                <w:szCs w:val="21"/>
              </w:rPr>
              <w:t>装修阶段</w:t>
            </w:r>
          </w:p>
        </w:tc>
        <w:tc>
          <w:tcPr>
            <w:tcW w:w="2513" w:type="dxa"/>
            <w:tcBorders>
              <w:tl2br w:val="nil"/>
              <w:tr2bl w:val="nil"/>
            </w:tcBorders>
            <w:vAlign w:val="center"/>
          </w:tcPr>
          <w:p>
            <w:pPr>
              <w:adjustRightInd w:val="0"/>
              <w:snapToGrid w:val="0"/>
              <w:ind w:right="57" w:rightChars="27"/>
              <w:jc w:val="center"/>
              <w:rPr>
                <w:color w:val="auto"/>
                <w:szCs w:val="21"/>
              </w:rPr>
            </w:pPr>
            <w:r>
              <w:rPr>
                <w:color w:val="auto"/>
                <w:szCs w:val="21"/>
              </w:rPr>
              <w:t>木工电锯</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93~99</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90~95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color w:val="auto"/>
                <w:szCs w:val="21"/>
              </w:rPr>
              <w:t>云石机、角磨机</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90~</w:t>
            </w:r>
            <w:r>
              <w:rPr>
                <w:color w:val="auto"/>
                <w:szCs w:val="21"/>
              </w:rPr>
              <w:t>96</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84~</w:t>
            </w:r>
            <w:r>
              <w:rPr>
                <w:color w:val="auto"/>
                <w:szCs w:val="21"/>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55" w:type="dxa"/>
            <w:vMerge w:val="continue"/>
            <w:tcBorders>
              <w:tl2br w:val="nil"/>
              <w:tr2bl w:val="nil"/>
            </w:tcBorders>
            <w:vAlign w:val="center"/>
          </w:tcPr>
          <w:p>
            <w:pPr>
              <w:adjustRightInd w:val="0"/>
              <w:snapToGrid w:val="0"/>
              <w:ind w:right="57" w:rightChars="27"/>
              <w:jc w:val="center"/>
              <w:rPr>
                <w:color w:val="auto"/>
                <w:szCs w:val="21"/>
              </w:rPr>
            </w:pPr>
          </w:p>
        </w:tc>
        <w:tc>
          <w:tcPr>
            <w:tcW w:w="251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空压机</w:t>
            </w:r>
          </w:p>
        </w:tc>
        <w:tc>
          <w:tcPr>
            <w:tcW w:w="2088"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88~92</w:t>
            </w:r>
          </w:p>
        </w:tc>
        <w:tc>
          <w:tcPr>
            <w:tcW w:w="2092"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83~88</w:t>
            </w:r>
          </w:p>
        </w:tc>
      </w:tr>
    </w:tbl>
    <w:p>
      <w:pPr>
        <w:adjustRightInd w:val="0"/>
        <w:snapToGrid w:val="0"/>
        <w:spacing w:line="360" w:lineRule="auto"/>
        <w:rPr>
          <w:b/>
          <w:color w:val="auto"/>
          <w:spacing w:val="-12"/>
          <w:sz w:val="24"/>
        </w:rPr>
      </w:pPr>
      <w:r>
        <w:rPr>
          <w:rFonts w:hint="eastAsia"/>
          <w:b/>
          <w:color w:val="auto"/>
          <w:spacing w:val="-12"/>
          <w:sz w:val="24"/>
        </w:rPr>
        <w:t>4.5.5  固体废物</w:t>
      </w:r>
    </w:p>
    <w:p>
      <w:pPr>
        <w:adjustRightInd w:val="0"/>
        <w:snapToGrid w:val="0"/>
        <w:spacing w:line="360" w:lineRule="auto"/>
        <w:ind w:right="57" w:rightChars="27" w:firstLine="480" w:firstLineChars="200"/>
        <w:rPr>
          <w:bCs/>
          <w:color w:val="auto"/>
          <w:sz w:val="24"/>
        </w:rPr>
      </w:pPr>
      <w:r>
        <w:rPr>
          <w:bCs/>
          <w:color w:val="auto"/>
          <w:sz w:val="24"/>
        </w:rPr>
        <w:t>施工期固体废物主要包括弃土方、建筑垃圾、生活垃圾。</w:t>
      </w:r>
    </w:p>
    <w:p>
      <w:pPr>
        <w:adjustRightInd w:val="0"/>
        <w:snapToGrid w:val="0"/>
        <w:spacing w:line="360" w:lineRule="auto"/>
        <w:ind w:right="57" w:rightChars="27" w:firstLine="480" w:firstLineChars="200"/>
        <w:rPr>
          <w:bCs/>
          <w:color w:val="auto"/>
          <w:sz w:val="24"/>
        </w:rPr>
      </w:pPr>
      <w:r>
        <w:rPr>
          <w:bCs/>
          <w:color w:val="auto"/>
          <w:sz w:val="24"/>
        </w:rPr>
        <w:t>（1）弃土方</w:t>
      </w:r>
    </w:p>
    <w:p>
      <w:pPr>
        <w:adjustRightInd w:val="0"/>
        <w:snapToGrid w:val="0"/>
        <w:spacing w:line="360" w:lineRule="auto"/>
        <w:ind w:right="57" w:rightChars="27" w:firstLine="480" w:firstLineChars="200"/>
        <w:rPr>
          <w:bCs/>
          <w:color w:val="auto"/>
          <w:sz w:val="24"/>
        </w:rPr>
      </w:pPr>
      <w:r>
        <w:rPr>
          <w:bCs/>
          <w:color w:val="auto"/>
          <w:sz w:val="24"/>
        </w:rPr>
        <w:t>项目弃土方主要为表土剥离作业过程中产生。表土暂时存放在临时堆场，待施工后期用于</w:t>
      </w:r>
      <w:r>
        <w:rPr>
          <w:rFonts w:hint="eastAsia"/>
          <w:bCs/>
          <w:color w:val="auto"/>
          <w:sz w:val="24"/>
        </w:rPr>
        <w:t>回填</w:t>
      </w:r>
      <w:r>
        <w:rPr>
          <w:bCs/>
          <w:color w:val="auto"/>
          <w:sz w:val="24"/>
        </w:rPr>
        <w:t>。据此</w:t>
      </w:r>
      <w:r>
        <w:rPr>
          <w:rFonts w:hint="eastAsia"/>
          <w:bCs/>
          <w:color w:val="auto"/>
          <w:sz w:val="24"/>
        </w:rPr>
        <w:t>项目初步设计估算</w:t>
      </w:r>
      <w:r>
        <w:rPr>
          <w:bCs/>
          <w:color w:val="auto"/>
          <w:sz w:val="24"/>
        </w:rPr>
        <w:t>，本项目挖土方约</w:t>
      </w:r>
      <w:r>
        <w:rPr>
          <w:rFonts w:hint="eastAsia"/>
          <w:bCs/>
          <w:color w:val="auto"/>
          <w:sz w:val="24"/>
        </w:rPr>
        <w:t>100</w:t>
      </w:r>
      <w:r>
        <w:rPr>
          <w:bCs/>
          <w:color w:val="auto"/>
          <w:sz w:val="24"/>
        </w:rPr>
        <w:t>m</w:t>
      </w:r>
      <w:r>
        <w:rPr>
          <w:bCs/>
          <w:color w:val="auto"/>
          <w:sz w:val="24"/>
          <w:vertAlign w:val="superscript"/>
        </w:rPr>
        <w:t>3</w:t>
      </w:r>
      <w:r>
        <w:rPr>
          <w:rFonts w:hint="eastAsia"/>
          <w:bCs/>
          <w:color w:val="auto"/>
          <w:sz w:val="24"/>
        </w:rPr>
        <w:t>，挖土方后续将全部回填，故无需</w:t>
      </w:r>
      <w:r>
        <w:rPr>
          <w:bCs/>
          <w:color w:val="auto"/>
          <w:sz w:val="24"/>
        </w:rPr>
        <w:t>另设取土场。</w:t>
      </w:r>
      <w:r>
        <w:rPr>
          <w:rFonts w:hint="eastAsia"/>
          <w:bCs/>
          <w:color w:val="auto"/>
          <w:sz w:val="24"/>
        </w:rPr>
        <w:t>项目在施工期内亦无弃土方排放。</w:t>
      </w:r>
    </w:p>
    <w:p>
      <w:pPr>
        <w:adjustRightInd w:val="0"/>
        <w:snapToGrid w:val="0"/>
        <w:spacing w:line="360" w:lineRule="auto"/>
        <w:ind w:right="57" w:rightChars="27" w:firstLine="480" w:firstLineChars="200"/>
        <w:rPr>
          <w:bCs/>
          <w:color w:val="auto"/>
          <w:sz w:val="24"/>
        </w:rPr>
      </w:pPr>
      <w:r>
        <w:rPr>
          <w:bCs/>
          <w:color w:val="auto"/>
          <w:sz w:val="24"/>
        </w:rPr>
        <w:t>（2）建筑垃圾</w:t>
      </w:r>
    </w:p>
    <w:p>
      <w:pPr>
        <w:keepNext/>
        <w:keepLines/>
        <w:tabs>
          <w:tab w:val="left" w:pos="0"/>
        </w:tabs>
        <w:spacing w:line="360" w:lineRule="auto"/>
        <w:ind w:firstLine="480"/>
        <w:rPr>
          <w:bCs/>
          <w:color w:val="auto"/>
          <w:sz w:val="24"/>
        </w:rPr>
      </w:pPr>
      <w:r>
        <w:rPr>
          <w:bCs/>
          <w:color w:val="auto"/>
          <w:sz w:val="24"/>
        </w:rPr>
        <w:t>建筑垃圾主要在施工过程以及工程完成后产生的大量的废建筑材料，包括废弃砂石、水泥、砖、木材、钢筋等建筑材料</w:t>
      </w:r>
      <w:r>
        <w:rPr>
          <w:rFonts w:hint="eastAsia"/>
          <w:bCs/>
          <w:color w:val="auto"/>
          <w:sz w:val="24"/>
        </w:rPr>
        <w:t>。建筑垃圾</w:t>
      </w:r>
      <w:r>
        <w:rPr>
          <w:bCs/>
          <w:color w:val="auto"/>
          <w:sz w:val="24"/>
        </w:rPr>
        <w:t>运至指定</w:t>
      </w:r>
      <w:r>
        <w:rPr>
          <w:rFonts w:hint="eastAsia"/>
          <w:bCs/>
          <w:color w:val="auto"/>
          <w:sz w:val="24"/>
        </w:rPr>
        <w:t>的建筑垃圾处置场地</w:t>
      </w:r>
      <w:r>
        <w:rPr>
          <w:bCs/>
          <w:color w:val="auto"/>
          <w:sz w:val="24"/>
        </w:rPr>
        <w:t>存放</w:t>
      </w:r>
      <w:r>
        <w:rPr>
          <w:rFonts w:hint="eastAsia"/>
          <w:bCs/>
          <w:color w:val="auto"/>
          <w:sz w:val="24"/>
        </w:rPr>
        <w:t>。</w:t>
      </w:r>
    </w:p>
    <w:p>
      <w:pPr>
        <w:adjustRightInd w:val="0"/>
        <w:snapToGrid w:val="0"/>
        <w:spacing w:line="360" w:lineRule="auto"/>
        <w:ind w:right="57" w:rightChars="27" w:firstLine="480" w:firstLineChars="200"/>
        <w:rPr>
          <w:bCs/>
          <w:color w:val="auto"/>
          <w:sz w:val="24"/>
        </w:rPr>
      </w:pPr>
      <w:r>
        <w:rPr>
          <w:bCs/>
          <w:color w:val="auto"/>
          <w:sz w:val="24"/>
        </w:rPr>
        <w:t>项目所产生的建筑垃圾量按照建筑面积预测，预测模型为：Js=Qs × Cs</w:t>
      </w:r>
    </w:p>
    <w:p>
      <w:pPr>
        <w:adjustRightInd w:val="0"/>
        <w:snapToGrid w:val="0"/>
        <w:spacing w:line="360" w:lineRule="auto"/>
        <w:ind w:right="57" w:rightChars="27" w:firstLine="480" w:firstLineChars="200"/>
        <w:rPr>
          <w:bCs/>
          <w:color w:val="auto"/>
          <w:sz w:val="24"/>
        </w:rPr>
      </w:pPr>
      <w:r>
        <w:rPr>
          <w:bCs/>
          <w:color w:val="auto"/>
          <w:sz w:val="24"/>
        </w:rPr>
        <w:t xml:space="preserve">式中：Js—建筑垃圾产生量（t）； </w:t>
      </w:r>
    </w:p>
    <w:p>
      <w:pPr>
        <w:adjustRightInd w:val="0"/>
        <w:snapToGrid w:val="0"/>
        <w:spacing w:line="360" w:lineRule="auto"/>
        <w:ind w:right="57" w:rightChars="27" w:firstLine="1200" w:firstLineChars="500"/>
        <w:rPr>
          <w:bCs/>
          <w:color w:val="auto"/>
          <w:sz w:val="24"/>
        </w:rPr>
      </w:pPr>
      <w:r>
        <w:rPr>
          <w:bCs/>
          <w:color w:val="auto"/>
          <w:sz w:val="24"/>
        </w:rPr>
        <w:t>Qs—建筑面积（m</w:t>
      </w:r>
      <w:r>
        <w:rPr>
          <w:bCs/>
          <w:color w:val="auto"/>
          <w:sz w:val="24"/>
          <w:vertAlign w:val="superscript"/>
        </w:rPr>
        <w:t>2</w:t>
      </w:r>
      <w:r>
        <w:rPr>
          <w:bCs/>
          <w:color w:val="auto"/>
          <w:sz w:val="24"/>
        </w:rPr>
        <w:t xml:space="preserve">）； </w:t>
      </w:r>
    </w:p>
    <w:p>
      <w:pPr>
        <w:adjustRightInd w:val="0"/>
        <w:snapToGrid w:val="0"/>
        <w:spacing w:line="360" w:lineRule="auto"/>
        <w:ind w:right="57" w:rightChars="27" w:firstLine="1200" w:firstLineChars="500"/>
        <w:rPr>
          <w:bCs/>
          <w:color w:val="auto"/>
          <w:sz w:val="24"/>
        </w:rPr>
      </w:pPr>
      <w:r>
        <w:rPr>
          <w:bCs/>
          <w:color w:val="auto"/>
          <w:sz w:val="24"/>
        </w:rPr>
        <w:t>Cs—平均每m</w:t>
      </w:r>
      <w:r>
        <w:rPr>
          <w:bCs/>
          <w:color w:val="auto"/>
          <w:sz w:val="24"/>
          <w:vertAlign w:val="superscript"/>
        </w:rPr>
        <w:t>2</w:t>
      </w:r>
      <w:r>
        <w:rPr>
          <w:bCs/>
          <w:color w:val="auto"/>
          <w:sz w:val="24"/>
        </w:rPr>
        <w:t>建筑面积垃圾产生量（t/m</w:t>
      </w:r>
      <w:r>
        <w:rPr>
          <w:bCs/>
          <w:color w:val="auto"/>
          <w:sz w:val="24"/>
          <w:vertAlign w:val="superscript"/>
        </w:rPr>
        <w:t>2</w:t>
      </w:r>
      <w:r>
        <w:rPr>
          <w:bCs/>
          <w:color w:val="auto"/>
          <w:sz w:val="24"/>
        </w:rPr>
        <w:t>）。</w:t>
      </w:r>
    </w:p>
    <w:p>
      <w:pPr>
        <w:adjustRightInd w:val="0"/>
        <w:snapToGrid w:val="0"/>
        <w:spacing w:line="360" w:lineRule="auto"/>
        <w:ind w:right="57" w:rightChars="27" w:firstLine="480" w:firstLineChars="200"/>
        <w:rPr>
          <w:bCs/>
          <w:color w:val="auto"/>
          <w:sz w:val="24"/>
        </w:rPr>
      </w:pPr>
      <w:r>
        <w:rPr>
          <w:bCs/>
          <w:color w:val="auto"/>
          <w:sz w:val="24"/>
        </w:rPr>
        <w:t>本项目建筑面积</w:t>
      </w:r>
      <w:r>
        <w:rPr>
          <w:rFonts w:hint="eastAsia"/>
          <w:bCs/>
          <w:color w:val="auto"/>
          <w:sz w:val="24"/>
        </w:rPr>
        <w:t>2448</w:t>
      </w:r>
      <w:r>
        <w:rPr>
          <w:bCs/>
          <w:color w:val="auto"/>
          <w:sz w:val="24"/>
        </w:rPr>
        <w:t>m</w:t>
      </w:r>
      <w:r>
        <w:rPr>
          <w:bCs/>
          <w:color w:val="auto"/>
          <w:sz w:val="24"/>
          <w:vertAlign w:val="superscript"/>
        </w:rPr>
        <w:t>2</w:t>
      </w:r>
      <w:r>
        <w:rPr>
          <w:bCs/>
          <w:color w:val="auto"/>
          <w:sz w:val="24"/>
        </w:rPr>
        <w:t>，按《环境影响评价工程师职业资格登记培训教材：社会区域类环境影响评》中提出的经验数据55kg/m</w:t>
      </w:r>
      <w:r>
        <w:rPr>
          <w:bCs/>
          <w:color w:val="auto"/>
          <w:sz w:val="24"/>
          <w:vertAlign w:val="superscript"/>
        </w:rPr>
        <w:t>2</w:t>
      </w:r>
      <w:r>
        <w:rPr>
          <w:bCs/>
          <w:color w:val="auto"/>
          <w:sz w:val="24"/>
        </w:rPr>
        <w:t>进行估算，本项目施工期建筑垃圾产生量约</w:t>
      </w:r>
      <w:r>
        <w:rPr>
          <w:rFonts w:hint="eastAsia"/>
          <w:bCs/>
          <w:color w:val="auto"/>
          <w:sz w:val="24"/>
        </w:rPr>
        <w:t>134.64</w:t>
      </w:r>
      <w:r>
        <w:rPr>
          <w:bCs/>
          <w:color w:val="auto"/>
          <w:sz w:val="24"/>
        </w:rPr>
        <w:t>t。</w:t>
      </w:r>
    </w:p>
    <w:p>
      <w:pPr>
        <w:adjustRightInd w:val="0"/>
        <w:snapToGrid w:val="0"/>
        <w:spacing w:line="360" w:lineRule="auto"/>
        <w:ind w:right="57" w:rightChars="27" w:firstLine="480" w:firstLineChars="200"/>
        <w:rPr>
          <w:bCs/>
          <w:color w:val="auto"/>
          <w:sz w:val="24"/>
        </w:rPr>
      </w:pPr>
      <w:r>
        <w:rPr>
          <w:bCs/>
          <w:color w:val="auto"/>
          <w:sz w:val="24"/>
        </w:rPr>
        <w:t>（3）生活垃圾</w:t>
      </w:r>
    </w:p>
    <w:p>
      <w:pPr>
        <w:adjustRightInd w:val="0"/>
        <w:snapToGrid w:val="0"/>
        <w:spacing w:line="360" w:lineRule="auto"/>
        <w:ind w:right="57" w:rightChars="27" w:firstLine="480" w:firstLineChars="200"/>
        <w:rPr>
          <w:bCs/>
          <w:color w:val="auto"/>
          <w:sz w:val="24"/>
        </w:rPr>
      </w:pPr>
      <w:r>
        <w:rPr>
          <w:bCs/>
          <w:color w:val="auto"/>
          <w:sz w:val="24"/>
        </w:rPr>
        <w:t>施工人员生活垃圾成分主要为残剩食物、塑料、废纸、包装</w:t>
      </w:r>
      <w:r>
        <w:rPr>
          <w:color w:val="auto"/>
          <w:sz w:val="24"/>
        </w:rPr>
        <w:t>袋等。生活垃圾产生量采用人口预测法，预测模型为：Ws=Ps × Cs。</w:t>
      </w:r>
    </w:p>
    <w:p>
      <w:pPr>
        <w:tabs>
          <w:tab w:val="left" w:pos="900"/>
        </w:tabs>
        <w:spacing w:line="360" w:lineRule="auto"/>
        <w:ind w:firstLine="436" w:firstLineChars="182"/>
        <w:rPr>
          <w:color w:val="auto"/>
          <w:sz w:val="24"/>
        </w:rPr>
      </w:pPr>
      <w:r>
        <w:rPr>
          <w:color w:val="auto"/>
          <w:sz w:val="24"/>
        </w:rPr>
        <w:t>式中：Ws—生活垃圾产生量（t/d）；</w:t>
      </w:r>
    </w:p>
    <w:p>
      <w:pPr>
        <w:tabs>
          <w:tab w:val="left" w:pos="900"/>
        </w:tabs>
        <w:spacing w:line="360" w:lineRule="auto"/>
        <w:ind w:firstLine="1036" w:firstLineChars="432"/>
        <w:rPr>
          <w:color w:val="auto"/>
          <w:sz w:val="24"/>
        </w:rPr>
      </w:pPr>
      <w:r>
        <w:rPr>
          <w:color w:val="auto"/>
          <w:sz w:val="24"/>
        </w:rPr>
        <w:t xml:space="preserve"> Ps—人数（人）； </w:t>
      </w:r>
    </w:p>
    <w:p>
      <w:pPr>
        <w:tabs>
          <w:tab w:val="left" w:pos="900"/>
        </w:tabs>
        <w:spacing w:line="360" w:lineRule="auto"/>
        <w:ind w:firstLine="1156" w:firstLineChars="482"/>
        <w:rPr>
          <w:color w:val="auto"/>
          <w:sz w:val="24"/>
        </w:rPr>
      </w:pPr>
      <w:r>
        <w:rPr>
          <w:color w:val="auto"/>
          <w:sz w:val="24"/>
        </w:rPr>
        <w:t>Cs —人均生活垃圾产生量（t/d·人）</w:t>
      </w:r>
    </w:p>
    <w:p>
      <w:pPr>
        <w:adjustRightInd w:val="0"/>
        <w:snapToGrid w:val="0"/>
        <w:spacing w:line="360" w:lineRule="auto"/>
        <w:ind w:right="57" w:rightChars="27" w:firstLine="480" w:firstLineChars="200"/>
        <w:rPr>
          <w:color w:val="auto"/>
          <w:sz w:val="24"/>
        </w:rPr>
      </w:pPr>
      <w:r>
        <w:rPr>
          <w:color w:val="auto"/>
          <w:sz w:val="24"/>
        </w:rPr>
        <w:t>本项目施工期高峰施工人员共</w:t>
      </w:r>
      <w:r>
        <w:rPr>
          <w:rFonts w:hint="eastAsia"/>
          <w:color w:val="auto"/>
          <w:sz w:val="24"/>
        </w:rPr>
        <w:t>10</w:t>
      </w:r>
      <w:r>
        <w:rPr>
          <w:color w:val="auto"/>
          <w:sz w:val="24"/>
        </w:rPr>
        <w:t>人，按每人每天产生0.5kg垃圾估算，则施工期生活垃圾产生量为</w:t>
      </w:r>
      <w:r>
        <w:rPr>
          <w:rFonts w:hint="eastAsia"/>
          <w:color w:val="auto"/>
          <w:sz w:val="24"/>
        </w:rPr>
        <w:t>5</w:t>
      </w:r>
      <w:r>
        <w:rPr>
          <w:color w:val="auto"/>
          <w:sz w:val="24"/>
        </w:rPr>
        <w:t>kg/d</w:t>
      </w:r>
      <w:r>
        <w:rPr>
          <w:rFonts w:hint="eastAsia"/>
          <w:color w:val="auto"/>
          <w:sz w:val="24"/>
        </w:rPr>
        <w:t>。施工期以30天计算，</w:t>
      </w:r>
      <w:r>
        <w:rPr>
          <w:color w:val="auto"/>
          <w:sz w:val="24"/>
        </w:rPr>
        <w:t>即</w:t>
      </w:r>
      <w:r>
        <w:rPr>
          <w:rFonts w:hint="eastAsia"/>
          <w:color w:val="auto"/>
          <w:sz w:val="24"/>
        </w:rPr>
        <w:t>施工期内共产生0.15</w:t>
      </w:r>
      <w:r>
        <w:rPr>
          <w:color w:val="auto"/>
          <w:sz w:val="24"/>
        </w:rPr>
        <w:t>t</w:t>
      </w:r>
      <w:r>
        <w:rPr>
          <w:rFonts w:hint="eastAsia"/>
          <w:color w:val="auto"/>
          <w:sz w:val="24"/>
        </w:rPr>
        <w:t>生活垃圾，拟交由环卫部门运走处理</w:t>
      </w:r>
      <w:r>
        <w:rPr>
          <w:color w:val="auto"/>
          <w:sz w:val="24"/>
        </w:rPr>
        <w:t>。本项目施工期固体废物排放情况详见</w:t>
      </w:r>
      <w:r>
        <w:rPr>
          <w:rFonts w:hint="eastAsia"/>
          <w:color w:val="auto"/>
          <w:sz w:val="24"/>
        </w:rPr>
        <w:t>下表</w:t>
      </w:r>
      <w:r>
        <w:rPr>
          <w:color w:val="auto"/>
          <w:sz w:val="24"/>
        </w:rPr>
        <w:t>。</w:t>
      </w:r>
    </w:p>
    <w:p>
      <w:pPr>
        <w:adjustRightInd w:val="0"/>
        <w:snapToGrid w:val="0"/>
        <w:spacing w:line="360" w:lineRule="auto"/>
        <w:ind w:right="57" w:rightChars="27" w:firstLine="422" w:firstLineChars="200"/>
        <w:jc w:val="center"/>
        <w:rPr>
          <w:b/>
          <w:bCs/>
          <w:color w:val="auto"/>
          <w:szCs w:val="21"/>
        </w:rPr>
      </w:pPr>
      <w:r>
        <w:rPr>
          <w:b/>
          <w:bCs/>
          <w:color w:val="auto"/>
          <w:szCs w:val="21"/>
        </w:rPr>
        <w:t>表</w:t>
      </w:r>
      <w:r>
        <w:rPr>
          <w:rFonts w:hint="eastAsia"/>
          <w:b/>
          <w:bCs/>
          <w:color w:val="auto"/>
          <w:szCs w:val="21"/>
        </w:rPr>
        <w:t xml:space="preserve">4.5-2 </w:t>
      </w:r>
      <w:r>
        <w:rPr>
          <w:b/>
          <w:bCs/>
          <w:color w:val="auto"/>
          <w:szCs w:val="21"/>
        </w:rPr>
        <w:t xml:space="preserve"> 施工期固体废物种类及产生量</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225"/>
        <w:gridCol w:w="1470"/>
        <w:gridCol w:w="525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25" w:type="dxa"/>
            <w:tcBorders>
              <w:tl2br w:val="nil"/>
              <w:tr2bl w:val="nil"/>
            </w:tcBorders>
            <w:vAlign w:val="center"/>
          </w:tcPr>
          <w:p>
            <w:pPr>
              <w:adjustRightInd w:val="0"/>
              <w:snapToGrid w:val="0"/>
              <w:ind w:right="57" w:rightChars="27"/>
              <w:jc w:val="center"/>
              <w:rPr>
                <w:color w:val="auto"/>
                <w:szCs w:val="21"/>
              </w:rPr>
            </w:pPr>
            <w:r>
              <w:rPr>
                <w:color w:val="auto"/>
                <w:szCs w:val="21"/>
              </w:rPr>
              <w:t>固废种类</w:t>
            </w:r>
          </w:p>
        </w:tc>
        <w:tc>
          <w:tcPr>
            <w:tcW w:w="1470" w:type="dxa"/>
            <w:tcBorders>
              <w:tl2br w:val="nil"/>
              <w:tr2bl w:val="nil"/>
            </w:tcBorders>
            <w:vAlign w:val="center"/>
          </w:tcPr>
          <w:p>
            <w:pPr>
              <w:adjustRightInd w:val="0"/>
              <w:snapToGrid w:val="0"/>
              <w:ind w:right="57" w:rightChars="27"/>
              <w:jc w:val="center"/>
              <w:rPr>
                <w:color w:val="auto"/>
                <w:szCs w:val="21"/>
              </w:rPr>
            </w:pPr>
            <w:r>
              <w:rPr>
                <w:color w:val="auto"/>
                <w:szCs w:val="21"/>
              </w:rPr>
              <w:t>产生量</w:t>
            </w:r>
          </w:p>
        </w:tc>
        <w:tc>
          <w:tcPr>
            <w:tcW w:w="5253" w:type="dxa"/>
            <w:tcBorders>
              <w:tl2br w:val="nil"/>
              <w:tr2bl w:val="nil"/>
            </w:tcBorders>
            <w:vAlign w:val="center"/>
          </w:tcPr>
          <w:p>
            <w:pPr>
              <w:adjustRightInd w:val="0"/>
              <w:snapToGrid w:val="0"/>
              <w:ind w:right="57" w:rightChars="27"/>
              <w:jc w:val="center"/>
              <w:rPr>
                <w:color w:val="auto"/>
                <w:szCs w:val="21"/>
              </w:rPr>
            </w:pPr>
            <w:r>
              <w:rPr>
                <w:color w:val="auto"/>
                <w:szCs w:val="21"/>
              </w:rPr>
              <w:t>处置方式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25"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弃</w:t>
            </w:r>
            <w:r>
              <w:rPr>
                <w:color w:val="auto"/>
                <w:szCs w:val="21"/>
              </w:rPr>
              <w:t>土方</w:t>
            </w:r>
          </w:p>
        </w:tc>
        <w:tc>
          <w:tcPr>
            <w:tcW w:w="1470"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100</w:t>
            </w:r>
            <w:r>
              <w:rPr>
                <w:color w:val="auto"/>
                <w:szCs w:val="21"/>
              </w:rPr>
              <w:t>m</w:t>
            </w:r>
            <w:r>
              <w:rPr>
                <w:color w:val="auto"/>
                <w:szCs w:val="21"/>
                <w:vertAlign w:val="superscript"/>
              </w:rPr>
              <w:t>3</w:t>
            </w:r>
          </w:p>
        </w:tc>
        <w:tc>
          <w:tcPr>
            <w:tcW w:w="5253" w:type="dxa"/>
            <w:tcBorders>
              <w:tl2br w:val="nil"/>
              <w:tr2bl w:val="nil"/>
            </w:tcBorders>
            <w:vAlign w:val="center"/>
          </w:tcPr>
          <w:p>
            <w:pPr>
              <w:adjustRightInd w:val="0"/>
              <w:snapToGrid w:val="0"/>
              <w:ind w:right="57" w:rightChars="27"/>
              <w:jc w:val="center"/>
              <w:rPr>
                <w:color w:val="auto"/>
                <w:szCs w:val="21"/>
              </w:rPr>
            </w:pPr>
            <w:r>
              <w:rPr>
                <w:rFonts w:hint="eastAsia"/>
                <w:color w:val="auto"/>
                <w:szCs w:val="21"/>
              </w:rPr>
              <w:t>全部回填</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25" w:type="dxa"/>
            <w:tcBorders>
              <w:tl2br w:val="nil"/>
              <w:tr2bl w:val="nil"/>
            </w:tcBorders>
            <w:vAlign w:val="center"/>
          </w:tcPr>
          <w:p>
            <w:pPr>
              <w:adjustRightInd w:val="0"/>
              <w:snapToGrid w:val="0"/>
              <w:ind w:right="57" w:rightChars="27"/>
              <w:jc w:val="center"/>
              <w:rPr>
                <w:color w:val="auto"/>
                <w:szCs w:val="21"/>
              </w:rPr>
            </w:pPr>
            <w:r>
              <w:rPr>
                <w:color w:val="auto"/>
                <w:szCs w:val="21"/>
              </w:rPr>
              <w:t>建筑垃圾</w:t>
            </w:r>
          </w:p>
        </w:tc>
        <w:tc>
          <w:tcPr>
            <w:tcW w:w="1470" w:type="dxa"/>
            <w:tcBorders>
              <w:tl2br w:val="nil"/>
              <w:tr2bl w:val="nil"/>
            </w:tcBorders>
            <w:vAlign w:val="center"/>
          </w:tcPr>
          <w:p>
            <w:pPr>
              <w:adjustRightInd w:val="0"/>
              <w:snapToGrid w:val="0"/>
              <w:ind w:right="57" w:rightChars="27"/>
              <w:jc w:val="center"/>
              <w:rPr>
                <w:color w:val="auto"/>
                <w:szCs w:val="21"/>
              </w:rPr>
            </w:pPr>
            <w:r>
              <w:rPr>
                <w:rFonts w:hint="eastAsia"/>
                <w:bCs/>
                <w:color w:val="auto"/>
                <w:szCs w:val="21"/>
              </w:rPr>
              <w:t>134.64t</w:t>
            </w:r>
          </w:p>
        </w:tc>
        <w:tc>
          <w:tcPr>
            <w:tcW w:w="5253" w:type="dxa"/>
            <w:tcBorders>
              <w:tl2br w:val="nil"/>
              <w:tr2bl w:val="nil"/>
            </w:tcBorders>
            <w:vAlign w:val="center"/>
          </w:tcPr>
          <w:p>
            <w:pPr>
              <w:adjustRightInd w:val="0"/>
              <w:snapToGrid w:val="0"/>
              <w:ind w:right="57" w:rightChars="27"/>
              <w:jc w:val="center"/>
              <w:rPr>
                <w:color w:val="auto"/>
                <w:szCs w:val="21"/>
              </w:rPr>
            </w:pPr>
            <w:r>
              <w:rPr>
                <w:color w:val="auto"/>
                <w:szCs w:val="21"/>
              </w:rPr>
              <w:t>运至指定的建筑垃圾处置场地存放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25" w:type="dxa"/>
            <w:tcBorders>
              <w:tl2br w:val="nil"/>
              <w:tr2bl w:val="nil"/>
            </w:tcBorders>
            <w:vAlign w:val="center"/>
          </w:tcPr>
          <w:p>
            <w:pPr>
              <w:adjustRightInd w:val="0"/>
              <w:snapToGrid w:val="0"/>
              <w:ind w:right="57" w:rightChars="27"/>
              <w:jc w:val="center"/>
              <w:rPr>
                <w:color w:val="auto"/>
                <w:szCs w:val="21"/>
              </w:rPr>
            </w:pPr>
            <w:r>
              <w:rPr>
                <w:color w:val="auto"/>
                <w:szCs w:val="21"/>
              </w:rPr>
              <w:t>施工人员生活垃圾</w:t>
            </w:r>
          </w:p>
        </w:tc>
        <w:tc>
          <w:tcPr>
            <w:tcW w:w="1470" w:type="dxa"/>
            <w:tcBorders>
              <w:tl2br w:val="nil"/>
              <w:tr2bl w:val="nil"/>
            </w:tcBorders>
            <w:vAlign w:val="center"/>
          </w:tcPr>
          <w:p>
            <w:pPr>
              <w:adjustRightInd w:val="0"/>
              <w:snapToGrid w:val="0"/>
              <w:ind w:right="57" w:rightChars="27"/>
              <w:jc w:val="center"/>
              <w:rPr>
                <w:color w:val="auto"/>
                <w:szCs w:val="21"/>
              </w:rPr>
            </w:pPr>
            <w:r>
              <w:rPr>
                <w:color w:val="auto"/>
                <w:szCs w:val="21"/>
              </w:rPr>
              <w:t>0.</w:t>
            </w:r>
            <w:r>
              <w:rPr>
                <w:rFonts w:hint="eastAsia"/>
                <w:color w:val="auto"/>
                <w:szCs w:val="21"/>
              </w:rPr>
              <w:t>15</w:t>
            </w:r>
            <w:r>
              <w:rPr>
                <w:color w:val="auto"/>
                <w:szCs w:val="21"/>
              </w:rPr>
              <w:t>t</w:t>
            </w:r>
          </w:p>
        </w:tc>
        <w:tc>
          <w:tcPr>
            <w:tcW w:w="5253" w:type="dxa"/>
            <w:tcBorders>
              <w:tl2br w:val="nil"/>
              <w:tr2bl w:val="nil"/>
            </w:tcBorders>
            <w:vAlign w:val="center"/>
          </w:tcPr>
          <w:p>
            <w:pPr>
              <w:adjustRightInd w:val="0"/>
              <w:snapToGrid w:val="0"/>
              <w:ind w:right="57" w:rightChars="27"/>
              <w:jc w:val="center"/>
              <w:rPr>
                <w:color w:val="auto"/>
                <w:szCs w:val="21"/>
              </w:rPr>
            </w:pPr>
            <w:r>
              <w:rPr>
                <w:color w:val="auto"/>
                <w:szCs w:val="21"/>
              </w:rPr>
              <w:t>交由环卫部门运走处理</w:t>
            </w:r>
          </w:p>
        </w:tc>
      </w:tr>
    </w:tbl>
    <w:p>
      <w:pPr>
        <w:pStyle w:val="44"/>
        <w:numPr>
          <w:ilvl w:val="2"/>
          <w:numId w:val="0"/>
        </w:numPr>
        <w:tabs>
          <w:tab w:val="clear" w:pos="720"/>
        </w:tabs>
        <w:spacing w:before="159" w:after="159" w:line="360" w:lineRule="auto"/>
        <w:rPr>
          <w:color w:val="auto"/>
          <w:sz w:val="28"/>
          <w:szCs w:val="28"/>
        </w:rPr>
      </w:pPr>
      <w:bookmarkStart w:id="487" w:name="_Toc32118"/>
      <w:r>
        <w:rPr>
          <w:rFonts w:hint="eastAsia"/>
          <w:color w:val="auto"/>
          <w:sz w:val="28"/>
          <w:szCs w:val="28"/>
        </w:rPr>
        <w:t>4</w:t>
      </w:r>
      <w:r>
        <w:rPr>
          <w:color w:val="auto"/>
          <w:sz w:val="28"/>
          <w:szCs w:val="28"/>
        </w:rPr>
        <w:t>.5.2</w:t>
      </w:r>
      <w:r>
        <w:rPr>
          <w:rFonts w:hint="eastAsia"/>
          <w:color w:val="auto"/>
          <w:sz w:val="28"/>
          <w:szCs w:val="28"/>
        </w:rPr>
        <w:t xml:space="preserve">  </w:t>
      </w:r>
      <w:r>
        <w:rPr>
          <w:color w:val="auto"/>
          <w:sz w:val="28"/>
          <w:szCs w:val="28"/>
        </w:rPr>
        <w:t>运营期污染源分析</w:t>
      </w:r>
      <w:bookmarkEnd w:id="486"/>
      <w:bookmarkEnd w:id="487"/>
    </w:p>
    <w:p>
      <w:pPr>
        <w:pStyle w:val="32"/>
        <w:spacing w:line="360" w:lineRule="auto"/>
        <w:ind w:firstLine="480" w:firstLineChars="200"/>
        <w:rPr>
          <w:color w:val="auto"/>
        </w:rPr>
      </w:pPr>
      <w:r>
        <w:rPr>
          <w:color w:val="auto"/>
        </w:rPr>
        <w:t>1、水污染物源强分析</w:t>
      </w:r>
    </w:p>
    <w:p>
      <w:pPr>
        <w:pStyle w:val="32"/>
        <w:spacing w:line="360" w:lineRule="auto"/>
        <w:ind w:firstLine="480" w:firstLineChars="200"/>
        <w:rPr>
          <w:color w:val="auto"/>
        </w:rPr>
      </w:pPr>
      <w:r>
        <w:rPr>
          <w:color w:val="auto"/>
        </w:rPr>
        <w:t>（1）</w:t>
      </w:r>
      <w:r>
        <w:rPr>
          <w:rFonts w:hint="eastAsia"/>
          <w:color w:val="auto"/>
        </w:rPr>
        <w:t>湿式破碎生产线循环水</w:t>
      </w:r>
    </w:p>
    <w:p>
      <w:pPr>
        <w:spacing w:line="360" w:lineRule="auto"/>
        <w:ind w:firstLine="480" w:firstLineChars="200"/>
        <w:rPr>
          <w:color w:val="auto"/>
        </w:rPr>
      </w:pPr>
      <w:r>
        <w:rPr>
          <w:rFonts w:hint="eastAsia"/>
          <w:color w:val="auto"/>
          <w:sz w:val="24"/>
        </w:rPr>
        <w:t>项目在湿式</w:t>
      </w:r>
      <w:r>
        <w:rPr>
          <w:color w:val="auto"/>
          <w:sz w:val="24"/>
        </w:rPr>
        <w:t>破碎</w:t>
      </w:r>
      <w:r>
        <w:rPr>
          <w:rFonts w:hint="eastAsia"/>
          <w:color w:val="auto"/>
          <w:sz w:val="24"/>
        </w:rPr>
        <w:t>生产</w:t>
      </w:r>
      <w:r>
        <w:rPr>
          <w:color w:val="auto"/>
          <w:sz w:val="24"/>
        </w:rPr>
        <w:t>线</w:t>
      </w:r>
      <w:r>
        <w:rPr>
          <w:rFonts w:hint="eastAsia"/>
          <w:color w:val="auto"/>
          <w:sz w:val="24"/>
        </w:rPr>
        <w:t>的二破工序、分选工序需要使用水，在二破工序、分选工序和脱水工序中将有生产废水产生。生产废水中的污染物主要是SS，项目将其收集，经沉淀处理后回用于生产，不外排。</w:t>
      </w:r>
    </w:p>
    <w:p>
      <w:pPr>
        <w:pStyle w:val="32"/>
        <w:spacing w:line="360" w:lineRule="auto"/>
        <w:ind w:firstLine="480" w:firstLineChars="200"/>
        <w:rPr>
          <w:color w:val="auto"/>
        </w:rPr>
      </w:pPr>
      <w:r>
        <w:rPr>
          <w:rFonts w:hint="eastAsia"/>
          <w:color w:val="auto"/>
        </w:rPr>
        <w:t>（2）卷材生产线</w:t>
      </w:r>
      <w:r>
        <w:rPr>
          <w:color w:val="auto"/>
        </w:rPr>
        <w:t>冷却水</w:t>
      </w:r>
    </w:p>
    <w:p>
      <w:pPr>
        <w:pStyle w:val="32"/>
        <w:spacing w:line="360" w:lineRule="auto"/>
        <w:ind w:firstLine="480" w:firstLineChars="200"/>
        <w:rPr>
          <w:color w:val="auto"/>
        </w:rPr>
      </w:pPr>
      <w:r>
        <w:rPr>
          <w:color w:val="auto"/>
        </w:rPr>
        <w:t>本项目的</w:t>
      </w:r>
      <w:r>
        <w:rPr>
          <w:rFonts w:hint="eastAsia"/>
          <w:color w:val="auto"/>
        </w:rPr>
        <w:t>卷材生产线需要使用水进行冷却，冷却水循环使用，在冷却过程中，</w:t>
      </w:r>
      <w:r>
        <w:rPr>
          <w:color w:val="auto"/>
        </w:rPr>
        <w:t>由于存在蒸发、风吹等损失，故在日常生产中需适时补充</w:t>
      </w:r>
      <w:r>
        <w:rPr>
          <w:rFonts w:hint="eastAsia"/>
          <w:color w:val="auto"/>
        </w:rPr>
        <w:t>，不外排</w:t>
      </w:r>
      <w:r>
        <w:rPr>
          <w:color w:val="auto"/>
        </w:rPr>
        <w:t>。</w:t>
      </w:r>
      <w:r>
        <w:rPr>
          <w:rFonts w:hint="eastAsia"/>
          <w:color w:val="auto"/>
        </w:rPr>
        <w:t>故卷材生产线无废水外排。</w:t>
      </w:r>
    </w:p>
    <w:p>
      <w:pPr>
        <w:spacing w:line="360" w:lineRule="auto"/>
        <w:ind w:firstLine="480" w:firstLineChars="200"/>
        <w:rPr>
          <w:color w:val="auto"/>
          <w:sz w:val="24"/>
        </w:rPr>
      </w:pPr>
      <w:r>
        <w:rPr>
          <w:color w:val="auto"/>
          <w:sz w:val="24"/>
        </w:rPr>
        <w:t>（</w:t>
      </w:r>
      <w:r>
        <w:rPr>
          <w:rFonts w:hint="eastAsia"/>
          <w:color w:val="auto"/>
          <w:sz w:val="24"/>
        </w:rPr>
        <w:t>3</w:t>
      </w:r>
      <w:r>
        <w:rPr>
          <w:color w:val="auto"/>
          <w:sz w:val="24"/>
        </w:rPr>
        <w:t>）生活污水</w:t>
      </w:r>
    </w:p>
    <w:p>
      <w:pPr>
        <w:tabs>
          <w:tab w:val="left" w:pos="1081"/>
        </w:tabs>
        <w:spacing w:line="360" w:lineRule="auto"/>
        <w:ind w:firstLine="480" w:firstLineChars="200"/>
        <w:rPr>
          <w:color w:val="auto"/>
          <w:sz w:val="24"/>
        </w:rPr>
      </w:pPr>
      <w:r>
        <w:rPr>
          <w:rFonts w:hint="eastAsia"/>
          <w:color w:val="auto"/>
          <w:sz w:val="24"/>
        </w:rPr>
        <w:t>本</w:t>
      </w:r>
      <w:r>
        <w:rPr>
          <w:color w:val="auto"/>
          <w:sz w:val="24"/>
        </w:rPr>
        <w:t>项目</w:t>
      </w:r>
      <w:r>
        <w:rPr>
          <w:rFonts w:hint="eastAsia"/>
          <w:color w:val="auto"/>
          <w:sz w:val="24"/>
        </w:rPr>
        <w:t>迁建后共有</w:t>
      </w:r>
      <w:r>
        <w:rPr>
          <w:color w:val="auto"/>
          <w:sz w:val="24"/>
        </w:rPr>
        <w:t>员工</w:t>
      </w:r>
      <w:r>
        <w:rPr>
          <w:rFonts w:hint="eastAsia"/>
          <w:color w:val="auto"/>
          <w:sz w:val="24"/>
        </w:rPr>
        <w:t>60</w:t>
      </w:r>
      <w:r>
        <w:rPr>
          <w:color w:val="auto"/>
          <w:sz w:val="24"/>
        </w:rPr>
        <w:t>人，</w:t>
      </w:r>
      <w:r>
        <w:rPr>
          <w:rFonts w:hint="eastAsia"/>
          <w:color w:val="auto"/>
          <w:sz w:val="24"/>
        </w:rPr>
        <w:t>项目内不设食堂和宿舍，</w:t>
      </w:r>
      <w:r>
        <w:rPr>
          <w:color w:val="auto"/>
          <w:sz w:val="24"/>
        </w:rPr>
        <w:t>生活</w:t>
      </w:r>
      <w:r>
        <w:rPr>
          <w:rFonts w:hint="eastAsia"/>
          <w:color w:val="auto"/>
          <w:sz w:val="24"/>
        </w:rPr>
        <w:t>用</w:t>
      </w:r>
      <w:r>
        <w:rPr>
          <w:color w:val="auto"/>
          <w:sz w:val="24"/>
        </w:rPr>
        <w:t>水</w:t>
      </w:r>
      <w:r>
        <w:rPr>
          <w:rFonts w:hint="eastAsia"/>
          <w:color w:val="auto"/>
          <w:sz w:val="24"/>
        </w:rPr>
        <w:t>主要用于</w:t>
      </w:r>
      <w:r>
        <w:rPr>
          <w:color w:val="auto"/>
          <w:sz w:val="24"/>
        </w:rPr>
        <w:t>厂区人员日常</w:t>
      </w:r>
      <w:r>
        <w:rPr>
          <w:rFonts w:hint="eastAsia"/>
          <w:color w:val="auto"/>
          <w:sz w:val="24"/>
        </w:rPr>
        <w:t>冲便、洗手等。用水量</w:t>
      </w:r>
      <w:r>
        <w:rPr>
          <w:color w:val="auto"/>
          <w:sz w:val="24"/>
        </w:rPr>
        <w:t>根据《广东省用水定额》（DB44/T1461-2014），按0.04m</w:t>
      </w:r>
      <w:r>
        <w:rPr>
          <w:color w:val="auto"/>
          <w:sz w:val="24"/>
          <w:vertAlign w:val="superscript"/>
        </w:rPr>
        <w:t>3</w:t>
      </w:r>
      <w:r>
        <w:rPr>
          <w:color w:val="auto"/>
          <w:sz w:val="24"/>
        </w:rPr>
        <w:t>/（人</w:t>
      </w:r>
      <w:r>
        <w:rPr>
          <w:b/>
          <w:color w:val="auto"/>
          <w:sz w:val="24"/>
        </w:rPr>
        <w:t>·</w:t>
      </w:r>
      <w:r>
        <w:rPr>
          <w:color w:val="auto"/>
          <w:sz w:val="24"/>
        </w:rPr>
        <w:t>d）核算</w:t>
      </w:r>
      <w:r>
        <w:rPr>
          <w:bCs/>
          <w:color w:val="auto"/>
          <w:sz w:val="24"/>
        </w:rPr>
        <w:t>。</w:t>
      </w:r>
      <w:r>
        <w:rPr>
          <w:color w:val="auto"/>
          <w:sz w:val="24"/>
        </w:rPr>
        <w:t>本项目所排放的污水</w:t>
      </w:r>
      <w:r>
        <w:rPr>
          <w:rFonts w:hint="eastAsia"/>
          <w:color w:val="auto"/>
          <w:sz w:val="24"/>
        </w:rPr>
        <w:t>主要为员工的洗盥废水，</w:t>
      </w:r>
      <w:r>
        <w:rPr>
          <w:color w:val="auto"/>
          <w:sz w:val="24"/>
        </w:rPr>
        <w:t>属典型的城市生活污水，本次评价根据居民一般生活污水的水质情况进行评价</w:t>
      </w:r>
      <w:r>
        <w:rPr>
          <w:rFonts w:hint="eastAsia"/>
          <w:color w:val="auto"/>
          <w:sz w:val="24"/>
        </w:rPr>
        <w:t>。</w:t>
      </w:r>
      <w:r>
        <w:rPr>
          <w:color w:val="auto"/>
          <w:sz w:val="24"/>
        </w:rPr>
        <w:t>生活污水排污</w:t>
      </w:r>
      <w:r>
        <w:rPr>
          <w:bCs/>
          <w:color w:val="auto"/>
          <w:sz w:val="24"/>
        </w:rPr>
        <w:t>系数取值0.9。则项目营运期生活用水量为</w:t>
      </w:r>
      <w:r>
        <w:rPr>
          <w:rFonts w:hint="eastAsia"/>
          <w:bCs/>
          <w:color w:val="auto"/>
          <w:sz w:val="24"/>
        </w:rPr>
        <w:t>792</w:t>
      </w:r>
      <w:r>
        <w:rPr>
          <w:color w:val="auto"/>
          <w:sz w:val="24"/>
        </w:rPr>
        <w:t>m</w:t>
      </w:r>
      <w:r>
        <w:rPr>
          <w:color w:val="auto"/>
          <w:sz w:val="24"/>
          <w:vertAlign w:val="superscript"/>
        </w:rPr>
        <w:t>3</w:t>
      </w:r>
      <w:r>
        <w:rPr>
          <w:bCs/>
          <w:color w:val="auto"/>
          <w:sz w:val="24"/>
        </w:rPr>
        <w:t>/a（</w:t>
      </w:r>
      <w:r>
        <w:rPr>
          <w:rFonts w:hint="eastAsia"/>
          <w:bCs/>
          <w:color w:val="auto"/>
          <w:sz w:val="24"/>
        </w:rPr>
        <w:t>2.475</w:t>
      </w:r>
      <w:r>
        <w:rPr>
          <w:color w:val="auto"/>
          <w:sz w:val="24"/>
        </w:rPr>
        <w:t>m</w:t>
      </w:r>
      <w:r>
        <w:rPr>
          <w:color w:val="auto"/>
          <w:sz w:val="24"/>
          <w:vertAlign w:val="superscript"/>
        </w:rPr>
        <w:t>3</w:t>
      </w:r>
      <w:r>
        <w:rPr>
          <w:bCs/>
          <w:color w:val="auto"/>
          <w:sz w:val="24"/>
        </w:rPr>
        <w:t>/d），污水产生量为</w:t>
      </w:r>
      <w:r>
        <w:rPr>
          <w:rFonts w:hint="eastAsia"/>
          <w:bCs/>
          <w:color w:val="auto"/>
          <w:sz w:val="24"/>
        </w:rPr>
        <w:t>712.8</w:t>
      </w:r>
      <w:r>
        <w:rPr>
          <w:color w:val="auto"/>
          <w:sz w:val="24"/>
        </w:rPr>
        <w:t>m</w:t>
      </w:r>
      <w:r>
        <w:rPr>
          <w:color w:val="auto"/>
          <w:sz w:val="24"/>
          <w:vertAlign w:val="superscript"/>
        </w:rPr>
        <w:t>3</w:t>
      </w:r>
      <w:r>
        <w:rPr>
          <w:bCs/>
          <w:color w:val="auto"/>
          <w:sz w:val="24"/>
        </w:rPr>
        <w:t>/a（</w:t>
      </w:r>
      <w:r>
        <w:rPr>
          <w:rFonts w:hint="eastAsia"/>
          <w:bCs/>
          <w:color w:val="auto"/>
          <w:sz w:val="24"/>
        </w:rPr>
        <w:t>2.16</w:t>
      </w:r>
      <w:r>
        <w:rPr>
          <w:color w:val="auto"/>
          <w:sz w:val="24"/>
        </w:rPr>
        <w:t>m</w:t>
      </w:r>
      <w:r>
        <w:rPr>
          <w:color w:val="auto"/>
          <w:sz w:val="24"/>
          <w:vertAlign w:val="superscript"/>
        </w:rPr>
        <w:t>3</w:t>
      </w:r>
      <w:r>
        <w:rPr>
          <w:bCs/>
          <w:color w:val="auto"/>
          <w:sz w:val="24"/>
        </w:rPr>
        <w:t>/d）。</w:t>
      </w:r>
      <w:r>
        <w:rPr>
          <w:color w:val="auto"/>
          <w:sz w:val="24"/>
        </w:rPr>
        <w:t>项目在污水处理厂纳污范围内，生活污水经三级化粪池预处理达到广东省地方标准《水污染物排放限值》（DB44/26-2001）第二时段三级标准及石角污水处理厂进水水质标准较严值后经</w:t>
      </w:r>
      <w:r>
        <w:rPr>
          <w:rFonts w:hint="eastAsia"/>
          <w:color w:val="auto"/>
          <w:sz w:val="24"/>
        </w:rPr>
        <w:t>市政</w:t>
      </w:r>
      <w:r>
        <w:rPr>
          <w:color w:val="auto"/>
          <w:sz w:val="24"/>
        </w:rPr>
        <w:t>管网进入</w:t>
      </w:r>
      <w:r>
        <w:rPr>
          <w:rFonts w:hint="eastAsia"/>
          <w:color w:val="auto"/>
          <w:sz w:val="24"/>
        </w:rPr>
        <w:t>石角</w:t>
      </w:r>
      <w:r>
        <w:rPr>
          <w:color w:val="auto"/>
          <w:sz w:val="24"/>
        </w:rPr>
        <w:t>污水处理厂</w:t>
      </w:r>
      <w:r>
        <w:rPr>
          <w:rFonts w:hint="eastAsia"/>
          <w:color w:val="auto"/>
          <w:sz w:val="24"/>
        </w:rPr>
        <w:t>集中处理</w:t>
      </w:r>
      <w:r>
        <w:rPr>
          <w:color w:val="auto"/>
          <w:sz w:val="24"/>
        </w:rPr>
        <w:t>，</w:t>
      </w:r>
      <w:r>
        <w:rPr>
          <w:rFonts w:hint="eastAsia"/>
          <w:color w:val="auto"/>
          <w:sz w:val="24"/>
        </w:rPr>
        <w:t>最后尾水达标排入</w:t>
      </w:r>
      <w:r>
        <w:rPr>
          <w:color w:val="auto"/>
          <w:sz w:val="24"/>
        </w:rPr>
        <w:t>沙埗溪。</w:t>
      </w:r>
      <w:r>
        <w:rPr>
          <w:color w:val="auto"/>
          <w:sz w:val="24"/>
          <w:shd w:val="clear" w:color="auto" w:fill="FFFFFF"/>
        </w:rPr>
        <w:t>生活污水污染物产生浓度及产生量见</w:t>
      </w:r>
      <w:r>
        <w:rPr>
          <w:color w:val="auto"/>
          <w:sz w:val="24"/>
        </w:rPr>
        <w:t>下表。</w:t>
      </w:r>
    </w:p>
    <w:p>
      <w:pPr>
        <w:spacing w:line="480" w:lineRule="exact"/>
        <w:jc w:val="center"/>
        <w:rPr>
          <w:b/>
          <w:bCs/>
          <w:color w:val="auto"/>
          <w:szCs w:val="21"/>
        </w:rPr>
      </w:pPr>
      <w:r>
        <w:rPr>
          <w:b/>
          <w:color w:val="auto"/>
          <w:szCs w:val="21"/>
        </w:rPr>
        <w:t>表4.5-</w:t>
      </w:r>
      <w:r>
        <w:rPr>
          <w:rFonts w:hint="eastAsia"/>
          <w:b/>
          <w:color w:val="auto"/>
          <w:szCs w:val="21"/>
        </w:rPr>
        <w:t>3</w:t>
      </w:r>
      <w:r>
        <w:rPr>
          <w:b/>
          <w:color w:val="auto"/>
          <w:szCs w:val="21"/>
        </w:rPr>
        <w:t xml:space="preserve">  本项目</w:t>
      </w:r>
      <w:r>
        <w:rPr>
          <w:b/>
          <w:bCs/>
          <w:color w:val="auto"/>
          <w:szCs w:val="21"/>
        </w:rPr>
        <w:t>生活污水污染物产排情况</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Layout w:type="fixed"/>
        <w:tblCellMar>
          <w:top w:w="0" w:type="dxa"/>
          <w:left w:w="108" w:type="dxa"/>
          <w:bottom w:w="0" w:type="dxa"/>
          <w:right w:w="108" w:type="dxa"/>
        </w:tblCellMar>
      </w:tblPr>
      <w:tblGrid>
        <w:gridCol w:w="1932"/>
        <w:gridCol w:w="2564"/>
        <w:gridCol w:w="1113"/>
        <w:gridCol w:w="1113"/>
        <w:gridCol w:w="1113"/>
        <w:gridCol w:w="1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932" w:type="dxa"/>
            <w:tcBorders>
              <w:tl2br w:val="nil"/>
              <w:tr2bl w:val="nil"/>
            </w:tcBorders>
            <w:vAlign w:val="center"/>
          </w:tcPr>
          <w:p>
            <w:pPr>
              <w:pStyle w:val="54"/>
              <w:spacing w:line="300" w:lineRule="auto"/>
              <w:rPr>
                <w:color w:val="auto"/>
                <w:sz w:val="21"/>
                <w:szCs w:val="21"/>
              </w:rPr>
            </w:pPr>
            <w:r>
              <w:rPr>
                <w:color w:val="auto"/>
                <w:sz w:val="21"/>
                <w:szCs w:val="21"/>
              </w:rPr>
              <w:t>污染源</w:t>
            </w:r>
          </w:p>
        </w:tc>
        <w:tc>
          <w:tcPr>
            <w:tcW w:w="2564" w:type="dxa"/>
            <w:tcBorders>
              <w:tl2br w:val="nil"/>
              <w:tr2bl w:val="nil"/>
            </w:tcBorders>
            <w:vAlign w:val="center"/>
          </w:tcPr>
          <w:p>
            <w:pPr>
              <w:pStyle w:val="54"/>
              <w:spacing w:line="300" w:lineRule="auto"/>
              <w:rPr>
                <w:color w:val="auto"/>
                <w:sz w:val="21"/>
                <w:szCs w:val="21"/>
              </w:rPr>
            </w:pPr>
            <w:r>
              <w:rPr>
                <w:color w:val="auto"/>
                <w:sz w:val="21"/>
                <w:szCs w:val="21"/>
              </w:rPr>
              <w:t>污染因子</w:t>
            </w:r>
          </w:p>
        </w:tc>
        <w:tc>
          <w:tcPr>
            <w:tcW w:w="1113" w:type="dxa"/>
            <w:tcBorders>
              <w:tl2br w:val="nil"/>
              <w:tr2bl w:val="nil"/>
            </w:tcBorders>
            <w:vAlign w:val="center"/>
          </w:tcPr>
          <w:p>
            <w:pPr>
              <w:pStyle w:val="54"/>
              <w:spacing w:line="300" w:lineRule="auto"/>
              <w:rPr>
                <w:color w:val="auto"/>
                <w:sz w:val="21"/>
                <w:szCs w:val="21"/>
              </w:rPr>
            </w:pPr>
            <w:r>
              <w:rPr>
                <w:color w:val="auto"/>
                <w:sz w:val="21"/>
                <w:szCs w:val="21"/>
              </w:rPr>
              <w:t>COD</w:t>
            </w:r>
            <w:r>
              <w:rPr>
                <w:color w:val="auto"/>
                <w:sz w:val="21"/>
                <w:szCs w:val="21"/>
                <w:vertAlign w:val="subscript"/>
              </w:rPr>
              <w:t>Cr</w:t>
            </w:r>
          </w:p>
        </w:tc>
        <w:tc>
          <w:tcPr>
            <w:tcW w:w="1113" w:type="dxa"/>
            <w:tcBorders>
              <w:tl2br w:val="nil"/>
              <w:tr2bl w:val="nil"/>
            </w:tcBorders>
            <w:vAlign w:val="center"/>
          </w:tcPr>
          <w:p>
            <w:pPr>
              <w:pStyle w:val="54"/>
              <w:spacing w:line="300" w:lineRule="auto"/>
              <w:rPr>
                <w:color w:val="auto"/>
                <w:sz w:val="21"/>
                <w:szCs w:val="21"/>
              </w:rPr>
            </w:pPr>
            <w:r>
              <w:rPr>
                <w:color w:val="auto"/>
                <w:sz w:val="21"/>
                <w:szCs w:val="21"/>
              </w:rPr>
              <w:t>BOD</w:t>
            </w:r>
            <w:r>
              <w:rPr>
                <w:color w:val="auto"/>
                <w:sz w:val="21"/>
                <w:szCs w:val="21"/>
                <w:vertAlign w:val="subscript"/>
              </w:rPr>
              <w:t>5</w:t>
            </w:r>
          </w:p>
        </w:tc>
        <w:tc>
          <w:tcPr>
            <w:tcW w:w="1113" w:type="dxa"/>
            <w:tcBorders>
              <w:tl2br w:val="nil"/>
              <w:tr2bl w:val="nil"/>
            </w:tcBorders>
            <w:vAlign w:val="center"/>
          </w:tcPr>
          <w:p>
            <w:pPr>
              <w:pStyle w:val="54"/>
              <w:spacing w:line="300" w:lineRule="auto"/>
              <w:rPr>
                <w:color w:val="auto"/>
                <w:sz w:val="21"/>
                <w:szCs w:val="21"/>
              </w:rPr>
            </w:pPr>
            <w:r>
              <w:rPr>
                <w:color w:val="auto"/>
                <w:sz w:val="21"/>
                <w:szCs w:val="21"/>
              </w:rPr>
              <w:t>氨氮</w:t>
            </w:r>
          </w:p>
        </w:tc>
        <w:tc>
          <w:tcPr>
            <w:tcW w:w="1113" w:type="dxa"/>
            <w:tcBorders>
              <w:tl2br w:val="nil"/>
              <w:tr2bl w:val="nil"/>
            </w:tcBorders>
            <w:vAlign w:val="center"/>
          </w:tcPr>
          <w:p>
            <w:pPr>
              <w:pStyle w:val="54"/>
              <w:spacing w:line="300" w:lineRule="auto"/>
              <w:rPr>
                <w:color w:val="auto"/>
                <w:sz w:val="21"/>
                <w:szCs w:val="21"/>
              </w:rPr>
            </w:pPr>
            <w:r>
              <w:rPr>
                <w:color w:val="auto"/>
                <w:sz w:val="21"/>
                <w:szCs w:val="21"/>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932" w:type="dxa"/>
            <w:vMerge w:val="restart"/>
            <w:tcBorders>
              <w:tl2br w:val="nil"/>
              <w:tr2bl w:val="nil"/>
            </w:tcBorders>
            <w:vAlign w:val="center"/>
          </w:tcPr>
          <w:p>
            <w:pPr>
              <w:pStyle w:val="54"/>
              <w:spacing w:line="300" w:lineRule="auto"/>
              <w:rPr>
                <w:color w:val="auto"/>
                <w:sz w:val="21"/>
                <w:szCs w:val="21"/>
              </w:rPr>
            </w:pPr>
            <w:r>
              <w:rPr>
                <w:color w:val="auto"/>
                <w:sz w:val="21"/>
                <w:szCs w:val="21"/>
              </w:rPr>
              <w:t>生活污水</w:t>
            </w:r>
          </w:p>
          <w:p>
            <w:pPr>
              <w:widowControl/>
              <w:tabs>
                <w:tab w:val="left" w:pos="1081"/>
              </w:tabs>
              <w:spacing w:line="300" w:lineRule="auto"/>
              <w:jc w:val="center"/>
              <w:rPr>
                <w:bCs/>
                <w:color w:val="auto"/>
                <w:szCs w:val="21"/>
              </w:rPr>
            </w:pPr>
            <w:r>
              <w:rPr>
                <w:color w:val="auto"/>
                <w:szCs w:val="21"/>
              </w:rPr>
              <w:t>产生量</w:t>
            </w:r>
            <w:r>
              <w:rPr>
                <w:rFonts w:hint="eastAsia"/>
                <w:bCs/>
                <w:color w:val="auto"/>
                <w:szCs w:val="21"/>
              </w:rPr>
              <w:t>712.8</w:t>
            </w:r>
            <w:r>
              <w:rPr>
                <w:color w:val="auto"/>
                <w:szCs w:val="21"/>
              </w:rPr>
              <w:t>m</w:t>
            </w:r>
            <w:r>
              <w:rPr>
                <w:color w:val="auto"/>
                <w:szCs w:val="21"/>
                <w:vertAlign w:val="superscript"/>
              </w:rPr>
              <w:t>3</w:t>
            </w:r>
            <w:r>
              <w:rPr>
                <w:bCs/>
                <w:color w:val="auto"/>
                <w:szCs w:val="21"/>
              </w:rPr>
              <w:t>/a（</w:t>
            </w:r>
            <w:r>
              <w:rPr>
                <w:rFonts w:hint="eastAsia"/>
                <w:bCs/>
                <w:color w:val="auto"/>
                <w:szCs w:val="21"/>
              </w:rPr>
              <w:t>2.16</w:t>
            </w:r>
            <w:r>
              <w:rPr>
                <w:color w:val="auto"/>
                <w:szCs w:val="21"/>
              </w:rPr>
              <w:t>m</w:t>
            </w:r>
            <w:r>
              <w:rPr>
                <w:color w:val="auto"/>
                <w:szCs w:val="21"/>
                <w:vertAlign w:val="superscript"/>
              </w:rPr>
              <w:t>3</w:t>
            </w:r>
            <w:r>
              <w:rPr>
                <w:bCs/>
                <w:color w:val="auto"/>
                <w:szCs w:val="21"/>
              </w:rPr>
              <w:t>/d）</w:t>
            </w:r>
          </w:p>
        </w:tc>
        <w:tc>
          <w:tcPr>
            <w:tcW w:w="2564" w:type="dxa"/>
            <w:tcBorders>
              <w:tl2br w:val="nil"/>
              <w:tr2bl w:val="nil"/>
            </w:tcBorders>
            <w:vAlign w:val="center"/>
          </w:tcPr>
          <w:p>
            <w:pPr>
              <w:pStyle w:val="54"/>
              <w:spacing w:line="300" w:lineRule="auto"/>
              <w:rPr>
                <w:color w:val="auto"/>
                <w:sz w:val="21"/>
                <w:szCs w:val="21"/>
              </w:rPr>
            </w:pPr>
            <w:r>
              <w:rPr>
                <w:color w:val="auto"/>
                <w:sz w:val="21"/>
                <w:szCs w:val="21"/>
              </w:rPr>
              <w:t>生活污水污染物产生浓度(mg/L)</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300</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200</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28</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932" w:type="dxa"/>
            <w:vMerge w:val="continue"/>
            <w:tcBorders>
              <w:tl2br w:val="nil"/>
              <w:tr2bl w:val="nil"/>
            </w:tcBorders>
            <w:vAlign w:val="center"/>
          </w:tcPr>
          <w:p>
            <w:pPr>
              <w:widowControl/>
              <w:tabs>
                <w:tab w:val="left" w:pos="1081"/>
              </w:tabs>
              <w:spacing w:line="300" w:lineRule="auto"/>
              <w:jc w:val="center"/>
              <w:rPr>
                <w:color w:val="auto"/>
                <w:szCs w:val="21"/>
              </w:rPr>
            </w:pPr>
          </w:p>
        </w:tc>
        <w:tc>
          <w:tcPr>
            <w:tcW w:w="2564" w:type="dxa"/>
            <w:tcBorders>
              <w:tl2br w:val="nil"/>
              <w:tr2bl w:val="nil"/>
            </w:tcBorders>
            <w:vAlign w:val="center"/>
          </w:tcPr>
          <w:p>
            <w:pPr>
              <w:pStyle w:val="54"/>
              <w:spacing w:line="300" w:lineRule="auto"/>
              <w:rPr>
                <w:color w:val="auto"/>
                <w:sz w:val="21"/>
                <w:szCs w:val="21"/>
              </w:rPr>
            </w:pPr>
            <w:r>
              <w:rPr>
                <w:color w:val="auto"/>
                <w:sz w:val="21"/>
                <w:szCs w:val="21"/>
              </w:rPr>
              <w:t>产生量（t/a）</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0.2138 </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0.1426 </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0.0200 </w:t>
            </w:r>
          </w:p>
        </w:tc>
        <w:tc>
          <w:tcPr>
            <w:tcW w:w="111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0.2138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932" w:type="dxa"/>
            <w:vMerge w:val="restart"/>
            <w:tcBorders>
              <w:tl2br w:val="nil"/>
              <w:tr2bl w:val="nil"/>
            </w:tcBorders>
            <w:vAlign w:val="center"/>
          </w:tcPr>
          <w:p>
            <w:pPr>
              <w:pStyle w:val="54"/>
              <w:spacing w:line="300" w:lineRule="auto"/>
              <w:rPr>
                <w:color w:val="auto"/>
                <w:sz w:val="21"/>
                <w:szCs w:val="21"/>
              </w:rPr>
            </w:pPr>
            <w:r>
              <w:rPr>
                <w:color w:val="auto"/>
                <w:sz w:val="21"/>
                <w:szCs w:val="21"/>
              </w:rPr>
              <w:t>生活污水</w:t>
            </w:r>
          </w:p>
          <w:p>
            <w:pPr>
              <w:pStyle w:val="54"/>
              <w:spacing w:line="300" w:lineRule="auto"/>
              <w:rPr>
                <w:color w:val="auto"/>
                <w:sz w:val="21"/>
                <w:szCs w:val="21"/>
              </w:rPr>
            </w:pPr>
            <w:r>
              <w:rPr>
                <w:rFonts w:hint="eastAsia"/>
                <w:bCs/>
                <w:color w:val="auto"/>
                <w:sz w:val="21"/>
                <w:szCs w:val="21"/>
              </w:rPr>
              <w:t>712.8</w:t>
            </w:r>
            <w:r>
              <w:rPr>
                <w:color w:val="auto"/>
                <w:sz w:val="21"/>
                <w:szCs w:val="21"/>
              </w:rPr>
              <w:t>m</w:t>
            </w:r>
            <w:r>
              <w:rPr>
                <w:color w:val="auto"/>
                <w:sz w:val="21"/>
                <w:szCs w:val="21"/>
                <w:vertAlign w:val="superscript"/>
              </w:rPr>
              <w:t>3</w:t>
            </w:r>
            <w:r>
              <w:rPr>
                <w:bCs/>
                <w:color w:val="auto"/>
                <w:sz w:val="21"/>
                <w:szCs w:val="21"/>
              </w:rPr>
              <w:t>/a（</w:t>
            </w:r>
            <w:r>
              <w:rPr>
                <w:rFonts w:hint="eastAsia"/>
                <w:bCs/>
                <w:color w:val="auto"/>
                <w:sz w:val="21"/>
                <w:szCs w:val="21"/>
              </w:rPr>
              <w:t>2.16</w:t>
            </w:r>
            <w:r>
              <w:rPr>
                <w:color w:val="auto"/>
                <w:sz w:val="21"/>
                <w:szCs w:val="21"/>
              </w:rPr>
              <w:t>m</w:t>
            </w:r>
            <w:r>
              <w:rPr>
                <w:color w:val="auto"/>
                <w:sz w:val="21"/>
                <w:szCs w:val="21"/>
                <w:vertAlign w:val="superscript"/>
              </w:rPr>
              <w:t>3</w:t>
            </w:r>
            <w:r>
              <w:rPr>
                <w:bCs/>
                <w:color w:val="auto"/>
                <w:sz w:val="21"/>
                <w:szCs w:val="21"/>
              </w:rPr>
              <w:t>/d）</w:t>
            </w:r>
          </w:p>
        </w:tc>
        <w:tc>
          <w:tcPr>
            <w:tcW w:w="2564" w:type="dxa"/>
            <w:tcBorders>
              <w:tl2br w:val="nil"/>
              <w:tr2bl w:val="nil"/>
            </w:tcBorders>
            <w:vAlign w:val="center"/>
          </w:tcPr>
          <w:p>
            <w:pPr>
              <w:pStyle w:val="54"/>
              <w:spacing w:line="300" w:lineRule="auto"/>
              <w:rPr>
                <w:color w:val="auto"/>
                <w:sz w:val="21"/>
                <w:szCs w:val="21"/>
              </w:rPr>
            </w:pPr>
            <w:r>
              <w:rPr>
                <w:color w:val="auto"/>
                <w:sz w:val="21"/>
                <w:szCs w:val="21"/>
              </w:rPr>
              <w:t>生活污水排放</w:t>
            </w:r>
          </w:p>
          <w:p>
            <w:pPr>
              <w:pStyle w:val="54"/>
              <w:spacing w:line="300" w:lineRule="auto"/>
              <w:rPr>
                <w:color w:val="auto"/>
                <w:sz w:val="21"/>
                <w:szCs w:val="21"/>
              </w:rPr>
            </w:pPr>
            <w:r>
              <w:rPr>
                <w:color w:val="auto"/>
                <w:sz w:val="21"/>
                <w:szCs w:val="21"/>
              </w:rPr>
              <w:t>标准值(mg/L)</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280</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180</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20</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932" w:type="dxa"/>
            <w:vMerge w:val="continue"/>
            <w:tcBorders>
              <w:tl2br w:val="nil"/>
              <w:tr2bl w:val="nil"/>
            </w:tcBorders>
            <w:vAlign w:val="center"/>
          </w:tcPr>
          <w:p>
            <w:pPr>
              <w:widowControl/>
              <w:tabs>
                <w:tab w:val="left" w:pos="1081"/>
              </w:tabs>
              <w:spacing w:line="300" w:lineRule="auto"/>
              <w:jc w:val="center"/>
              <w:rPr>
                <w:color w:val="auto"/>
                <w:szCs w:val="21"/>
              </w:rPr>
            </w:pPr>
          </w:p>
        </w:tc>
        <w:tc>
          <w:tcPr>
            <w:tcW w:w="2564" w:type="dxa"/>
            <w:tcBorders>
              <w:tl2br w:val="nil"/>
              <w:tr2bl w:val="nil"/>
            </w:tcBorders>
            <w:vAlign w:val="center"/>
          </w:tcPr>
          <w:p>
            <w:pPr>
              <w:pStyle w:val="54"/>
              <w:spacing w:line="300" w:lineRule="auto"/>
              <w:rPr>
                <w:color w:val="auto"/>
                <w:sz w:val="21"/>
                <w:szCs w:val="21"/>
              </w:rPr>
            </w:pPr>
            <w:r>
              <w:rPr>
                <w:color w:val="auto"/>
                <w:sz w:val="21"/>
                <w:szCs w:val="21"/>
              </w:rPr>
              <w:t>排放量（t/a）</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 xml:space="preserve">0.1996 </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 xml:space="preserve">0.1283 </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 xml:space="preserve">0.0143 </w:t>
            </w:r>
          </w:p>
        </w:tc>
        <w:tc>
          <w:tcPr>
            <w:tcW w:w="111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 xml:space="preserve">0.1426 </w:t>
            </w:r>
          </w:p>
        </w:tc>
      </w:tr>
    </w:tbl>
    <w:p>
      <w:pPr>
        <w:pStyle w:val="32"/>
        <w:spacing w:line="360" w:lineRule="auto"/>
        <w:ind w:firstLine="480" w:firstLineChars="200"/>
        <w:rPr>
          <w:color w:val="auto"/>
        </w:rPr>
      </w:pPr>
      <w:r>
        <w:rPr>
          <w:color w:val="auto"/>
        </w:rPr>
        <w:t>2、废气污染物源强分析</w:t>
      </w:r>
    </w:p>
    <w:p>
      <w:pPr>
        <w:pStyle w:val="32"/>
        <w:spacing w:line="360" w:lineRule="auto"/>
        <w:ind w:firstLine="480" w:firstLineChars="200"/>
        <w:rPr>
          <w:color w:val="auto"/>
        </w:rPr>
      </w:pPr>
      <w:r>
        <w:rPr>
          <w:color w:val="auto"/>
        </w:rPr>
        <w:t>由上文的产污环节分析可知，本项目主要废气主要有</w:t>
      </w:r>
      <w:r>
        <w:rPr>
          <w:rFonts w:hint="eastAsia"/>
          <w:color w:val="auto"/>
        </w:rPr>
        <w:t>颗粒物、苯并[a]芘、沥青烟和</w:t>
      </w:r>
      <w:r>
        <w:rPr>
          <w:color w:val="auto"/>
        </w:rPr>
        <w:t>非甲烷总烃。其中颗粒物主要来自于湿式破碎生产线的一破工序和卷材生产线的配料工序。苯并[a]芘、沥青烟和非甲烷总烃主要来自于卷材生产线的配料、预浸、浸涂、覆膜和冷却工序。</w:t>
      </w:r>
      <w:r>
        <w:rPr>
          <w:rFonts w:hint="eastAsia"/>
          <w:color w:val="auto"/>
        </w:rPr>
        <w:t>此外，项目的沥青罐和软化油罐的小呼吸也会产生非甲烷总烃。</w:t>
      </w:r>
      <w:r>
        <w:rPr>
          <w:color w:val="auto"/>
        </w:rPr>
        <w:t>本报告将有针对</w:t>
      </w:r>
      <w:r>
        <w:rPr>
          <w:rFonts w:hint="eastAsia"/>
          <w:color w:val="auto"/>
        </w:rPr>
        <w:t>性</w:t>
      </w:r>
      <w:r>
        <w:rPr>
          <w:color w:val="auto"/>
        </w:rPr>
        <w:t>地对其一一展开分析。</w:t>
      </w:r>
    </w:p>
    <w:p>
      <w:pPr>
        <w:spacing w:line="360" w:lineRule="auto"/>
        <w:ind w:firstLine="480" w:firstLineChars="200"/>
        <w:jc w:val="left"/>
        <w:rPr>
          <w:color w:val="auto"/>
          <w:kern w:val="0"/>
          <w:sz w:val="24"/>
        </w:rPr>
      </w:pPr>
      <w:r>
        <w:rPr>
          <w:color w:val="auto"/>
          <w:kern w:val="0"/>
          <w:sz w:val="24"/>
        </w:rPr>
        <w:t>（1）颗粒物</w:t>
      </w:r>
    </w:p>
    <w:p>
      <w:pPr>
        <w:autoSpaceDE w:val="0"/>
        <w:autoSpaceDN w:val="0"/>
        <w:spacing w:line="360" w:lineRule="auto"/>
        <w:ind w:firstLine="520" w:firstLineChars="217"/>
        <w:rPr>
          <w:color w:val="auto"/>
          <w:kern w:val="0"/>
          <w:sz w:val="24"/>
        </w:rPr>
      </w:pPr>
      <w:r>
        <w:rPr>
          <w:color w:val="auto"/>
          <w:kern w:val="0"/>
          <w:sz w:val="24"/>
        </w:rPr>
        <w:t>①</w:t>
      </w:r>
      <w:r>
        <w:rPr>
          <w:color w:val="auto"/>
          <w:sz w:val="24"/>
        </w:rPr>
        <w:t>湿式破碎生产线的一破工序产生的粉尘</w:t>
      </w:r>
    </w:p>
    <w:p>
      <w:pPr>
        <w:autoSpaceDE w:val="0"/>
        <w:autoSpaceDN w:val="0"/>
        <w:spacing w:line="360" w:lineRule="auto"/>
        <w:ind w:firstLine="520" w:firstLineChars="217"/>
        <w:rPr>
          <w:color w:val="auto"/>
          <w:sz w:val="24"/>
        </w:rPr>
      </w:pPr>
      <w:r>
        <w:rPr>
          <w:color w:val="auto"/>
          <w:sz w:val="24"/>
        </w:rPr>
        <w:t>项目的湿式破碎生产线的一破工序主要将回收回来的覆铜板直接破碎，在破碎的过程中将有粉尘产生，其污染因子为颗粒物。</w:t>
      </w:r>
    </w:p>
    <w:p>
      <w:pPr>
        <w:autoSpaceDE w:val="0"/>
        <w:autoSpaceDN w:val="0"/>
        <w:spacing w:line="360" w:lineRule="auto"/>
        <w:ind w:firstLine="520" w:firstLineChars="217"/>
        <w:rPr>
          <w:color w:val="auto"/>
          <w:sz w:val="24"/>
        </w:rPr>
      </w:pPr>
      <w:r>
        <w:rPr>
          <w:color w:val="auto"/>
          <w:sz w:val="24"/>
        </w:rPr>
        <w:t>破碎时粉尘的产生量参考同</w:t>
      </w:r>
      <w:r>
        <w:rPr>
          <w:rFonts w:hint="eastAsia"/>
          <w:color w:val="auto"/>
          <w:sz w:val="24"/>
        </w:rPr>
        <w:t>类工艺项目</w:t>
      </w:r>
      <w:r>
        <w:rPr>
          <w:color w:val="auto"/>
          <w:sz w:val="24"/>
        </w:rPr>
        <w:t>《清远市民典金属塑料有限公司年回收处理0.8万吨废印刷电路板改建项目》</w:t>
      </w:r>
      <w:r>
        <w:rPr>
          <w:rFonts w:hint="eastAsia"/>
          <w:color w:val="auto"/>
          <w:sz w:val="24"/>
        </w:rPr>
        <w:t>。该项目于2012年8月取得清远市环境保护局的批复（批复文号：清环[2012]273号），于2012年9月7日通过环保验收（清环验[2012]131号）。</w:t>
      </w:r>
      <w:r>
        <w:rPr>
          <w:color w:val="auto"/>
          <w:sz w:val="24"/>
        </w:rPr>
        <w:t>清远市民典金属塑料有限公司现有项目</w:t>
      </w:r>
      <w:r>
        <w:rPr>
          <w:rFonts w:hint="eastAsia"/>
          <w:color w:val="auto"/>
          <w:sz w:val="24"/>
        </w:rPr>
        <w:t>中废覆铜板湿式破碎线的主要工艺为破碎和水力摇床分选，处理能力为1.2万吨/年。由于该公司的生产工艺与本项目基本相同，故可选取其废覆铜板湿式破碎线的颗粒物产生数据作为参考。该项目湿式破碎线的近期</w:t>
      </w:r>
      <w:r>
        <w:rPr>
          <w:color w:val="auto"/>
          <w:sz w:val="24"/>
        </w:rPr>
        <w:t>监测结果</w:t>
      </w:r>
      <w:r>
        <w:rPr>
          <w:rFonts w:hint="eastAsia"/>
          <w:color w:val="auto"/>
          <w:sz w:val="24"/>
        </w:rPr>
        <w:t>如下表。</w:t>
      </w:r>
    </w:p>
    <w:p>
      <w:pPr>
        <w:autoSpaceDE w:val="0"/>
        <w:autoSpaceDN w:val="0"/>
        <w:spacing w:line="360" w:lineRule="auto"/>
        <w:ind w:firstLine="457" w:firstLineChars="217"/>
        <w:jc w:val="center"/>
        <w:rPr>
          <w:b/>
          <w:color w:val="auto"/>
          <w:szCs w:val="21"/>
        </w:rPr>
      </w:pPr>
      <w:r>
        <w:rPr>
          <w:rFonts w:hint="eastAsia"/>
          <w:b/>
          <w:color w:val="auto"/>
          <w:szCs w:val="21"/>
        </w:rPr>
        <w:t>表4.5-4  民典公司废覆铜板湿式破碎线颗粒物产排情况实测结果</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069"/>
        <w:gridCol w:w="1200"/>
        <w:gridCol w:w="1178"/>
        <w:gridCol w:w="993"/>
        <w:gridCol w:w="1102"/>
        <w:gridCol w:w="1189"/>
        <w:gridCol w:w="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vMerge w:val="restart"/>
            <w:vAlign w:val="center"/>
          </w:tcPr>
          <w:p>
            <w:pPr>
              <w:autoSpaceDE w:val="0"/>
              <w:autoSpaceDN w:val="0"/>
              <w:jc w:val="center"/>
              <w:rPr>
                <w:color w:val="auto"/>
                <w:szCs w:val="21"/>
              </w:rPr>
            </w:pPr>
            <w:r>
              <w:rPr>
                <w:rFonts w:hint="eastAsia"/>
                <w:color w:val="auto"/>
                <w:szCs w:val="21"/>
              </w:rPr>
              <w:t>采样位置</w:t>
            </w:r>
          </w:p>
        </w:tc>
        <w:tc>
          <w:tcPr>
            <w:tcW w:w="1069" w:type="dxa"/>
            <w:vMerge w:val="restart"/>
            <w:vAlign w:val="center"/>
          </w:tcPr>
          <w:p>
            <w:pPr>
              <w:autoSpaceDE w:val="0"/>
              <w:autoSpaceDN w:val="0"/>
              <w:jc w:val="center"/>
              <w:rPr>
                <w:color w:val="auto"/>
                <w:szCs w:val="21"/>
              </w:rPr>
            </w:pPr>
            <w:r>
              <w:rPr>
                <w:rFonts w:hint="eastAsia"/>
                <w:color w:val="auto"/>
                <w:szCs w:val="21"/>
              </w:rPr>
              <w:t>监测项目</w:t>
            </w:r>
          </w:p>
        </w:tc>
        <w:tc>
          <w:tcPr>
            <w:tcW w:w="6623" w:type="dxa"/>
            <w:gridSpan w:val="6"/>
            <w:vAlign w:val="center"/>
          </w:tcPr>
          <w:p>
            <w:pPr>
              <w:autoSpaceDE w:val="0"/>
              <w:autoSpaceDN w:val="0"/>
              <w:jc w:val="center"/>
              <w:rPr>
                <w:color w:val="auto"/>
                <w:szCs w:val="21"/>
              </w:rPr>
            </w:pPr>
            <w:r>
              <w:rPr>
                <w:rFonts w:hint="eastAsia"/>
                <w:color w:val="auto"/>
                <w:szCs w:val="21"/>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vMerge w:val="continue"/>
            <w:vAlign w:val="center"/>
          </w:tcPr>
          <w:p>
            <w:pPr>
              <w:autoSpaceDE w:val="0"/>
              <w:autoSpaceDN w:val="0"/>
              <w:jc w:val="center"/>
              <w:rPr>
                <w:color w:val="auto"/>
                <w:szCs w:val="21"/>
              </w:rPr>
            </w:pPr>
          </w:p>
        </w:tc>
        <w:tc>
          <w:tcPr>
            <w:tcW w:w="1069" w:type="dxa"/>
            <w:vMerge w:val="continue"/>
            <w:vAlign w:val="center"/>
          </w:tcPr>
          <w:p>
            <w:pPr>
              <w:autoSpaceDE w:val="0"/>
              <w:autoSpaceDN w:val="0"/>
              <w:jc w:val="center"/>
              <w:rPr>
                <w:color w:val="auto"/>
                <w:szCs w:val="21"/>
              </w:rPr>
            </w:pPr>
          </w:p>
        </w:tc>
        <w:tc>
          <w:tcPr>
            <w:tcW w:w="3371" w:type="dxa"/>
            <w:gridSpan w:val="3"/>
            <w:vAlign w:val="center"/>
          </w:tcPr>
          <w:p>
            <w:pPr>
              <w:autoSpaceDE w:val="0"/>
              <w:autoSpaceDN w:val="0"/>
              <w:jc w:val="center"/>
              <w:rPr>
                <w:color w:val="auto"/>
                <w:szCs w:val="21"/>
              </w:rPr>
            </w:pPr>
            <w:r>
              <w:rPr>
                <w:rFonts w:hint="eastAsia"/>
                <w:color w:val="auto"/>
                <w:szCs w:val="21"/>
              </w:rPr>
              <w:t>2018年7月18日</w:t>
            </w:r>
          </w:p>
        </w:tc>
        <w:tc>
          <w:tcPr>
            <w:tcW w:w="3252" w:type="dxa"/>
            <w:gridSpan w:val="3"/>
            <w:vAlign w:val="center"/>
          </w:tcPr>
          <w:p>
            <w:pPr>
              <w:autoSpaceDE w:val="0"/>
              <w:autoSpaceDN w:val="0"/>
              <w:jc w:val="center"/>
              <w:rPr>
                <w:color w:val="auto"/>
                <w:szCs w:val="21"/>
              </w:rPr>
            </w:pPr>
            <w:r>
              <w:rPr>
                <w:rFonts w:hint="eastAsia"/>
                <w:color w:val="auto"/>
                <w:szCs w:val="21"/>
              </w:rPr>
              <w:t>2018年7月19日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vMerge w:val="continue"/>
            <w:vAlign w:val="center"/>
          </w:tcPr>
          <w:p>
            <w:pPr>
              <w:autoSpaceDE w:val="0"/>
              <w:autoSpaceDN w:val="0"/>
              <w:jc w:val="center"/>
              <w:rPr>
                <w:color w:val="auto"/>
                <w:szCs w:val="21"/>
              </w:rPr>
            </w:pPr>
          </w:p>
        </w:tc>
        <w:tc>
          <w:tcPr>
            <w:tcW w:w="1069" w:type="dxa"/>
            <w:vMerge w:val="continue"/>
            <w:vAlign w:val="center"/>
          </w:tcPr>
          <w:p>
            <w:pPr>
              <w:autoSpaceDE w:val="0"/>
              <w:autoSpaceDN w:val="0"/>
              <w:jc w:val="center"/>
              <w:rPr>
                <w:color w:val="auto"/>
                <w:szCs w:val="21"/>
              </w:rPr>
            </w:pPr>
          </w:p>
        </w:tc>
        <w:tc>
          <w:tcPr>
            <w:tcW w:w="1200" w:type="dxa"/>
            <w:vAlign w:val="center"/>
          </w:tcPr>
          <w:p>
            <w:pPr>
              <w:autoSpaceDE w:val="0"/>
              <w:autoSpaceDN w:val="0"/>
              <w:jc w:val="center"/>
              <w:rPr>
                <w:color w:val="auto"/>
                <w:szCs w:val="21"/>
              </w:rPr>
            </w:pPr>
            <w:r>
              <w:rPr>
                <w:rFonts w:hint="eastAsia"/>
                <w:color w:val="auto"/>
                <w:szCs w:val="21"/>
              </w:rPr>
              <w:t>流量（Nm</w:t>
            </w:r>
            <w:r>
              <w:rPr>
                <w:rFonts w:hint="eastAsia"/>
                <w:color w:val="auto"/>
                <w:szCs w:val="21"/>
                <w:vertAlign w:val="superscript"/>
              </w:rPr>
              <w:t>3</w:t>
            </w:r>
            <w:r>
              <w:rPr>
                <w:rFonts w:hint="eastAsia"/>
                <w:color w:val="auto"/>
                <w:szCs w:val="21"/>
              </w:rPr>
              <w:t>/h）</w:t>
            </w:r>
          </w:p>
        </w:tc>
        <w:tc>
          <w:tcPr>
            <w:tcW w:w="1178" w:type="dxa"/>
            <w:vAlign w:val="center"/>
          </w:tcPr>
          <w:p>
            <w:pPr>
              <w:autoSpaceDE w:val="0"/>
              <w:autoSpaceDN w:val="0"/>
              <w:jc w:val="center"/>
              <w:rPr>
                <w:color w:val="auto"/>
                <w:szCs w:val="21"/>
              </w:rPr>
            </w:pPr>
            <w:r>
              <w:rPr>
                <w:rFonts w:hint="eastAsia"/>
                <w:color w:val="auto"/>
                <w:szCs w:val="21"/>
              </w:rPr>
              <w:t>浓度（mg/m</w:t>
            </w:r>
            <w:r>
              <w:rPr>
                <w:rFonts w:hint="eastAsia"/>
                <w:color w:val="auto"/>
                <w:szCs w:val="21"/>
                <w:vertAlign w:val="superscript"/>
              </w:rPr>
              <w:t>3</w:t>
            </w:r>
            <w:r>
              <w:rPr>
                <w:rFonts w:hint="eastAsia"/>
                <w:color w:val="auto"/>
                <w:szCs w:val="21"/>
              </w:rPr>
              <w:t>）</w:t>
            </w:r>
          </w:p>
        </w:tc>
        <w:tc>
          <w:tcPr>
            <w:tcW w:w="993" w:type="dxa"/>
            <w:vAlign w:val="center"/>
          </w:tcPr>
          <w:p>
            <w:pPr>
              <w:autoSpaceDE w:val="0"/>
              <w:autoSpaceDN w:val="0"/>
              <w:jc w:val="center"/>
              <w:rPr>
                <w:color w:val="auto"/>
                <w:szCs w:val="21"/>
              </w:rPr>
            </w:pPr>
            <w:r>
              <w:rPr>
                <w:rFonts w:hint="eastAsia"/>
                <w:color w:val="auto"/>
                <w:szCs w:val="21"/>
              </w:rPr>
              <w:t>速率（kg/h）</w:t>
            </w:r>
          </w:p>
        </w:tc>
        <w:tc>
          <w:tcPr>
            <w:tcW w:w="1102" w:type="dxa"/>
            <w:vAlign w:val="center"/>
          </w:tcPr>
          <w:p>
            <w:pPr>
              <w:autoSpaceDE w:val="0"/>
              <w:autoSpaceDN w:val="0"/>
              <w:jc w:val="center"/>
              <w:rPr>
                <w:color w:val="auto"/>
                <w:szCs w:val="21"/>
              </w:rPr>
            </w:pPr>
            <w:r>
              <w:rPr>
                <w:rFonts w:hint="eastAsia"/>
                <w:color w:val="auto"/>
                <w:szCs w:val="21"/>
              </w:rPr>
              <w:t>流量（Nm</w:t>
            </w:r>
            <w:r>
              <w:rPr>
                <w:rFonts w:hint="eastAsia"/>
                <w:color w:val="auto"/>
                <w:szCs w:val="21"/>
                <w:vertAlign w:val="superscript"/>
              </w:rPr>
              <w:t>3</w:t>
            </w:r>
            <w:r>
              <w:rPr>
                <w:rFonts w:hint="eastAsia"/>
                <w:color w:val="auto"/>
                <w:szCs w:val="21"/>
              </w:rPr>
              <w:t>/h）</w:t>
            </w:r>
          </w:p>
        </w:tc>
        <w:tc>
          <w:tcPr>
            <w:tcW w:w="1189" w:type="dxa"/>
            <w:vAlign w:val="center"/>
          </w:tcPr>
          <w:p>
            <w:pPr>
              <w:autoSpaceDE w:val="0"/>
              <w:autoSpaceDN w:val="0"/>
              <w:jc w:val="center"/>
              <w:rPr>
                <w:color w:val="auto"/>
                <w:szCs w:val="21"/>
              </w:rPr>
            </w:pPr>
            <w:r>
              <w:rPr>
                <w:rFonts w:hint="eastAsia"/>
                <w:color w:val="auto"/>
                <w:szCs w:val="21"/>
              </w:rPr>
              <w:t>浓度（mg/m</w:t>
            </w:r>
            <w:r>
              <w:rPr>
                <w:rFonts w:hint="eastAsia"/>
                <w:color w:val="auto"/>
                <w:szCs w:val="21"/>
                <w:vertAlign w:val="superscript"/>
              </w:rPr>
              <w:t>3</w:t>
            </w:r>
            <w:r>
              <w:rPr>
                <w:rFonts w:hint="eastAsia"/>
                <w:color w:val="auto"/>
                <w:szCs w:val="21"/>
              </w:rPr>
              <w:t>）</w:t>
            </w:r>
          </w:p>
        </w:tc>
        <w:tc>
          <w:tcPr>
            <w:tcW w:w="961" w:type="dxa"/>
            <w:vAlign w:val="center"/>
          </w:tcPr>
          <w:p>
            <w:pPr>
              <w:autoSpaceDE w:val="0"/>
              <w:autoSpaceDN w:val="0"/>
              <w:jc w:val="center"/>
              <w:rPr>
                <w:color w:val="auto"/>
                <w:szCs w:val="21"/>
              </w:rPr>
            </w:pPr>
            <w:r>
              <w:rPr>
                <w:rFonts w:hint="eastAsia"/>
                <w:color w:val="auto"/>
                <w:szCs w:val="21"/>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vAlign w:val="center"/>
          </w:tcPr>
          <w:p>
            <w:pPr>
              <w:autoSpaceDE w:val="0"/>
              <w:autoSpaceDN w:val="0"/>
              <w:jc w:val="center"/>
              <w:rPr>
                <w:color w:val="auto"/>
                <w:szCs w:val="21"/>
              </w:rPr>
            </w:pPr>
            <w:r>
              <w:rPr>
                <w:rFonts w:hint="eastAsia"/>
                <w:color w:val="auto"/>
                <w:szCs w:val="21"/>
              </w:rPr>
              <w:t>处理前废气监测口</w:t>
            </w:r>
          </w:p>
        </w:tc>
        <w:tc>
          <w:tcPr>
            <w:tcW w:w="1069" w:type="dxa"/>
            <w:vAlign w:val="center"/>
          </w:tcPr>
          <w:p>
            <w:pPr>
              <w:autoSpaceDE w:val="0"/>
              <w:autoSpaceDN w:val="0"/>
              <w:jc w:val="center"/>
              <w:rPr>
                <w:color w:val="auto"/>
                <w:szCs w:val="21"/>
              </w:rPr>
            </w:pPr>
            <w:r>
              <w:rPr>
                <w:rFonts w:hint="eastAsia"/>
                <w:color w:val="auto"/>
                <w:szCs w:val="21"/>
              </w:rPr>
              <w:t>颗粒物</w:t>
            </w:r>
          </w:p>
        </w:tc>
        <w:tc>
          <w:tcPr>
            <w:tcW w:w="1200" w:type="dxa"/>
            <w:vAlign w:val="center"/>
          </w:tcPr>
          <w:p>
            <w:pPr>
              <w:autoSpaceDE w:val="0"/>
              <w:autoSpaceDN w:val="0"/>
              <w:jc w:val="center"/>
              <w:rPr>
                <w:color w:val="auto"/>
                <w:szCs w:val="21"/>
              </w:rPr>
            </w:pPr>
            <w:r>
              <w:rPr>
                <w:rFonts w:hint="eastAsia"/>
                <w:color w:val="auto"/>
                <w:szCs w:val="21"/>
              </w:rPr>
              <w:t>4332</w:t>
            </w:r>
          </w:p>
        </w:tc>
        <w:tc>
          <w:tcPr>
            <w:tcW w:w="1178" w:type="dxa"/>
            <w:vAlign w:val="center"/>
          </w:tcPr>
          <w:p>
            <w:pPr>
              <w:autoSpaceDE w:val="0"/>
              <w:autoSpaceDN w:val="0"/>
              <w:jc w:val="center"/>
              <w:rPr>
                <w:color w:val="auto"/>
                <w:szCs w:val="21"/>
              </w:rPr>
            </w:pPr>
            <w:r>
              <w:rPr>
                <w:rFonts w:hint="eastAsia"/>
                <w:color w:val="auto"/>
                <w:szCs w:val="21"/>
              </w:rPr>
              <w:t>26.3</w:t>
            </w:r>
          </w:p>
        </w:tc>
        <w:tc>
          <w:tcPr>
            <w:tcW w:w="993" w:type="dxa"/>
            <w:vAlign w:val="center"/>
          </w:tcPr>
          <w:p>
            <w:pPr>
              <w:autoSpaceDE w:val="0"/>
              <w:autoSpaceDN w:val="0"/>
              <w:jc w:val="center"/>
              <w:rPr>
                <w:color w:val="auto"/>
                <w:szCs w:val="21"/>
              </w:rPr>
            </w:pPr>
            <w:r>
              <w:rPr>
                <w:rFonts w:hint="eastAsia"/>
                <w:color w:val="auto"/>
                <w:szCs w:val="21"/>
              </w:rPr>
              <w:t>0.11</w:t>
            </w:r>
          </w:p>
        </w:tc>
        <w:tc>
          <w:tcPr>
            <w:tcW w:w="1102" w:type="dxa"/>
            <w:vAlign w:val="center"/>
          </w:tcPr>
          <w:p>
            <w:pPr>
              <w:autoSpaceDE w:val="0"/>
              <w:autoSpaceDN w:val="0"/>
              <w:jc w:val="center"/>
              <w:rPr>
                <w:color w:val="auto"/>
                <w:szCs w:val="21"/>
              </w:rPr>
            </w:pPr>
            <w:r>
              <w:rPr>
                <w:rFonts w:hint="eastAsia"/>
                <w:color w:val="auto"/>
                <w:szCs w:val="21"/>
              </w:rPr>
              <w:t>4129</w:t>
            </w:r>
          </w:p>
        </w:tc>
        <w:tc>
          <w:tcPr>
            <w:tcW w:w="1189" w:type="dxa"/>
            <w:vAlign w:val="center"/>
          </w:tcPr>
          <w:p>
            <w:pPr>
              <w:autoSpaceDE w:val="0"/>
              <w:autoSpaceDN w:val="0"/>
              <w:jc w:val="center"/>
              <w:rPr>
                <w:color w:val="auto"/>
                <w:szCs w:val="21"/>
              </w:rPr>
            </w:pPr>
            <w:r>
              <w:rPr>
                <w:rFonts w:hint="eastAsia"/>
                <w:color w:val="auto"/>
                <w:szCs w:val="21"/>
              </w:rPr>
              <w:t>39.4</w:t>
            </w:r>
          </w:p>
        </w:tc>
        <w:tc>
          <w:tcPr>
            <w:tcW w:w="961" w:type="dxa"/>
            <w:vAlign w:val="center"/>
          </w:tcPr>
          <w:p>
            <w:pPr>
              <w:autoSpaceDE w:val="0"/>
              <w:autoSpaceDN w:val="0"/>
              <w:jc w:val="center"/>
              <w:rPr>
                <w:color w:val="auto"/>
                <w:szCs w:val="21"/>
              </w:rPr>
            </w:pPr>
            <w:r>
              <w:rPr>
                <w:rFonts w:hint="eastAsia"/>
                <w:color w:val="auto"/>
                <w:szCs w:val="21"/>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vAlign w:val="center"/>
          </w:tcPr>
          <w:p>
            <w:pPr>
              <w:autoSpaceDE w:val="0"/>
              <w:autoSpaceDN w:val="0"/>
              <w:jc w:val="center"/>
              <w:rPr>
                <w:color w:val="auto"/>
                <w:szCs w:val="21"/>
              </w:rPr>
            </w:pPr>
            <w:r>
              <w:rPr>
                <w:rFonts w:hint="eastAsia"/>
                <w:color w:val="auto"/>
                <w:szCs w:val="21"/>
              </w:rPr>
              <w:t>处理后废气监测口</w:t>
            </w:r>
          </w:p>
        </w:tc>
        <w:tc>
          <w:tcPr>
            <w:tcW w:w="1069" w:type="dxa"/>
            <w:vAlign w:val="center"/>
          </w:tcPr>
          <w:p>
            <w:pPr>
              <w:autoSpaceDE w:val="0"/>
              <w:autoSpaceDN w:val="0"/>
              <w:jc w:val="center"/>
              <w:rPr>
                <w:color w:val="auto"/>
                <w:szCs w:val="21"/>
              </w:rPr>
            </w:pPr>
            <w:r>
              <w:rPr>
                <w:rFonts w:hint="eastAsia"/>
                <w:color w:val="auto"/>
                <w:szCs w:val="21"/>
              </w:rPr>
              <w:t>颗粒物</w:t>
            </w:r>
          </w:p>
        </w:tc>
        <w:tc>
          <w:tcPr>
            <w:tcW w:w="1200" w:type="dxa"/>
            <w:vAlign w:val="center"/>
          </w:tcPr>
          <w:p>
            <w:pPr>
              <w:autoSpaceDE w:val="0"/>
              <w:autoSpaceDN w:val="0"/>
              <w:jc w:val="center"/>
              <w:rPr>
                <w:color w:val="auto"/>
                <w:szCs w:val="21"/>
              </w:rPr>
            </w:pPr>
            <w:r>
              <w:rPr>
                <w:rFonts w:hint="eastAsia"/>
                <w:color w:val="auto"/>
                <w:szCs w:val="21"/>
              </w:rPr>
              <w:t>4520</w:t>
            </w:r>
          </w:p>
        </w:tc>
        <w:tc>
          <w:tcPr>
            <w:tcW w:w="1178" w:type="dxa"/>
            <w:vAlign w:val="center"/>
          </w:tcPr>
          <w:p>
            <w:pPr>
              <w:autoSpaceDE w:val="0"/>
              <w:autoSpaceDN w:val="0"/>
              <w:jc w:val="center"/>
              <w:rPr>
                <w:color w:val="auto"/>
                <w:szCs w:val="21"/>
              </w:rPr>
            </w:pPr>
            <w:r>
              <w:rPr>
                <w:rFonts w:hint="eastAsia"/>
                <w:color w:val="auto"/>
                <w:szCs w:val="21"/>
              </w:rPr>
              <w:t>4.01</w:t>
            </w:r>
          </w:p>
        </w:tc>
        <w:tc>
          <w:tcPr>
            <w:tcW w:w="993" w:type="dxa"/>
            <w:vAlign w:val="center"/>
          </w:tcPr>
          <w:p>
            <w:pPr>
              <w:autoSpaceDE w:val="0"/>
              <w:autoSpaceDN w:val="0"/>
              <w:jc w:val="center"/>
              <w:rPr>
                <w:color w:val="auto"/>
                <w:szCs w:val="21"/>
              </w:rPr>
            </w:pPr>
            <w:r>
              <w:rPr>
                <w:rFonts w:hint="eastAsia"/>
                <w:color w:val="auto"/>
                <w:szCs w:val="21"/>
              </w:rPr>
              <w:t>0.018</w:t>
            </w:r>
          </w:p>
        </w:tc>
        <w:tc>
          <w:tcPr>
            <w:tcW w:w="1102" w:type="dxa"/>
            <w:vAlign w:val="center"/>
          </w:tcPr>
          <w:p>
            <w:pPr>
              <w:autoSpaceDE w:val="0"/>
              <w:autoSpaceDN w:val="0"/>
              <w:jc w:val="center"/>
              <w:rPr>
                <w:color w:val="auto"/>
                <w:szCs w:val="21"/>
              </w:rPr>
            </w:pPr>
            <w:r>
              <w:rPr>
                <w:rFonts w:hint="eastAsia"/>
                <w:color w:val="auto"/>
                <w:szCs w:val="21"/>
              </w:rPr>
              <w:t>4889</w:t>
            </w:r>
          </w:p>
        </w:tc>
        <w:tc>
          <w:tcPr>
            <w:tcW w:w="1189" w:type="dxa"/>
            <w:vAlign w:val="center"/>
          </w:tcPr>
          <w:p>
            <w:pPr>
              <w:autoSpaceDE w:val="0"/>
              <w:autoSpaceDN w:val="0"/>
              <w:jc w:val="center"/>
              <w:rPr>
                <w:color w:val="auto"/>
                <w:szCs w:val="21"/>
              </w:rPr>
            </w:pPr>
            <w:r>
              <w:rPr>
                <w:rFonts w:hint="eastAsia"/>
                <w:color w:val="auto"/>
                <w:szCs w:val="21"/>
              </w:rPr>
              <w:t>2.61</w:t>
            </w:r>
          </w:p>
        </w:tc>
        <w:tc>
          <w:tcPr>
            <w:tcW w:w="961" w:type="dxa"/>
            <w:vAlign w:val="center"/>
          </w:tcPr>
          <w:p>
            <w:pPr>
              <w:autoSpaceDE w:val="0"/>
              <w:autoSpaceDN w:val="0"/>
              <w:jc w:val="center"/>
              <w:rPr>
                <w:color w:val="auto"/>
                <w:szCs w:val="21"/>
              </w:rPr>
            </w:pPr>
            <w:r>
              <w:rPr>
                <w:rFonts w:hint="eastAsia"/>
                <w:color w:val="auto"/>
                <w:szCs w:val="21"/>
              </w:rPr>
              <w:t>0.013</w:t>
            </w:r>
          </w:p>
        </w:tc>
      </w:tr>
    </w:tbl>
    <w:p>
      <w:pPr>
        <w:autoSpaceDE w:val="0"/>
        <w:autoSpaceDN w:val="0"/>
        <w:spacing w:line="360" w:lineRule="auto"/>
        <w:ind w:firstLine="520" w:firstLineChars="217"/>
        <w:rPr>
          <w:color w:val="auto"/>
          <w:sz w:val="24"/>
        </w:rPr>
      </w:pPr>
      <w:r>
        <w:rPr>
          <w:color w:val="auto"/>
          <w:sz w:val="24"/>
        </w:rPr>
        <w:t>由上表可知，民典公司现有项目废覆铜板湿式破碎线的粉尘废气最大产生速率为0.16kg/h。清远市民典金属塑料有限公司年工作300天，每天生产2班次，每班工作8小时。其使用的废气治理设施为布袋除尘设备，废气收集收集效率以90%计算。则颗粒物产生系数为0.16kg/h×8h×2班×300天÷90%÷12000t/a≈0.07kg/t-原料。因此，本项目的湿式破碎生产线粉尘产生量按0.07kg/t-原料计算。</w:t>
      </w:r>
    </w:p>
    <w:p>
      <w:pPr>
        <w:pStyle w:val="10"/>
        <w:spacing w:line="360" w:lineRule="auto"/>
        <w:ind w:firstLine="480" w:firstLineChars="200"/>
        <w:jc w:val="both"/>
        <w:rPr>
          <w:color w:val="auto"/>
          <w:sz w:val="24"/>
        </w:rPr>
      </w:pPr>
      <w:r>
        <w:rPr>
          <w:color w:val="auto"/>
          <w:sz w:val="24"/>
        </w:rPr>
        <w:t>本项目共有8条湿式破碎生产线，废覆铜板处理量合计30000t/a。项目拟在每条湿式破碎生产线的一级破碎机出料口上方设置集气罩，使用风量为15000</w:t>
      </w:r>
      <w:r>
        <w:rPr>
          <w:color w:val="auto"/>
          <w:kern w:val="0"/>
          <w:sz w:val="24"/>
          <w:lang w:bidi="ar"/>
        </w:rPr>
        <w:t>m</w:t>
      </w:r>
      <w:r>
        <w:rPr>
          <w:color w:val="auto"/>
          <w:kern w:val="0"/>
          <w:sz w:val="24"/>
          <w:vertAlign w:val="superscript"/>
          <w:lang w:bidi="ar"/>
        </w:rPr>
        <w:t>3</w:t>
      </w:r>
      <w:r>
        <w:rPr>
          <w:color w:val="auto"/>
          <w:kern w:val="0"/>
          <w:sz w:val="24"/>
          <w:lang w:bidi="ar"/>
        </w:rPr>
        <w:t>/h</w:t>
      </w:r>
      <w:r>
        <w:rPr>
          <w:color w:val="auto"/>
          <w:sz w:val="24"/>
        </w:rPr>
        <w:t>的风机对其产生的粉尘废气进行收集，经管道进入旋风布袋除尘器中处理，最后从15m高，直径0.8m的排气筒G2达标排放。集气罩下方保持负压状态，收集效率可达90%。根据</w:t>
      </w:r>
      <w:r>
        <w:rPr>
          <w:color w:val="auto"/>
          <w:kern w:val="18"/>
          <w:sz w:val="24"/>
        </w:rPr>
        <w:t>《袋式除尘器的除尘效率研究》（周军，西南交通大学，2007年4月1号），布袋除尘器的除尘效率可达99%，本报告保守</w:t>
      </w:r>
      <w:r>
        <w:rPr>
          <w:color w:val="auto"/>
          <w:sz w:val="24"/>
        </w:rPr>
        <w:t>取值95%。未被收集的粉尘在车间以无组织形式达标排放。据</w:t>
      </w:r>
      <w:r>
        <w:rPr>
          <w:rFonts w:hint="eastAsia"/>
          <w:color w:val="auto"/>
          <w:sz w:val="24"/>
        </w:rPr>
        <w:t>建设单位提供</w:t>
      </w:r>
      <w:r>
        <w:rPr>
          <w:color w:val="auto"/>
          <w:sz w:val="24"/>
        </w:rPr>
        <w:t>资料，湿式破碎生产线每年运行330天，每天工作8h，则工作时长合计2640h/a。则本项目的湿式破碎生产线的粉尘产排情况如下表。</w:t>
      </w:r>
    </w:p>
    <w:p>
      <w:pPr>
        <w:autoSpaceDE w:val="0"/>
        <w:autoSpaceDN w:val="0"/>
        <w:spacing w:line="360" w:lineRule="auto"/>
        <w:ind w:firstLine="457" w:firstLineChars="217"/>
        <w:jc w:val="center"/>
        <w:rPr>
          <w:b/>
          <w:color w:val="auto"/>
          <w:szCs w:val="21"/>
        </w:rPr>
      </w:pPr>
      <w:r>
        <w:rPr>
          <w:rFonts w:hint="eastAsia"/>
          <w:b/>
          <w:color w:val="auto"/>
          <w:szCs w:val="21"/>
        </w:rPr>
        <w:t xml:space="preserve">表4.5-5 </w:t>
      </w:r>
      <w:r>
        <w:rPr>
          <w:b/>
          <w:color w:val="auto"/>
          <w:szCs w:val="21"/>
        </w:rPr>
        <w:t xml:space="preserve"> 本项目</w:t>
      </w:r>
      <w:r>
        <w:rPr>
          <w:rFonts w:hint="eastAsia"/>
          <w:b/>
          <w:color w:val="auto"/>
          <w:szCs w:val="21"/>
        </w:rPr>
        <w:t>湿式</w:t>
      </w:r>
      <w:r>
        <w:rPr>
          <w:b/>
          <w:color w:val="auto"/>
          <w:szCs w:val="21"/>
        </w:rPr>
        <w:t>破碎线粉尘产生及排放情况</w:t>
      </w:r>
    </w:p>
    <w:tbl>
      <w:tblPr>
        <w:tblStyle w:val="24"/>
        <w:tblW w:w="89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145"/>
        <w:gridCol w:w="3280"/>
        <w:gridCol w:w="35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情况</w:t>
            </w: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原料名称</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szCs w:val="21"/>
              </w:rPr>
              <w:t>废覆铜板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产生情况</w:t>
            </w: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使用量（t/a）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30000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产生系数（</w:t>
            </w:r>
            <w:r>
              <w:rPr>
                <w:color w:val="auto"/>
                <w:szCs w:val="21"/>
              </w:rPr>
              <w:t>kg/t-原料</w:t>
            </w:r>
            <w:r>
              <w:rPr>
                <w:color w:val="auto"/>
                <w:kern w:val="0"/>
                <w:szCs w:val="21"/>
                <w:lang w:bidi="ar"/>
              </w:rPr>
              <w:t>）</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产生量（t/a）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进行时长（h/a）</w:t>
            </w:r>
          </w:p>
        </w:tc>
        <w:tc>
          <w:tcPr>
            <w:tcW w:w="352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2640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收集治理情况</w:t>
            </w:r>
          </w:p>
        </w:tc>
        <w:tc>
          <w:tcPr>
            <w:tcW w:w="3280"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风机风量（m</w:t>
            </w:r>
            <w:r>
              <w:rPr>
                <w:color w:val="auto"/>
                <w:kern w:val="0"/>
                <w:szCs w:val="21"/>
                <w:vertAlign w:val="superscript"/>
                <w:lang w:bidi="ar"/>
              </w:rPr>
              <w:t>3</w:t>
            </w:r>
            <w:r>
              <w:rPr>
                <w:color w:val="auto"/>
                <w:kern w:val="0"/>
                <w:szCs w:val="21"/>
                <w:lang w:bidi="ar"/>
              </w:rPr>
              <w:t>/h）</w:t>
            </w:r>
          </w:p>
        </w:tc>
        <w:tc>
          <w:tcPr>
            <w:tcW w:w="352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15000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收集效率</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被收集量（t/a）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1.8900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治理效率</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截留量（t/a）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1.7955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排放情况</w:t>
            </w: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有组织外排量（t/a）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0.0945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有组织排放速率（kg/h）</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0.0358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有组织排放浓度（mg/m</w:t>
            </w:r>
            <w:r>
              <w:rPr>
                <w:color w:val="auto"/>
                <w:kern w:val="0"/>
                <w:szCs w:val="21"/>
                <w:vertAlign w:val="superscript"/>
                <w:lang w:bidi="ar"/>
              </w:rPr>
              <w:t>3</w:t>
            </w:r>
            <w:r>
              <w:rPr>
                <w:color w:val="auto"/>
                <w:kern w:val="0"/>
                <w:szCs w:val="21"/>
                <w:lang w:bidi="ar"/>
              </w:rPr>
              <w:t>）</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2.3864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无组织排放量（t/a）</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0.2100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3280"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无组织排放速率（kg/h）</w:t>
            </w:r>
          </w:p>
        </w:tc>
        <w:tc>
          <w:tcPr>
            <w:tcW w:w="3523"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0.0795 </w:t>
            </w:r>
          </w:p>
        </w:tc>
      </w:tr>
    </w:tbl>
    <w:p>
      <w:pPr>
        <w:pStyle w:val="32"/>
        <w:spacing w:line="360" w:lineRule="auto"/>
        <w:ind w:firstLine="480" w:firstLineChars="200"/>
        <w:jc w:val="both"/>
        <w:rPr>
          <w:color w:val="auto"/>
          <w:kern w:val="2"/>
        </w:rPr>
      </w:pPr>
      <w:r>
        <w:rPr>
          <w:rFonts w:hint="eastAsia"/>
          <w:color w:val="auto"/>
          <w:kern w:val="2"/>
        </w:rPr>
        <w:t>②</w:t>
      </w:r>
      <w:r>
        <w:rPr>
          <w:color w:val="auto"/>
          <w:kern w:val="2"/>
        </w:rPr>
        <w:t>卷材生产线的配料工序</w:t>
      </w:r>
      <w:r>
        <w:rPr>
          <w:rFonts w:hint="eastAsia"/>
          <w:color w:val="auto"/>
          <w:kern w:val="2"/>
        </w:rPr>
        <w:t>产生的粉尘</w:t>
      </w:r>
    </w:p>
    <w:p>
      <w:pPr>
        <w:pStyle w:val="32"/>
        <w:spacing w:line="360" w:lineRule="auto"/>
        <w:ind w:firstLine="480" w:firstLineChars="200"/>
        <w:jc w:val="both"/>
        <w:rPr>
          <w:color w:val="auto"/>
          <w:kern w:val="2"/>
        </w:rPr>
      </w:pPr>
      <w:r>
        <w:rPr>
          <w:color w:val="auto"/>
          <w:kern w:val="2"/>
        </w:rPr>
        <w:t>卷材生产线的配料工序</w:t>
      </w:r>
      <w:r>
        <w:rPr>
          <w:rFonts w:hint="eastAsia"/>
          <w:color w:val="auto"/>
          <w:kern w:val="2"/>
        </w:rPr>
        <w:t>主要将各种原辅材料投入搅拌缸中，其中的SBS颗粒和SBR颗粒</w:t>
      </w:r>
      <w:r>
        <w:rPr>
          <w:color w:val="auto"/>
          <w:kern w:val="2"/>
        </w:rPr>
        <w:t>为颗粒状</w:t>
      </w:r>
      <w:r>
        <w:rPr>
          <w:rFonts w:hint="eastAsia"/>
          <w:color w:val="auto"/>
          <w:kern w:val="2"/>
        </w:rPr>
        <w:t>，沥青和软化油为</w:t>
      </w:r>
      <w:r>
        <w:rPr>
          <w:color w:val="auto"/>
          <w:kern w:val="2"/>
        </w:rPr>
        <w:t>液</w:t>
      </w:r>
      <w:r>
        <w:rPr>
          <w:rFonts w:hint="eastAsia"/>
          <w:color w:val="auto"/>
          <w:kern w:val="2"/>
        </w:rPr>
        <w:t>态</w:t>
      </w:r>
      <w:r>
        <w:rPr>
          <w:color w:val="auto"/>
          <w:kern w:val="2"/>
        </w:rPr>
        <w:t>，</w:t>
      </w:r>
      <w:r>
        <w:rPr>
          <w:rFonts w:hint="eastAsia"/>
          <w:color w:val="auto"/>
          <w:kern w:val="2"/>
        </w:rPr>
        <w:t>在添加上述原料时</w:t>
      </w:r>
      <w:r>
        <w:rPr>
          <w:color w:val="auto"/>
          <w:kern w:val="2"/>
        </w:rPr>
        <w:t>不产尘</w:t>
      </w:r>
      <w:r>
        <w:rPr>
          <w:rFonts w:hint="eastAsia"/>
          <w:color w:val="auto"/>
          <w:kern w:val="2"/>
        </w:rPr>
        <w:t>。废树脂粉、滑石粉</w:t>
      </w:r>
      <w:r>
        <w:rPr>
          <w:color w:val="auto"/>
          <w:kern w:val="2"/>
        </w:rPr>
        <w:t>为粉状，</w:t>
      </w:r>
      <w:r>
        <w:rPr>
          <w:rFonts w:hint="eastAsia"/>
          <w:color w:val="auto"/>
          <w:kern w:val="2"/>
        </w:rPr>
        <w:t>配料工序中投入时将有粉尘产生，是</w:t>
      </w:r>
      <w:r>
        <w:rPr>
          <w:color w:val="auto"/>
          <w:kern w:val="2"/>
        </w:rPr>
        <w:t>配料工序</w:t>
      </w:r>
      <w:r>
        <w:rPr>
          <w:rFonts w:hint="eastAsia"/>
          <w:color w:val="auto"/>
          <w:kern w:val="2"/>
        </w:rPr>
        <w:t>产生粉尘的最主要来源。</w:t>
      </w:r>
    </w:p>
    <w:p>
      <w:pPr>
        <w:pStyle w:val="32"/>
        <w:spacing w:line="360" w:lineRule="auto"/>
        <w:ind w:firstLine="480" w:firstLineChars="200"/>
        <w:jc w:val="both"/>
        <w:rPr>
          <w:color w:val="auto"/>
          <w:kern w:val="2"/>
        </w:rPr>
      </w:pPr>
      <w:r>
        <w:rPr>
          <w:color w:val="auto"/>
          <w:kern w:val="2"/>
        </w:rPr>
        <w:t>参考《第一次全国污染源普查工业污染源产排污系数手册 第五分册》相关排污系数，按粉尘产生系数0.4kg/t原料计</w:t>
      </w:r>
      <w:r>
        <w:rPr>
          <w:rFonts w:hint="eastAsia"/>
          <w:color w:val="auto"/>
          <w:kern w:val="2"/>
        </w:rPr>
        <w:t>。本项目废树脂粉的投入量为6426</w:t>
      </w:r>
      <w:r>
        <w:rPr>
          <w:color w:val="auto"/>
          <w:kern w:val="2"/>
        </w:rPr>
        <w:t>t/a</w:t>
      </w:r>
      <w:r>
        <w:rPr>
          <w:rFonts w:hint="eastAsia"/>
          <w:color w:val="auto"/>
          <w:kern w:val="2"/>
        </w:rPr>
        <w:t>，滑石粉的投入量为6000t/a，</w:t>
      </w:r>
      <w:r>
        <w:rPr>
          <w:color w:val="auto"/>
          <w:kern w:val="2"/>
        </w:rPr>
        <w:t>粉料投入量</w:t>
      </w:r>
      <w:r>
        <w:rPr>
          <w:rFonts w:hint="eastAsia"/>
          <w:color w:val="auto"/>
          <w:kern w:val="2"/>
        </w:rPr>
        <w:t>合计12426</w:t>
      </w:r>
      <w:r>
        <w:rPr>
          <w:color w:val="auto"/>
          <w:kern w:val="2"/>
        </w:rPr>
        <w:t>t/a，则其粉尘产生量为</w:t>
      </w:r>
      <w:r>
        <w:rPr>
          <w:rFonts w:hint="eastAsia"/>
          <w:color w:val="auto"/>
          <w:kern w:val="2"/>
        </w:rPr>
        <w:t>4.9704</w:t>
      </w:r>
      <w:r>
        <w:rPr>
          <w:color w:val="auto"/>
          <w:kern w:val="2"/>
        </w:rPr>
        <w:t>t/a。项目拟</w:t>
      </w:r>
      <w:r>
        <w:rPr>
          <w:rFonts w:hint="eastAsia"/>
          <w:color w:val="auto"/>
          <w:kern w:val="2"/>
        </w:rPr>
        <w:t>使用墙体和玻璃等将卷材生产线围蔽，使其形成密闭空间。在投料处设置集气罩，使用风量为30</w:t>
      </w:r>
      <w:r>
        <w:rPr>
          <w:color w:val="auto"/>
          <w:kern w:val="2"/>
        </w:rPr>
        <w:t>000m</w:t>
      </w:r>
      <w:r>
        <w:rPr>
          <w:color w:val="auto"/>
          <w:kern w:val="2"/>
          <w:vertAlign w:val="superscript"/>
        </w:rPr>
        <w:t>3</w:t>
      </w:r>
      <w:r>
        <w:rPr>
          <w:color w:val="auto"/>
          <w:kern w:val="2"/>
        </w:rPr>
        <w:t>/h的风机</w:t>
      </w:r>
      <w:r>
        <w:rPr>
          <w:rFonts w:hint="eastAsia"/>
          <w:color w:val="auto"/>
          <w:kern w:val="2"/>
        </w:rPr>
        <w:t>对产生的粉尘进行收集，粉尘被收集后</w:t>
      </w:r>
      <w:r>
        <w:rPr>
          <w:color w:val="auto"/>
          <w:kern w:val="2"/>
        </w:rPr>
        <w:t>经管道进入</w:t>
      </w:r>
      <w:r>
        <w:rPr>
          <w:rFonts w:hint="eastAsia"/>
          <w:color w:val="auto"/>
          <w:kern w:val="2"/>
        </w:rPr>
        <w:t>“旋风除尘+冷凝器+油烟净化器+UV光解+活性炭吸附设备”中</w:t>
      </w:r>
      <w:r>
        <w:rPr>
          <w:color w:val="auto"/>
          <w:kern w:val="2"/>
        </w:rPr>
        <w:t>处理，最后从</w:t>
      </w:r>
      <w:r>
        <w:rPr>
          <w:rFonts w:hint="eastAsia"/>
          <w:color w:val="auto"/>
          <w:kern w:val="2"/>
        </w:rPr>
        <w:t>15m高、直径为0.8m</w:t>
      </w:r>
      <w:r>
        <w:rPr>
          <w:color w:val="auto"/>
          <w:kern w:val="2"/>
        </w:rPr>
        <w:t>的排气筒G</w:t>
      </w:r>
      <w:r>
        <w:rPr>
          <w:rFonts w:hint="eastAsia"/>
          <w:color w:val="auto"/>
          <w:kern w:val="2"/>
        </w:rPr>
        <w:t>1</w:t>
      </w:r>
      <w:r>
        <w:rPr>
          <w:color w:val="auto"/>
          <w:kern w:val="2"/>
        </w:rPr>
        <w:t>达标排放。收集效率可达</w:t>
      </w:r>
      <w:r>
        <w:rPr>
          <w:rFonts w:hint="eastAsia"/>
          <w:color w:val="auto"/>
          <w:kern w:val="2"/>
        </w:rPr>
        <w:t>95</w:t>
      </w:r>
      <w:r>
        <w:rPr>
          <w:color w:val="auto"/>
          <w:kern w:val="2"/>
        </w:rPr>
        <w:t>%，处理效率可达9</w:t>
      </w:r>
      <w:r>
        <w:rPr>
          <w:rFonts w:hint="eastAsia"/>
          <w:color w:val="auto"/>
          <w:kern w:val="2"/>
        </w:rPr>
        <w:t>5</w:t>
      </w:r>
      <w:r>
        <w:rPr>
          <w:color w:val="auto"/>
          <w:kern w:val="2"/>
        </w:rPr>
        <w:t>%</w:t>
      </w:r>
      <w:r>
        <w:rPr>
          <w:rFonts w:hint="eastAsia"/>
          <w:color w:val="auto"/>
          <w:kern w:val="2"/>
        </w:rPr>
        <w:t>，</w:t>
      </w:r>
      <w:r>
        <w:rPr>
          <w:color w:val="auto"/>
          <w:kern w:val="2"/>
        </w:rPr>
        <w:t>未被收集的粉尘在车间以无组织形式达标排放。据</w:t>
      </w:r>
      <w:r>
        <w:rPr>
          <w:rFonts w:hint="eastAsia"/>
          <w:color w:val="auto"/>
          <w:kern w:val="2"/>
        </w:rPr>
        <w:t>建设单位提供</w:t>
      </w:r>
      <w:r>
        <w:rPr>
          <w:color w:val="auto"/>
          <w:kern w:val="2"/>
        </w:rPr>
        <w:t>资料，</w:t>
      </w:r>
      <w:r>
        <w:rPr>
          <w:rFonts w:hint="eastAsia"/>
          <w:color w:val="auto"/>
          <w:kern w:val="2"/>
        </w:rPr>
        <w:t>卷材生产线每年运行330天，实行间断工作制，每天运行24h，即卷材生产线运行</w:t>
      </w:r>
      <w:r>
        <w:rPr>
          <w:color w:val="auto"/>
          <w:kern w:val="2"/>
        </w:rPr>
        <w:t>时长约</w:t>
      </w:r>
      <w:r>
        <w:rPr>
          <w:rFonts w:hint="eastAsia"/>
          <w:color w:val="auto"/>
          <w:kern w:val="2"/>
        </w:rPr>
        <w:t>7920</w:t>
      </w:r>
      <w:r>
        <w:rPr>
          <w:color w:val="auto"/>
          <w:kern w:val="2"/>
        </w:rPr>
        <w:t>h/a</w:t>
      </w:r>
      <w:r>
        <w:rPr>
          <w:rFonts w:hint="eastAsia"/>
          <w:color w:val="auto"/>
          <w:kern w:val="2"/>
        </w:rPr>
        <w:t>。</w:t>
      </w:r>
      <w:r>
        <w:rPr>
          <w:color w:val="auto"/>
          <w:kern w:val="2"/>
        </w:rPr>
        <w:t>本项目的</w:t>
      </w:r>
      <w:r>
        <w:rPr>
          <w:rFonts w:hint="eastAsia"/>
          <w:color w:val="auto"/>
          <w:kern w:val="2"/>
        </w:rPr>
        <w:t>卷材生产线</w:t>
      </w:r>
      <w:r>
        <w:rPr>
          <w:color w:val="auto"/>
          <w:kern w:val="2"/>
        </w:rPr>
        <w:t>的粉尘产排情况如下表。</w:t>
      </w:r>
    </w:p>
    <w:p>
      <w:pPr>
        <w:autoSpaceDE w:val="0"/>
        <w:autoSpaceDN w:val="0"/>
        <w:spacing w:line="360" w:lineRule="auto"/>
        <w:ind w:firstLine="457" w:firstLineChars="217"/>
        <w:jc w:val="center"/>
        <w:rPr>
          <w:b/>
          <w:color w:val="auto"/>
          <w:szCs w:val="21"/>
        </w:rPr>
      </w:pPr>
      <w:r>
        <w:rPr>
          <w:rFonts w:hint="eastAsia"/>
          <w:b/>
          <w:color w:val="auto"/>
          <w:szCs w:val="21"/>
        </w:rPr>
        <w:t xml:space="preserve">表4.5-6 </w:t>
      </w:r>
      <w:r>
        <w:rPr>
          <w:b/>
          <w:color w:val="auto"/>
          <w:szCs w:val="21"/>
        </w:rPr>
        <w:t xml:space="preserve"> 本项目</w:t>
      </w:r>
      <w:r>
        <w:rPr>
          <w:rFonts w:hint="eastAsia"/>
          <w:b/>
          <w:color w:val="auto"/>
          <w:szCs w:val="21"/>
        </w:rPr>
        <w:t>卷材生产线颗粒物</w:t>
      </w:r>
      <w:r>
        <w:rPr>
          <w:b/>
          <w:color w:val="auto"/>
          <w:szCs w:val="21"/>
        </w:rPr>
        <w:t>产生及排放情况</w:t>
      </w:r>
    </w:p>
    <w:tbl>
      <w:tblPr>
        <w:tblStyle w:val="24"/>
        <w:tblW w:w="89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145"/>
        <w:gridCol w:w="3280"/>
        <w:gridCol w:w="35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情况</w:t>
            </w: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原料名称</w:t>
            </w:r>
          </w:p>
        </w:tc>
        <w:tc>
          <w:tcPr>
            <w:tcW w:w="3523" w:type="dxa"/>
            <w:tcBorders>
              <w:tl2br w:val="nil"/>
              <w:tr2bl w:val="nil"/>
            </w:tcBorders>
            <w:vAlign w:val="center"/>
          </w:tcPr>
          <w:p>
            <w:pPr>
              <w:widowControl/>
              <w:jc w:val="center"/>
              <w:textAlignment w:val="center"/>
              <w:rPr>
                <w:color w:val="auto"/>
                <w:szCs w:val="21"/>
              </w:rPr>
            </w:pPr>
            <w:r>
              <w:rPr>
                <w:color w:val="auto"/>
                <w:kern w:val="0"/>
                <w:szCs w:val="21"/>
                <w:lang w:bidi="ar"/>
              </w:rPr>
              <w:t>废树脂粉、滑石粉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产生情况</w:t>
            </w: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使用量（t/a）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12426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产生系数</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产生量（t/a）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4.9704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进行时长（h/a）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7920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收集治理情况</w:t>
            </w:r>
          </w:p>
        </w:tc>
        <w:tc>
          <w:tcPr>
            <w:tcW w:w="3280"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风机风量（m</w:t>
            </w:r>
            <w:r>
              <w:rPr>
                <w:color w:val="auto"/>
                <w:kern w:val="0"/>
                <w:szCs w:val="21"/>
                <w:vertAlign w:val="superscript"/>
                <w:lang w:bidi="ar"/>
              </w:rPr>
              <w:t>3</w:t>
            </w:r>
            <w:r>
              <w:rPr>
                <w:color w:val="auto"/>
                <w:kern w:val="0"/>
                <w:szCs w:val="21"/>
                <w:lang w:bidi="ar"/>
              </w:rPr>
              <w:t>/h）</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30000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收集效率</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95.00%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被收集量（t/a）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4.7219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治理效率</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截留量（t/a）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4.4858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排放情况</w:t>
            </w: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有组织外排量（t/a）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0.2361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有组织排放速率（kg/h）</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0.0298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有组织排放浓度（mg/m</w:t>
            </w:r>
            <w:r>
              <w:rPr>
                <w:color w:val="auto"/>
                <w:kern w:val="0"/>
                <w:szCs w:val="21"/>
                <w:vertAlign w:val="superscript"/>
                <w:lang w:bidi="ar"/>
              </w:rPr>
              <w:t>3</w:t>
            </w:r>
            <w:r>
              <w:rPr>
                <w:color w:val="auto"/>
                <w:kern w:val="0"/>
                <w:szCs w:val="21"/>
                <w:lang w:bidi="ar"/>
              </w:rPr>
              <w:t>）</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0.9937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无组织排放量（t/a）</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0.2485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5" w:type="dxa"/>
            <w:vMerge w:val="continue"/>
            <w:tcBorders>
              <w:tl2br w:val="nil"/>
              <w:tr2bl w:val="nil"/>
            </w:tcBorders>
            <w:vAlign w:val="center"/>
          </w:tcPr>
          <w:p>
            <w:pPr>
              <w:widowControl/>
              <w:jc w:val="center"/>
              <w:textAlignment w:val="center"/>
              <w:rPr>
                <w:color w:val="auto"/>
                <w:kern w:val="0"/>
                <w:szCs w:val="21"/>
                <w:lang w:bidi="ar"/>
              </w:rPr>
            </w:pPr>
          </w:p>
        </w:tc>
        <w:tc>
          <w:tcPr>
            <w:tcW w:w="3280" w:type="dxa"/>
            <w:tcBorders>
              <w:tl2br w:val="nil"/>
              <w:tr2bl w:val="nil"/>
            </w:tcBorders>
            <w:vAlign w:val="center"/>
          </w:tcPr>
          <w:p>
            <w:pPr>
              <w:widowControl/>
              <w:jc w:val="center"/>
              <w:textAlignment w:val="center"/>
              <w:rPr>
                <w:bCs/>
                <w:color w:val="auto"/>
                <w:szCs w:val="21"/>
              </w:rPr>
            </w:pPr>
            <w:r>
              <w:rPr>
                <w:color w:val="auto"/>
                <w:kern w:val="0"/>
                <w:szCs w:val="21"/>
                <w:lang w:bidi="ar"/>
              </w:rPr>
              <w:t>无组织排放速率（kg/h）</w:t>
            </w:r>
          </w:p>
        </w:tc>
        <w:tc>
          <w:tcPr>
            <w:tcW w:w="3523" w:type="dxa"/>
            <w:tcBorders>
              <w:tl2br w:val="nil"/>
              <w:tr2bl w:val="nil"/>
            </w:tcBorders>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 xml:space="preserve">0.0314 </w:t>
            </w:r>
          </w:p>
        </w:tc>
      </w:tr>
    </w:tbl>
    <w:p>
      <w:pPr>
        <w:pStyle w:val="32"/>
        <w:ind w:firstLine="480" w:firstLineChars="200"/>
        <w:rPr>
          <w:rFonts w:hint="default" w:ascii="Times New Roman" w:hAnsi="Times New Roman" w:eastAsia="宋体" w:cs="Times New Roman"/>
          <w:color w:val="auto"/>
          <w:kern w:val="2"/>
        </w:rPr>
      </w:pPr>
      <w:r>
        <w:rPr>
          <w:rFonts w:hint="default" w:ascii="Times New Roman" w:hAnsi="Times New Roman" w:eastAsia="宋体" w:cs="Times New Roman"/>
          <w:color w:val="auto"/>
          <w:kern w:val="2"/>
        </w:rPr>
        <w:t>（2）沥青烟</w:t>
      </w:r>
      <w:r>
        <w:rPr>
          <w:rFonts w:hint="eastAsia" w:cs="Times New Roman"/>
          <w:color w:val="auto"/>
          <w:kern w:val="2"/>
          <w:lang w:val="en-US" w:eastAsia="zh-CN"/>
        </w:rPr>
        <w:t>气</w:t>
      </w:r>
      <w:r>
        <w:rPr>
          <w:rFonts w:hint="default" w:ascii="Times New Roman" w:hAnsi="Times New Roman" w:eastAsia="宋体" w:cs="Times New Roman"/>
          <w:color w:val="auto"/>
          <w:kern w:val="2"/>
        </w:rPr>
        <w:t>（苯并[a]芘、沥青烟和非甲烷总烃）</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沥青烟</w:t>
      </w:r>
      <w:r>
        <w:rPr>
          <w:rFonts w:hint="eastAsia" w:cs="Times New Roman"/>
          <w:color w:val="auto"/>
          <w:sz w:val="24"/>
          <w:lang w:val="en-US" w:eastAsia="zh-CN"/>
        </w:rPr>
        <w:t>气</w:t>
      </w:r>
      <w:r>
        <w:rPr>
          <w:rFonts w:hint="default" w:ascii="Times New Roman" w:hAnsi="Times New Roman" w:eastAsia="宋体" w:cs="Times New Roman"/>
          <w:color w:val="auto"/>
          <w:sz w:val="24"/>
        </w:rPr>
        <w:t>为沥青加热和含沥青物质的燃烧产生的气溶胶和蒸气。其成分复杂，既有沥青挥发组分凝结成的固体和液体微粒，又有蒸气状态的有机物。针对本项情况，可大致以苯并[a]芘、沥青烟和非甲烷总烃3中特征因子概括表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参考前苏联拉扎列夫主编的《工业生产中有害物物质手册》第一卷（化学工业出版社, 1987年12月出版）及金相灿主编的《有机化合物污染化学》（清华大学出版社, 1990年8月出版），每吨沥青在加热过程中可产生苯并[a]芘气体0.1g、沥青烟450~675g（取其平均值562.5g）。另根据《壳牌沥青手册》（壳牌大中华集团，1995年9月初版）的有关资料，沥青中非甲烷总烃含量约为2.5g/t。</w:t>
      </w:r>
    </w:p>
    <w:p>
      <w:pPr>
        <w:spacing w:line="360" w:lineRule="auto"/>
        <w:ind w:firstLine="480" w:firstLineChars="200"/>
        <w:rPr>
          <w:color w:val="auto"/>
          <w:sz w:val="24"/>
        </w:rPr>
      </w:pPr>
      <w:r>
        <w:rPr>
          <w:rFonts w:hint="default" w:ascii="Times New Roman" w:hAnsi="Times New Roman" w:eastAsia="宋体" w:cs="Times New Roman"/>
          <w:color w:val="auto"/>
          <w:sz w:val="24"/>
        </w:rPr>
        <w:t>本项目沥青使用量为4000t/a，则产生苯并[a]芘0.0004t/a、</w:t>
      </w:r>
      <w:r>
        <w:rPr>
          <w:color w:val="auto"/>
          <w:sz w:val="24"/>
        </w:rPr>
        <w:t>沥青烟</w:t>
      </w:r>
      <w:r>
        <w:rPr>
          <w:rFonts w:hint="eastAsia"/>
          <w:color w:val="auto"/>
          <w:sz w:val="24"/>
        </w:rPr>
        <w:t>2.25</w:t>
      </w:r>
      <w:r>
        <w:rPr>
          <w:color w:val="auto"/>
          <w:sz w:val="24"/>
        </w:rPr>
        <w:t>t/a、非甲烷总烃0.0</w:t>
      </w:r>
      <w:r>
        <w:rPr>
          <w:rFonts w:hint="eastAsia"/>
          <w:color w:val="auto"/>
          <w:sz w:val="24"/>
        </w:rPr>
        <w:t>1</w:t>
      </w:r>
      <w:r>
        <w:rPr>
          <w:color w:val="auto"/>
          <w:sz w:val="24"/>
        </w:rPr>
        <w:t>t/a。</w:t>
      </w:r>
    </w:p>
    <w:p>
      <w:pPr>
        <w:pStyle w:val="6"/>
        <w:spacing w:line="360" w:lineRule="auto"/>
        <w:ind w:firstLine="480"/>
        <w:rPr>
          <w:color w:val="auto"/>
          <w:kern w:val="2"/>
          <w:sz w:val="24"/>
          <w:szCs w:val="24"/>
        </w:rPr>
      </w:pPr>
      <w:r>
        <w:rPr>
          <w:rFonts w:hint="eastAsia"/>
          <w:bCs/>
          <w:color w:val="auto"/>
          <w:sz w:val="24"/>
        </w:rPr>
        <w:t>由工艺流程图可知，</w:t>
      </w:r>
      <w:r>
        <w:rPr>
          <w:rFonts w:ascii="Calibri" w:hAnsi="Calibri"/>
          <w:color w:val="auto"/>
          <w:kern w:val="2"/>
          <w:sz w:val="24"/>
          <w:szCs w:val="24"/>
        </w:rPr>
        <w:t>苯并[a]芘</w:t>
      </w:r>
      <w:r>
        <w:rPr>
          <w:rFonts w:hint="eastAsia" w:ascii="Calibri" w:hAnsi="Calibri"/>
          <w:color w:val="auto"/>
          <w:kern w:val="2"/>
          <w:sz w:val="24"/>
          <w:szCs w:val="24"/>
        </w:rPr>
        <w:t>、沥青烟和非甲烷总烃</w:t>
      </w:r>
      <w:r>
        <w:rPr>
          <w:rFonts w:hint="eastAsia"/>
          <w:color w:val="auto"/>
          <w:kern w:val="2"/>
          <w:sz w:val="24"/>
          <w:szCs w:val="24"/>
        </w:rPr>
        <w:t>废气产生的工序为配料、预浸、浸涂、覆膜和冷却工序处。项目拟采用墙体、玻璃等对这些工序的操作范围进行围蔽，</w:t>
      </w:r>
      <w:r>
        <w:rPr>
          <w:color w:val="auto"/>
          <w:sz w:val="24"/>
        </w:rPr>
        <w:t>门口处设有PVC塑料门帘，形成密闭、独立的区域。</w:t>
      </w:r>
      <w:r>
        <w:rPr>
          <w:rFonts w:hint="eastAsia"/>
          <w:color w:val="auto"/>
          <w:sz w:val="24"/>
        </w:rPr>
        <w:t>该面积长26m，宽22m，高5m，</w:t>
      </w:r>
      <w:r>
        <w:rPr>
          <w:rFonts w:hint="eastAsia"/>
          <w:color w:val="auto"/>
          <w:kern w:val="2"/>
          <w:sz w:val="24"/>
          <w:szCs w:val="24"/>
        </w:rPr>
        <w:t>内设集气罩、吸风口，使用风量为30000m</w:t>
      </w:r>
      <w:r>
        <w:rPr>
          <w:rFonts w:hint="eastAsia"/>
          <w:color w:val="auto"/>
          <w:kern w:val="2"/>
          <w:sz w:val="24"/>
          <w:szCs w:val="24"/>
          <w:vertAlign w:val="superscript"/>
        </w:rPr>
        <w:t>2</w:t>
      </w:r>
      <w:r>
        <w:rPr>
          <w:rFonts w:hint="eastAsia"/>
          <w:color w:val="auto"/>
          <w:kern w:val="2"/>
          <w:sz w:val="24"/>
          <w:szCs w:val="24"/>
        </w:rPr>
        <w:t>/h的风机通过集气罩和吸风口对工艺废气进行收集，废气经“</w:t>
      </w:r>
      <w:r>
        <w:rPr>
          <w:rFonts w:hint="eastAsia"/>
          <w:color w:val="auto"/>
          <w:sz w:val="24"/>
        </w:rPr>
        <w:t>旋风除尘+冷凝器+油烟净化器+UV光解+活性炭吸附”</w:t>
      </w:r>
      <w:r>
        <w:rPr>
          <w:color w:val="auto"/>
          <w:sz w:val="24"/>
        </w:rPr>
        <w:t>系统处理达标后经排气筒</w:t>
      </w:r>
      <w:r>
        <w:rPr>
          <w:rFonts w:hint="eastAsia"/>
          <w:color w:val="auto"/>
          <w:sz w:val="24"/>
        </w:rPr>
        <w:t>G1</w:t>
      </w:r>
      <w:r>
        <w:rPr>
          <w:color w:val="auto"/>
          <w:sz w:val="24"/>
        </w:rPr>
        <w:t>排</w:t>
      </w:r>
      <w:r>
        <w:rPr>
          <w:rFonts w:hint="eastAsia"/>
          <w:color w:val="auto"/>
          <w:sz w:val="24"/>
        </w:rPr>
        <w:t>放</w:t>
      </w:r>
      <w:r>
        <w:rPr>
          <w:rFonts w:hint="eastAsia"/>
          <w:color w:val="auto"/>
          <w:kern w:val="2"/>
          <w:sz w:val="24"/>
          <w:szCs w:val="24"/>
        </w:rPr>
        <w:t>。收集效率可达99%，对</w:t>
      </w:r>
      <w:r>
        <w:rPr>
          <w:rFonts w:ascii="Calibri" w:hAnsi="Calibri"/>
          <w:color w:val="auto"/>
          <w:kern w:val="2"/>
          <w:sz w:val="24"/>
          <w:szCs w:val="24"/>
        </w:rPr>
        <w:t>苯并[a]芘</w:t>
      </w:r>
      <w:r>
        <w:rPr>
          <w:rFonts w:hint="eastAsia" w:ascii="Calibri" w:hAnsi="Calibri"/>
          <w:color w:val="auto"/>
          <w:kern w:val="2"/>
          <w:sz w:val="24"/>
          <w:szCs w:val="24"/>
        </w:rPr>
        <w:t>、沥青烟和非甲烷总烃</w:t>
      </w:r>
      <w:r>
        <w:rPr>
          <w:rFonts w:hint="eastAsia"/>
          <w:color w:val="auto"/>
          <w:kern w:val="2"/>
          <w:sz w:val="24"/>
          <w:szCs w:val="24"/>
        </w:rPr>
        <w:t>的处理效率可达90%以上。</w:t>
      </w:r>
      <w:r>
        <w:rPr>
          <w:rFonts w:ascii="Calibri" w:hAnsi="Calibri"/>
          <w:color w:val="auto"/>
          <w:kern w:val="2"/>
          <w:sz w:val="24"/>
          <w:szCs w:val="24"/>
        </w:rPr>
        <w:t>苯并[a]芘</w:t>
      </w:r>
      <w:r>
        <w:rPr>
          <w:rFonts w:hint="eastAsia" w:ascii="Calibri" w:hAnsi="Calibri"/>
          <w:color w:val="auto"/>
          <w:kern w:val="2"/>
          <w:sz w:val="24"/>
          <w:szCs w:val="24"/>
        </w:rPr>
        <w:t>、沥青烟和非甲烷总烃</w:t>
      </w:r>
      <w:r>
        <w:rPr>
          <w:rFonts w:hint="eastAsia"/>
          <w:color w:val="auto"/>
          <w:kern w:val="2"/>
          <w:sz w:val="24"/>
          <w:szCs w:val="24"/>
        </w:rPr>
        <w:t>的产排如下表。</w:t>
      </w:r>
    </w:p>
    <w:p>
      <w:pPr>
        <w:pStyle w:val="6"/>
        <w:spacing w:line="360" w:lineRule="auto"/>
        <w:ind w:firstLine="480"/>
        <w:jc w:val="center"/>
        <w:rPr>
          <w:b/>
          <w:bCs/>
          <w:color w:val="auto"/>
          <w:kern w:val="2"/>
          <w:sz w:val="21"/>
          <w:szCs w:val="21"/>
        </w:rPr>
      </w:pPr>
      <w:r>
        <w:rPr>
          <w:rFonts w:hint="eastAsia"/>
          <w:b/>
          <w:bCs/>
          <w:color w:val="auto"/>
          <w:kern w:val="2"/>
          <w:sz w:val="21"/>
          <w:szCs w:val="21"/>
        </w:rPr>
        <w:t>表4.5-7  本项目</w:t>
      </w:r>
      <w:r>
        <w:rPr>
          <w:rFonts w:ascii="Calibri" w:hAnsi="Calibri"/>
          <w:b/>
          <w:bCs/>
          <w:color w:val="auto"/>
          <w:kern w:val="2"/>
          <w:sz w:val="21"/>
          <w:szCs w:val="21"/>
        </w:rPr>
        <w:t>苯并[a]芘</w:t>
      </w:r>
      <w:r>
        <w:rPr>
          <w:rFonts w:hint="eastAsia" w:ascii="Calibri" w:hAnsi="Calibri"/>
          <w:b/>
          <w:bCs/>
          <w:color w:val="auto"/>
          <w:kern w:val="2"/>
          <w:sz w:val="21"/>
          <w:szCs w:val="21"/>
        </w:rPr>
        <w:t>、沥青烟和非甲烷总烃</w:t>
      </w:r>
      <w:r>
        <w:rPr>
          <w:rFonts w:hint="eastAsia"/>
          <w:b/>
          <w:bCs/>
          <w:color w:val="auto"/>
          <w:kern w:val="2"/>
          <w:sz w:val="21"/>
          <w:szCs w:val="21"/>
        </w:rPr>
        <w:t>产排情况一览表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0"/>
        <w:gridCol w:w="3053"/>
        <w:gridCol w:w="1615"/>
        <w:gridCol w:w="1615"/>
        <w:gridCol w:w="1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Align w:val="center"/>
          </w:tcPr>
          <w:p>
            <w:pPr>
              <w:jc w:val="center"/>
              <w:rPr>
                <w:color w:val="auto"/>
                <w:szCs w:val="21"/>
              </w:rPr>
            </w:pPr>
            <w:r>
              <w:rPr>
                <w:rFonts w:hint="eastAsia"/>
                <w:color w:val="auto"/>
                <w:szCs w:val="21"/>
              </w:rPr>
              <w:t>项目</w:t>
            </w:r>
          </w:p>
        </w:tc>
        <w:tc>
          <w:tcPr>
            <w:tcW w:w="3053" w:type="dxa"/>
            <w:vAlign w:val="center"/>
          </w:tcPr>
          <w:p>
            <w:pPr>
              <w:widowControl/>
              <w:jc w:val="center"/>
              <w:textAlignment w:val="center"/>
              <w:rPr>
                <w:color w:val="auto"/>
                <w:szCs w:val="21"/>
              </w:rPr>
            </w:pPr>
            <w:r>
              <w:rPr>
                <w:color w:val="auto"/>
                <w:kern w:val="0"/>
                <w:szCs w:val="21"/>
                <w:lang w:bidi="ar"/>
              </w:rPr>
              <w:t>污染因子</w:t>
            </w:r>
          </w:p>
        </w:tc>
        <w:tc>
          <w:tcPr>
            <w:tcW w:w="1615" w:type="dxa"/>
            <w:vAlign w:val="center"/>
          </w:tcPr>
          <w:p>
            <w:pPr>
              <w:widowControl/>
              <w:jc w:val="center"/>
              <w:textAlignment w:val="center"/>
              <w:rPr>
                <w:color w:val="auto"/>
                <w:szCs w:val="21"/>
              </w:rPr>
            </w:pPr>
            <w:r>
              <w:rPr>
                <w:color w:val="auto"/>
                <w:kern w:val="0"/>
                <w:szCs w:val="21"/>
                <w:lang w:bidi="ar"/>
              </w:rPr>
              <w:t>苯并[a]芘</w:t>
            </w:r>
          </w:p>
        </w:tc>
        <w:tc>
          <w:tcPr>
            <w:tcW w:w="1615" w:type="dxa"/>
            <w:vAlign w:val="center"/>
          </w:tcPr>
          <w:p>
            <w:pPr>
              <w:widowControl/>
              <w:jc w:val="center"/>
              <w:textAlignment w:val="center"/>
              <w:rPr>
                <w:color w:val="auto"/>
                <w:szCs w:val="21"/>
              </w:rPr>
            </w:pPr>
            <w:r>
              <w:rPr>
                <w:color w:val="auto"/>
                <w:kern w:val="0"/>
                <w:szCs w:val="21"/>
                <w:lang w:bidi="ar"/>
              </w:rPr>
              <w:t>沥青烟</w:t>
            </w:r>
          </w:p>
        </w:tc>
        <w:tc>
          <w:tcPr>
            <w:tcW w:w="1615" w:type="dxa"/>
            <w:vAlign w:val="center"/>
          </w:tcPr>
          <w:p>
            <w:pPr>
              <w:widowControl/>
              <w:jc w:val="center"/>
              <w:textAlignment w:val="center"/>
              <w:rPr>
                <w:color w:val="auto"/>
                <w:szCs w:val="21"/>
              </w:rPr>
            </w:pPr>
            <w:r>
              <w:rPr>
                <w:color w:val="auto"/>
                <w:kern w:val="0"/>
                <w:szCs w:val="21"/>
                <w:lang w:bidi="ar"/>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restart"/>
            <w:vAlign w:val="center"/>
          </w:tcPr>
          <w:p>
            <w:pPr>
              <w:widowControl/>
              <w:jc w:val="center"/>
              <w:textAlignment w:val="center"/>
              <w:rPr>
                <w:color w:val="auto"/>
                <w:kern w:val="0"/>
                <w:szCs w:val="21"/>
                <w:lang w:bidi="ar"/>
              </w:rPr>
            </w:pPr>
            <w:r>
              <w:rPr>
                <w:color w:val="auto"/>
                <w:kern w:val="0"/>
                <w:szCs w:val="21"/>
                <w:lang w:bidi="ar"/>
              </w:rPr>
              <w:t>产生</w:t>
            </w:r>
          </w:p>
          <w:p>
            <w:pPr>
              <w:widowControl/>
              <w:jc w:val="center"/>
              <w:textAlignment w:val="center"/>
              <w:rPr>
                <w:color w:val="auto"/>
                <w:szCs w:val="21"/>
              </w:rPr>
            </w:pPr>
            <w:r>
              <w:rPr>
                <w:color w:val="auto"/>
                <w:kern w:val="0"/>
                <w:szCs w:val="21"/>
                <w:lang w:bidi="ar"/>
              </w:rPr>
              <w:t>情况</w:t>
            </w:r>
          </w:p>
        </w:tc>
        <w:tc>
          <w:tcPr>
            <w:tcW w:w="3053" w:type="dxa"/>
            <w:vAlign w:val="center"/>
          </w:tcPr>
          <w:p>
            <w:pPr>
              <w:widowControl/>
              <w:jc w:val="center"/>
              <w:textAlignment w:val="center"/>
              <w:rPr>
                <w:color w:val="auto"/>
                <w:szCs w:val="21"/>
              </w:rPr>
            </w:pPr>
            <w:r>
              <w:rPr>
                <w:color w:val="auto"/>
                <w:kern w:val="0"/>
                <w:szCs w:val="21"/>
                <w:lang w:bidi="ar"/>
              </w:rPr>
              <w:t>原料名称</w:t>
            </w:r>
          </w:p>
        </w:tc>
        <w:tc>
          <w:tcPr>
            <w:tcW w:w="4845" w:type="dxa"/>
            <w:gridSpan w:val="3"/>
            <w:vAlign w:val="center"/>
          </w:tcPr>
          <w:p>
            <w:pPr>
              <w:widowControl/>
              <w:jc w:val="center"/>
              <w:textAlignment w:val="center"/>
              <w:rPr>
                <w:color w:val="auto"/>
                <w:szCs w:val="21"/>
              </w:rPr>
            </w:pPr>
            <w:r>
              <w:rPr>
                <w:color w:val="auto"/>
                <w:kern w:val="0"/>
                <w:szCs w:val="21"/>
                <w:lang w:bidi="ar"/>
              </w:rPr>
              <w:t>沥青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使用量</w:t>
            </w:r>
            <w:r>
              <w:rPr>
                <w:rFonts w:hint="eastAsia"/>
                <w:color w:val="auto"/>
                <w:kern w:val="0"/>
                <w:szCs w:val="21"/>
                <w:lang w:bidi="ar"/>
              </w:rPr>
              <w:t>（t/a）</w:t>
            </w:r>
          </w:p>
        </w:tc>
        <w:tc>
          <w:tcPr>
            <w:tcW w:w="4845" w:type="dxa"/>
            <w:gridSpan w:val="3"/>
            <w:vAlign w:val="center"/>
          </w:tcPr>
          <w:p>
            <w:pPr>
              <w:widowControl/>
              <w:jc w:val="center"/>
              <w:textAlignment w:val="center"/>
              <w:rPr>
                <w:color w:val="auto"/>
                <w:szCs w:val="21"/>
              </w:rPr>
            </w:pPr>
            <w:r>
              <w:rPr>
                <w:rFonts w:hint="eastAsia"/>
                <w:color w:val="auto"/>
                <w:kern w:val="0"/>
                <w:szCs w:val="21"/>
                <w:lang w:bidi="ar"/>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产生系数（g/t）</w:t>
            </w:r>
          </w:p>
        </w:tc>
        <w:tc>
          <w:tcPr>
            <w:tcW w:w="1615" w:type="dxa"/>
            <w:vAlign w:val="center"/>
          </w:tcPr>
          <w:p>
            <w:pPr>
              <w:widowControl/>
              <w:jc w:val="center"/>
              <w:textAlignment w:val="center"/>
              <w:rPr>
                <w:color w:val="auto"/>
                <w:szCs w:val="21"/>
              </w:rPr>
            </w:pPr>
            <w:r>
              <w:rPr>
                <w:color w:val="auto"/>
                <w:kern w:val="0"/>
                <w:szCs w:val="21"/>
                <w:lang w:bidi="ar"/>
              </w:rPr>
              <w:t>0.1</w:t>
            </w:r>
          </w:p>
        </w:tc>
        <w:tc>
          <w:tcPr>
            <w:tcW w:w="1615" w:type="dxa"/>
            <w:vAlign w:val="center"/>
          </w:tcPr>
          <w:p>
            <w:pPr>
              <w:widowControl/>
              <w:jc w:val="center"/>
              <w:textAlignment w:val="center"/>
              <w:rPr>
                <w:color w:val="auto"/>
                <w:szCs w:val="21"/>
              </w:rPr>
            </w:pPr>
            <w:r>
              <w:rPr>
                <w:color w:val="auto"/>
                <w:kern w:val="0"/>
                <w:szCs w:val="21"/>
                <w:lang w:bidi="ar"/>
              </w:rPr>
              <w:t>562.5</w:t>
            </w:r>
          </w:p>
        </w:tc>
        <w:tc>
          <w:tcPr>
            <w:tcW w:w="1615" w:type="dxa"/>
            <w:vAlign w:val="center"/>
          </w:tcPr>
          <w:p>
            <w:pPr>
              <w:widowControl/>
              <w:jc w:val="center"/>
              <w:textAlignment w:val="center"/>
              <w:rPr>
                <w:color w:val="auto"/>
                <w:szCs w:val="21"/>
              </w:rPr>
            </w:pPr>
            <w:r>
              <w:rPr>
                <w:color w:val="auto"/>
                <w:kern w:val="0"/>
                <w:szCs w:val="21"/>
                <w:lang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产生量(t/a)</w:t>
            </w:r>
          </w:p>
        </w:tc>
        <w:tc>
          <w:tcPr>
            <w:tcW w:w="1615" w:type="dxa"/>
            <w:vAlign w:val="center"/>
          </w:tcPr>
          <w:p>
            <w:pPr>
              <w:widowControl/>
              <w:jc w:val="center"/>
              <w:textAlignment w:val="center"/>
              <w:rPr>
                <w:color w:val="auto"/>
                <w:szCs w:val="21"/>
              </w:rPr>
            </w:pPr>
            <w:r>
              <w:rPr>
                <w:color w:val="auto"/>
                <w:kern w:val="0"/>
                <w:szCs w:val="21"/>
                <w:lang w:bidi="ar"/>
              </w:rPr>
              <w:t>0.0004</w:t>
            </w:r>
          </w:p>
        </w:tc>
        <w:tc>
          <w:tcPr>
            <w:tcW w:w="1615" w:type="dxa"/>
            <w:vAlign w:val="center"/>
          </w:tcPr>
          <w:p>
            <w:pPr>
              <w:widowControl/>
              <w:jc w:val="center"/>
              <w:textAlignment w:val="center"/>
              <w:rPr>
                <w:color w:val="auto"/>
                <w:szCs w:val="21"/>
              </w:rPr>
            </w:pPr>
            <w:r>
              <w:rPr>
                <w:color w:val="auto"/>
                <w:kern w:val="0"/>
                <w:szCs w:val="21"/>
                <w:lang w:bidi="ar"/>
              </w:rPr>
              <w:t>2.25</w:t>
            </w:r>
          </w:p>
        </w:tc>
        <w:tc>
          <w:tcPr>
            <w:tcW w:w="1615" w:type="dxa"/>
            <w:vAlign w:val="center"/>
          </w:tcPr>
          <w:p>
            <w:pPr>
              <w:widowControl/>
              <w:jc w:val="center"/>
              <w:textAlignment w:val="center"/>
              <w:rPr>
                <w:color w:val="auto"/>
                <w:szCs w:val="21"/>
              </w:rPr>
            </w:pPr>
            <w:r>
              <w:rPr>
                <w:color w:val="auto"/>
                <w:kern w:val="0"/>
                <w:szCs w:val="21"/>
                <w:lang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工作时长（h/a）</w:t>
            </w:r>
          </w:p>
        </w:tc>
        <w:tc>
          <w:tcPr>
            <w:tcW w:w="4845" w:type="dxa"/>
            <w:gridSpan w:val="3"/>
            <w:vAlign w:val="center"/>
          </w:tcPr>
          <w:p>
            <w:pPr>
              <w:widowControl/>
              <w:jc w:val="center"/>
              <w:textAlignment w:val="center"/>
              <w:rPr>
                <w:color w:val="auto"/>
                <w:szCs w:val="21"/>
              </w:rPr>
            </w:pPr>
            <w:r>
              <w:rPr>
                <w:color w:val="auto"/>
                <w:kern w:val="0"/>
                <w:szCs w:val="21"/>
                <w:lang w:bidi="ar"/>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restart"/>
            <w:vAlign w:val="center"/>
          </w:tcPr>
          <w:p>
            <w:pPr>
              <w:widowControl/>
              <w:jc w:val="center"/>
              <w:textAlignment w:val="center"/>
              <w:rPr>
                <w:color w:val="auto"/>
                <w:kern w:val="0"/>
                <w:szCs w:val="21"/>
                <w:lang w:bidi="ar"/>
              </w:rPr>
            </w:pPr>
            <w:r>
              <w:rPr>
                <w:color w:val="auto"/>
                <w:kern w:val="0"/>
                <w:szCs w:val="21"/>
                <w:lang w:bidi="ar"/>
              </w:rPr>
              <w:t>收集</w:t>
            </w:r>
          </w:p>
          <w:p>
            <w:pPr>
              <w:widowControl/>
              <w:jc w:val="center"/>
              <w:textAlignment w:val="center"/>
              <w:rPr>
                <w:color w:val="auto"/>
                <w:szCs w:val="21"/>
              </w:rPr>
            </w:pPr>
            <w:r>
              <w:rPr>
                <w:color w:val="auto"/>
                <w:kern w:val="0"/>
                <w:szCs w:val="21"/>
                <w:lang w:bidi="ar"/>
              </w:rPr>
              <w:t>治理</w:t>
            </w:r>
            <w:r>
              <w:rPr>
                <w:color w:val="auto"/>
                <w:kern w:val="0"/>
                <w:szCs w:val="21"/>
                <w:lang w:bidi="ar"/>
              </w:rPr>
              <w:br w:type="textWrapping"/>
            </w:r>
            <w:r>
              <w:rPr>
                <w:color w:val="auto"/>
                <w:kern w:val="0"/>
                <w:szCs w:val="21"/>
                <w:lang w:bidi="ar"/>
              </w:rPr>
              <w:t>情况</w:t>
            </w:r>
          </w:p>
        </w:tc>
        <w:tc>
          <w:tcPr>
            <w:tcW w:w="3053" w:type="dxa"/>
            <w:vAlign w:val="center"/>
          </w:tcPr>
          <w:p>
            <w:pPr>
              <w:widowControl/>
              <w:jc w:val="center"/>
              <w:textAlignment w:val="center"/>
              <w:rPr>
                <w:color w:val="auto"/>
                <w:szCs w:val="21"/>
              </w:rPr>
            </w:pPr>
            <w:r>
              <w:rPr>
                <w:color w:val="auto"/>
                <w:kern w:val="0"/>
                <w:szCs w:val="21"/>
                <w:lang w:bidi="ar"/>
              </w:rPr>
              <w:t>风机风量</w:t>
            </w:r>
          </w:p>
        </w:tc>
        <w:tc>
          <w:tcPr>
            <w:tcW w:w="4845" w:type="dxa"/>
            <w:gridSpan w:val="3"/>
            <w:vAlign w:val="center"/>
          </w:tcPr>
          <w:p>
            <w:pPr>
              <w:widowControl/>
              <w:jc w:val="center"/>
              <w:textAlignment w:val="center"/>
              <w:rPr>
                <w:color w:val="auto"/>
                <w:szCs w:val="21"/>
              </w:rPr>
            </w:pPr>
            <w:r>
              <w:rPr>
                <w:color w:val="auto"/>
                <w:kern w:val="0"/>
                <w:szCs w:val="21"/>
                <w:lang w:bidi="ar"/>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收集效率</w:t>
            </w:r>
          </w:p>
        </w:tc>
        <w:tc>
          <w:tcPr>
            <w:tcW w:w="4845" w:type="dxa"/>
            <w:gridSpan w:val="3"/>
            <w:vAlign w:val="center"/>
          </w:tcPr>
          <w:p>
            <w:pPr>
              <w:widowControl/>
              <w:jc w:val="center"/>
              <w:textAlignment w:val="center"/>
              <w:rPr>
                <w:color w:val="auto"/>
                <w:szCs w:val="21"/>
              </w:rPr>
            </w:pPr>
            <w:r>
              <w:rPr>
                <w:color w:val="auto"/>
                <w:kern w:val="0"/>
                <w:szCs w:val="21"/>
                <w:lang w:bidi="ar"/>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被收集量（t/a）</w:t>
            </w:r>
          </w:p>
        </w:tc>
        <w:tc>
          <w:tcPr>
            <w:tcW w:w="1615" w:type="dxa"/>
            <w:vAlign w:val="center"/>
          </w:tcPr>
          <w:p>
            <w:pPr>
              <w:widowControl/>
              <w:jc w:val="center"/>
              <w:textAlignment w:val="center"/>
              <w:rPr>
                <w:color w:val="auto"/>
                <w:szCs w:val="21"/>
              </w:rPr>
            </w:pPr>
            <w:r>
              <w:rPr>
                <w:color w:val="auto"/>
                <w:kern w:val="0"/>
                <w:szCs w:val="21"/>
                <w:lang w:bidi="ar"/>
              </w:rPr>
              <w:t xml:space="preserve">0.000396 </w:t>
            </w:r>
          </w:p>
        </w:tc>
        <w:tc>
          <w:tcPr>
            <w:tcW w:w="1615" w:type="dxa"/>
            <w:vAlign w:val="center"/>
          </w:tcPr>
          <w:p>
            <w:pPr>
              <w:widowControl/>
              <w:jc w:val="center"/>
              <w:textAlignment w:val="center"/>
              <w:rPr>
                <w:color w:val="auto"/>
                <w:szCs w:val="21"/>
              </w:rPr>
            </w:pPr>
            <w:r>
              <w:rPr>
                <w:color w:val="auto"/>
                <w:kern w:val="0"/>
                <w:szCs w:val="21"/>
                <w:lang w:bidi="ar"/>
              </w:rPr>
              <w:t xml:space="preserve">2.2275 </w:t>
            </w:r>
          </w:p>
        </w:tc>
        <w:tc>
          <w:tcPr>
            <w:tcW w:w="1615" w:type="dxa"/>
            <w:vAlign w:val="center"/>
          </w:tcPr>
          <w:p>
            <w:pPr>
              <w:widowControl/>
              <w:jc w:val="center"/>
              <w:textAlignment w:val="center"/>
              <w:rPr>
                <w:color w:val="auto"/>
                <w:szCs w:val="21"/>
              </w:rPr>
            </w:pPr>
            <w:r>
              <w:rPr>
                <w:color w:val="auto"/>
                <w:kern w:val="0"/>
                <w:szCs w:val="21"/>
                <w:lang w:bidi="ar"/>
              </w:rPr>
              <w:t xml:space="preserve">0.0099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治理效率</w:t>
            </w:r>
          </w:p>
        </w:tc>
        <w:tc>
          <w:tcPr>
            <w:tcW w:w="4845" w:type="dxa"/>
            <w:gridSpan w:val="3"/>
            <w:vAlign w:val="center"/>
          </w:tcPr>
          <w:p>
            <w:pPr>
              <w:widowControl/>
              <w:jc w:val="center"/>
              <w:textAlignment w:val="center"/>
              <w:rPr>
                <w:color w:val="auto"/>
                <w:szCs w:val="21"/>
              </w:rPr>
            </w:pPr>
            <w:r>
              <w:rPr>
                <w:color w:val="auto"/>
                <w:kern w:val="0"/>
                <w:szCs w:val="21"/>
                <w:lang w:bidi="ar"/>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截留量（t/a）</w:t>
            </w:r>
          </w:p>
        </w:tc>
        <w:tc>
          <w:tcPr>
            <w:tcW w:w="1615" w:type="dxa"/>
            <w:vAlign w:val="center"/>
          </w:tcPr>
          <w:p>
            <w:pPr>
              <w:widowControl/>
              <w:jc w:val="center"/>
              <w:textAlignment w:val="center"/>
              <w:rPr>
                <w:color w:val="auto"/>
                <w:szCs w:val="21"/>
              </w:rPr>
            </w:pPr>
            <w:r>
              <w:rPr>
                <w:color w:val="auto"/>
                <w:kern w:val="0"/>
                <w:szCs w:val="21"/>
                <w:lang w:bidi="ar"/>
              </w:rPr>
              <w:t xml:space="preserve">0.000356 </w:t>
            </w:r>
          </w:p>
        </w:tc>
        <w:tc>
          <w:tcPr>
            <w:tcW w:w="1615" w:type="dxa"/>
            <w:vAlign w:val="center"/>
          </w:tcPr>
          <w:p>
            <w:pPr>
              <w:widowControl/>
              <w:jc w:val="center"/>
              <w:textAlignment w:val="center"/>
              <w:rPr>
                <w:color w:val="auto"/>
                <w:szCs w:val="21"/>
              </w:rPr>
            </w:pPr>
            <w:r>
              <w:rPr>
                <w:color w:val="auto"/>
                <w:kern w:val="0"/>
                <w:szCs w:val="21"/>
                <w:lang w:bidi="ar"/>
              </w:rPr>
              <w:t xml:space="preserve">2.0048 </w:t>
            </w:r>
          </w:p>
        </w:tc>
        <w:tc>
          <w:tcPr>
            <w:tcW w:w="1615" w:type="dxa"/>
            <w:vAlign w:val="center"/>
          </w:tcPr>
          <w:p>
            <w:pPr>
              <w:widowControl/>
              <w:jc w:val="center"/>
              <w:textAlignment w:val="center"/>
              <w:rPr>
                <w:color w:val="auto"/>
                <w:szCs w:val="21"/>
              </w:rPr>
            </w:pPr>
            <w:r>
              <w:rPr>
                <w:color w:val="auto"/>
                <w:kern w:val="0"/>
                <w:szCs w:val="21"/>
                <w:lang w:bidi="ar"/>
              </w:rPr>
              <w:t xml:space="preserve">0.0089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restart"/>
            <w:vAlign w:val="center"/>
          </w:tcPr>
          <w:p>
            <w:pPr>
              <w:widowControl/>
              <w:jc w:val="center"/>
              <w:textAlignment w:val="center"/>
              <w:rPr>
                <w:color w:val="auto"/>
                <w:kern w:val="0"/>
                <w:szCs w:val="21"/>
                <w:lang w:bidi="ar"/>
              </w:rPr>
            </w:pPr>
            <w:r>
              <w:rPr>
                <w:color w:val="auto"/>
                <w:kern w:val="0"/>
                <w:szCs w:val="21"/>
                <w:lang w:bidi="ar"/>
              </w:rPr>
              <w:t>排放</w:t>
            </w:r>
          </w:p>
          <w:p>
            <w:pPr>
              <w:widowControl/>
              <w:jc w:val="center"/>
              <w:textAlignment w:val="center"/>
              <w:rPr>
                <w:color w:val="auto"/>
                <w:szCs w:val="21"/>
              </w:rPr>
            </w:pPr>
            <w:r>
              <w:rPr>
                <w:color w:val="auto"/>
                <w:kern w:val="0"/>
                <w:szCs w:val="21"/>
                <w:lang w:bidi="ar"/>
              </w:rPr>
              <w:t>情况</w:t>
            </w:r>
          </w:p>
        </w:tc>
        <w:tc>
          <w:tcPr>
            <w:tcW w:w="3053" w:type="dxa"/>
            <w:vAlign w:val="center"/>
          </w:tcPr>
          <w:p>
            <w:pPr>
              <w:widowControl/>
              <w:jc w:val="center"/>
              <w:textAlignment w:val="center"/>
              <w:rPr>
                <w:color w:val="auto"/>
                <w:szCs w:val="21"/>
              </w:rPr>
            </w:pPr>
            <w:r>
              <w:rPr>
                <w:color w:val="auto"/>
                <w:kern w:val="0"/>
                <w:szCs w:val="21"/>
                <w:lang w:bidi="ar"/>
              </w:rPr>
              <w:t>有组织外排量（t/a）</w:t>
            </w:r>
          </w:p>
        </w:tc>
        <w:tc>
          <w:tcPr>
            <w:tcW w:w="1615" w:type="dxa"/>
            <w:vAlign w:val="center"/>
          </w:tcPr>
          <w:p>
            <w:pPr>
              <w:widowControl/>
              <w:jc w:val="center"/>
              <w:textAlignment w:val="center"/>
              <w:rPr>
                <w:color w:val="auto"/>
                <w:szCs w:val="21"/>
              </w:rPr>
            </w:pPr>
            <w:r>
              <w:rPr>
                <w:color w:val="auto"/>
                <w:kern w:val="0"/>
                <w:szCs w:val="21"/>
                <w:lang w:bidi="ar"/>
              </w:rPr>
              <w:t xml:space="preserve">0.000040 </w:t>
            </w:r>
          </w:p>
        </w:tc>
        <w:tc>
          <w:tcPr>
            <w:tcW w:w="1615" w:type="dxa"/>
            <w:vAlign w:val="center"/>
          </w:tcPr>
          <w:p>
            <w:pPr>
              <w:widowControl/>
              <w:jc w:val="center"/>
              <w:textAlignment w:val="center"/>
              <w:rPr>
                <w:color w:val="auto"/>
                <w:szCs w:val="21"/>
              </w:rPr>
            </w:pPr>
            <w:r>
              <w:rPr>
                <w:color w:val="auto"/>
                <w:kern w:val="0"/>
                <w:szCs w:val="21"/>
                <w:lang w:bidi="ar"/>
              </w:rPr>
              <w:t xml:space="preserve">0.2228 </w:t>
            </w:r>
          </w:p>
        </w:tc>
        <w:tc>
          <w:tcPr>
            <w:tcW w:w="1615" w:type="dxa"/>
            <w:vAlign w:val="center"/>
          </w:tcPr>
          <w:p>
            <w:pPr>
              <w:widowControl/>
              <w:jc w:val="center"/>
              <w:textAlignment w:val="center"/>
              <w:rPr>
                <w:color w:val="auto"/>
                <w:szCs w:val="21"/>
              </w:rPr>
            </w:pPr>
            <w:r>
              <w:rPr>
                <w:color w:val="auto"/>
                <w:kern w:val="0"/>
                <w:szCs w:val="21"/>
                <w:lang w:bidi="ar"/>
              </w:rPr>
              <w:t xml:space="preserve">0.0010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有组织排放速率（kg/h）</w:t>
            </w:r>
          </w:p>
        </w:tc>
        <w:tc>
          <w:tcPr>
            <w:tcW w:w="1615" w:type="dxa"/>
            <w:vAlign w:val="center"/>
          </w:tcPr>
          <w:p>
            <w:pPr>
              <w:widowControl/>
              <w:jc w:val="center"/>
              <w:textAlignment w:val="center"/>
              <w:rPr>
                <w:color w:val="auto"/>
                <w:szCs w:val="21"/>
              </w:rPr>
            </w:pPr>
            <w:r>
              <w:rPr>
                <w:color w:val="auto"/>
                <w:kern w:val="0"/>
                <w:szCs w:val="21"/>
                <w:lang w:bidi="ar"/>
              </w:rPr>
              <w:t xml:space="preserve">0.000005 </w:t>
            </w:r>
          </w:p>
        </w:tc>
        <w:tc>
          <w:tcPr>
            <w:tcW w:w="1615" w:type="dxa"/>
            <w:vAlign w:val="center"/>
          </w:tcPr>
          <w:p>
            <w:pPr>
              <w:widowControl/>
              <w:jc w:val="center"/>
              <w:textAlignment w:val="center"/>
              <w:rPr>
                <w:color w:val="auto"/>
                <w:szCs w:val="21"/>
              </w:rPr>
            </w:pPr>
            <w:r>
              <w:rPr>
                <w:color w:val="auto"/>
                <w:kern w:val="0"/>
                <w:szCs w:val="21"/>
                <w:lang w:bidi="ar"/>
              </w:rPr>
              <w:t xml:space="preserve">0.0281 </w:t>
            </w:r>
          </w:p>
        </w:tc>
        <w:tc>
          <w:tcPr>
            <w:tcW w:w="1615" w:type="dxa"/>
            <w:vAlign w:val="center"/>
          </w:tcPr>
          <w:p>
            <w:pPr>
              <w:widowControl/>
              <w:jc w:val="center"/>
              <w:textAlignment w:val="center"/>
              <w:rPr>
                <w:color w:val="auto"/>
                <w:szCs w:val="21"/>
              </w:rPr>
            </w:pPr>
            <w:r>
              <w:rPr>
                <w:color w:val="auto"/>
                <w:kern w:val="0"/>
                <w:szCs w:val="21"/>
                <w:lang w:bidi="ar"/>
              </w:rPr>
              <w:t xml:space="preserve">0.0001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有组织排放浓度（mg/m</w:t>
            </w:r>
            <w:r>
              <w:rPr>
                <w:color w:val="auto"/>
                <w:kern w:val="0"/>
                <w:szCs w:val="21"/>
                <w:vertAlign w:val="superscript"/>
                <w:lang w:bidi="ar"/>
              </w:rPr>
              <w:t>3</w:t>
            </w:r>
            <w:r>
              <w:rPr>
                <w:color w:val="auto"/>
                <w:kern w:val="0"/>
                <w:szCs w:val="21"/>
                <w:lang w:bidi="ar"/>
              </w:rPr>
              <w:t>）</w:t>
            </w:r>
          </w:p>
        </w:tc>
        <w:tc>
          <w:tcPr>
            <w:tcW w:w="1615" w:type="dxa"/>
            <w:vAlign w:val="center"/>
          </w:tcPr>
          <w:p>
            <w:pPr>
              <w:widowControl/>
              <w:jc w:val="center"/>
              <w:textAlignment w:val="center"/>
              <w:rPr>
                <w:color w:val="auto"/>
                <w:szCs w:val="21"/>
              </w:rPr>
            </w:pPr>
            <w:r>
              <w:rPr>
                <w:color w:val="auto"/>
                <w:kern w:val="0"/>
                <w:szCs w:val="21"/>
                <w:lang w:bidi="ar"/>
              </w:rPr>
              <w:t xml:space="preserve">0.000167 </w:t>
            </w:r>
          </w:p>
        </w:tc>
        <w:tc>
          <w:tcPr>
            <w:tcW w:w="1615" w:type="dxa"/>
            <w:vAlign w:val="center"/>
          </w:tcPr>
          <w:p>
            <w:pPr>
              <w:widowControl/>
              <w:jc w:val="center"/>
              <w:textAlignment w:val="center"/>
              <w:rPr>
                <w:color w:val="auto"/>
                <w:szCs w:val="21"/>
              </w:rPr>
            </w:pPr>
            <w:r>
              <w:rPr>
                <w:color w:val="auto"/>
                <w:kern w:val="0"/>
                <w:szCs w:val="21"/>
                <w:lang w:bidi="ar"/>
              </w:rPr>
              <w:t xml:space="preserve">0.9375 </w:t>
            </w:r>
          </w:p>
        </w:tc>
        <w:tc>
          <w:tcPr>
            <w:tcW w:w="1615" w:type="dxa"/>
            <w:vAlign w:val="center"/>
          </w:tcPr>
          <w:p>
            <w:pPr>
              <w:widowControl/>
              <w:jc w:val="center"/>
              <w:textAlignment w:val="center"/>
              <w:rPr>
                <w:color w:val="auto"/>
                <w:szCs w:val="21"/>
              </w:rPr>
            </w:pPr>
            <w:r>
              <w:rPr>
                <w:color w:val="auto"/>
                <w:kern w:val="0"/>
                <w:szCs w:val="21"/>
                <w:lang w:bidi="ar"/>
              </w:rPr>
              <w:t xml:space="preserve">0.0042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无组织排放量（t/a）</w:t>
            </w:r>
          </w:p>
        </w:tc>
        <w:tc>
          <w:tcPr>
            <w:tcW w:w="1615" w:type="dxa"/>
            <w:vAlign w:val="center"/>
          </w:tcPr>
          <w:p>
            <w:pPr>
              <w:widowControl/>
              <w:jc w:val="center"/>
              <w:textAlignment w:val="center"/>
              <w:rPr>
                <w:color w:val="auto"/>
                <w:szCs w:val="21"/>
              </w:rPr>
            </w:pPr>
            <w:r>
              <w:rPr>
                <w:color w:val="auto"/>
                <w:kern w:val="0"/>
                <w:szCs w:val="21"/>
                <w:lang w:bidi="ar"/>
              </w:rPr>
              <w:t xml:space="preserve">0.000004 </w:t>
            </w:r>
          </w:p>
        </w:tc>
        <w:tc>
          <w:tcPr>
            <w:tcW w:w="1615" w:type="dxa"/>
            <w:vAlign w:val="center"/>
          </w:tcPr>
          <w:p>
            <w:pPr>
              <w:widowControl/>
              <w:jc w:val="center"/>
              <w:textAlignment w:val="center"/>
              <w:rPr>
                <w:color w:val="auto"/>
                <w:szCs w:val="21"/>
              </w:rPr>
            </w:pPr>
            <w:r>
              <w:rPr>
                <w:color w:val="auto"/>
                <w:kern w:val="0"/>
                <w:szCs w:val="21"/>
                <w:lang w:bidi="ar"/>
              </w:rPr>
              <w:t xml:space="preserve">0.0225 </w:t>
            </w:r>
          </w:p>
        </w:tc>
        <w:tc>
          <w:tcPr>
            <w:tcW w:w="1615" w:type="dxa"/>
            <w:vAlign w:val="center"/>
          </w:tcPr>
          <w:p>
            <w:pPr>
              <w:widowControl/>
              <w:jc w:val="center"/>
              <w:textAlignment w:val="center"/>
              <w:rPr>
                <w:color w:val="auto"/>
                <w:szCs w:val="21"/>
              </w:rPr>
            </w:pPr>
            <w:r>
              <w:rPr>
                <w:color w:val="auto"/>
                <w:kern w:val="0"/>
                <w:szCs w:val="21"/>
                <w:lang w:bidi="ar"/>
              </w:rPr>
              <w:t xml:space="preserve">0.0001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0" w:type="dxa"/>
            <w:vMerge w:val="continue"/>
            <w:vAlign w:val="center"/>
          </w:tcPr>
          <w:p>
            <w:pPr>
              <w:jc w:val="center"/>
              <w:rPr>
                <w:color w:val="auto"/>
                <w:szCs w:val="21"/>
              </w:rPr>
            </w:pPr>
          </w:p>
        </w:tc>
        <w:tc>
          <w:tcPr>
            <w:tcW w:w="3053" w:type="dxa"/>
            <w:vAlign w:val="center"/>
          </w:tcPr>
          <w:p>
            <w:pPr>
              <w:widowControl/>
              <w:jc w:val="center"/>
              <w:textAlignment w:val="center"/>
              <w:rPr>
                <w:color w:val="auto"/>
                <w:szCs w:val="21"/>
              </w:rPr>
            </w:pPr>
            <w:r>
              <w:rPr>
                <w:color w:val="auto"/>
                <w:kern w:val="0"/>
                <w:szCs w:val="21"/>
                <w:lang w:bidi="ar"/>
              </w:rPr>
              <w:t>无组织排放速率（kg/h）</w:t>
            </w:r>
          </w:p>
        </w:tc>
        <w:tc>
          <w:tcPr>
            <w:tcW w:w="1615" w:type="dxa"/>
            <w:vAlign w:val="center"/>
          </w:tcPr>
          <w:p>
            <w:pPr>
              <w:widowControl/>
              <w:jc w:val="center"/>
              <w:textAlignment w:val="center"/>
              <w:rPr>
                <w:color w:val="auto"/>
                <w:szCs w:val="21"/>
              </w:rPr>
            </w:pPr>
            <w:r>
              <w:rPr>
                <w:color w:val="auto"/>
                <w:kern w:val="0"/>
                <w:szCs w:val="21"/>
                <w:lang w:bidi="ar"/>
              </w:rPr>
              <w:t xml:space="preserve">0.000001 </w:t>
            </w:r>
          </w:p>
        </w:tc>
        <w:tc>
          <w:tcPr>
            <w:tcW w:w="1615" w:type="dxa"/>
            <w:vAlign w:val="center"/>
          </w:tcPr>
          <w:p>
            <w:pPr>
              <w:widowControl/>
              <w:jc w:val="center"/>
              <w:textAlignment w:val="center"/>
              <w:rPr>
                <w:color w:val="auto"/>
                <w:szCs w:val="21"/>
              </w:rPr>
            </w:pPr>
            <w:r>
              <w:rPr>
                <w:color w:val="auto"/>
                <w:kern w:val="0"/>
                <w:szCs w:val="21"/>
                <w:lang w:bidi="ar"/>
              </w:rPr>
              <w:t xml:space="preserve">0.0028 </w:t>
            </w:r>
          </w:p>
        </w:tc>
        <w:tc>
          <w:tcPr>
            <w:tcW w:w="1615" w:type="dxa"/>
            <w:vAlign w:val="center"/>
          </w:tcPr>
          <w:p>
            <w:pPr>
              <w:widowControl/>
              <w:jc w:val="center"/>
              <w:textAlignment w:val="center"/>
              <w:rPr>
                <w:color w:val="auto"/>
                <w:szCs w:val="21"/>
              </w:rPr>
            </w:pPr>
            <w:r>
              <w:rPr>
                <w:color w:val="auto"/>
                <w:kern w:val="0"/>
                <w:szCs w:val="21"/>
                <w:lang w:bidi="ar"/>
              </w:rPr>
              <w:t xml:space="preserve">0.000013 </w:t>
            </w:r>
          </w:p>
        </w:tc>
      </w:tr>
    </w:tbl>
    <w:p>
      <w:pPr>
        <w:pStyle w:val="6"/>
        <w:spacing w:line="360" w:lineRule="auto"/>
        <w:ind w:firstLine="480"/>
        <w:rPr>
          <w:color w:val="auto"/>
          <w:kern w:val="2"/>
          <w:sz w:val="24"/>
          <w:szCs w:val="24"/>
        </w:rPr>
      </w:pPr>
      <w:r>
        <w:rPr>
          <w:rFonts w:hint="eastAsia"/>
          <w:color w:val="auto"/>
          <w:kern w:val="2"/>
          <w:sz w:val="24"/>
          <w:szCs w:val="24"/>
        </w:rPr>
        <w:t>（3）</w:t>
      </w:r>
      <w:r>
        <w:rPr>
          <w:color w:val="auto"/>
          <w:sz w:val="24"/>
        </w:rPr>
        <w:t>储罐废气</w:t>
      </w:r>
    </w:p>
    <w:p>
      <w:pPr>
        <w:spacing w:line="360" w:lineRule="auto"/>
        <w:ind w:firstLine="480" w:firstLineChars="200"/>
        <w:rPr>
          <w:color w:val="auto"/>
          <w:sz w:val="24"/>
        </w:rPr>
      </w:pPr>
      <w:r>
        <w:rPr>
          <w:color w:val="auto"/>
          <w:sz w:val="24"/>
        </w:rPr>
        <w:t>本项目设有</w:t>
      </w:r>
      <w:r>
        <w:rPr>
          <w:rFonts w:hint="eastAsia"/>
          <w:color w:val="auto"/>
          <w:sz w:val="24"/>
        </w:rPr>
        <w:t>1</w:t>
      </w:r>
      <w:r>
        <w:rPr>
          <w:color w:val="auto"/>
          <w:sz w:val="24"/>
        </w:rPr>
        <w:t>个</w:t>
      </w:r>
      <w:r>
        <w:rPr>
          <w:rFonts w:hint="eastAsia"/>
          <w:color w:val="auto"/>
          <w:sz w:val="24"/>
        </w:rPr>
        <w:t>80</w:t>
      </w:r>
      <w:r>
        <w:rPr>
          <w:color w:val="auto"/>
          <w:sz w:val="24"/>
        </w:rPr>
        <w:t>m</w:t>
      </w:r>
      <w:r>
        <w:rPr>
          <w:color w:val="auto"/>
          <w:sz w:val="24"/>
          <w:vertAlign w:val="superscript"/>
        </w:rPr>
        <w:t>3</w:t>
      </w:r>
      <w:r>
        <w:rPr>
          <w:color w:val="auto"/>
          <w:sz w:val="24"/>
        </w:rPr>
        <w:t>沥青储罐，</w:t>
      </w:r>
      <w:r>
        <w:rPr>
          <w:rFonts w:hint="eastAsia"/>
          <w:color w:val="auto"/>
          <w:sz w:val="24"/>
        </w:rPr>
        <w:t>1个</w:t>
      </w:r>
      <w:r>
        <w:rPr>
          <w:rFonts w:hint="eastAsia"/>
          <w:color w:val="auto"/>
          <w:sz w:val="24"/>
          <w:lang w:val="en-US" w:eastAsia="zh-CN"/>
        </w:rPr>
        <w:t>1</w:t>
      </w:r>
      <w:r>
        <w:rPr>
          <w:rFonts w:hint="eastAsia"/>
          <w:color w:val="auto"/>
          <w:sz w:val="24"/>
        </w:rPr>
        <w:t>0</w:t>
      </w:r>
      <w:r>
        <w:rPr>
          <w:color w:val="auto"/>
          <w:sz w:val="24"/>
        </w:rPr>
        <w:t>m</w:t>
      </w:r>
      <w:r>
        <w:rPr>
          <w:color w:val="auto"/>
          <w:sz w:val="24"/>
          <w:vertAlign w:val="superscript"/>
        </w:rPr>
        <w:t>3</w:t>
      </w:r>
      <w:r>
        <w:rPr>
          <w:rFonts w:hint="eastAsia"/>
          <w:color w:val="auto"/>
          <w:sz w:val="24"/>
        </w:rPr>
        <w:t>软化油罐，均</w:t>
      </w:r>
      <w:r>
        <w:rPr>
          <w:color w:val="auto"/>
          <w:sz w:val="24"/>
        </w:rPr>
        <w:t>设有呼吸阀</w:t>
      </w:r>
      <w:r>
        <w:rPr>
          <w:rFonts w:hint="eastAsia"/>
          <w:color w:val="auto"/>
          <w:sz w:val="24"/>
        </w:rPr>
        <w:t>。</w:t>
      </w:r>
      <w:r>
        <w:rPr>
          <w:color w:val="auto"/>
          <w:sz w:val="24"/>
        </w:rPr>
        <w:t>沥青储罐设有保温装置（</w:t>
      </w:r>
      <w:r>
        <w:rPr>
          <w:rFonts w:hint="eastAsia"/>
          <w:color w:val="auto"/>
          <w:sz w:val="24"/>
        </w:rPr>
        <w:t>温度在50℃左右）</w:t>
      </w:r>
      <w:r>
        <w:rPr>
          <w:color w:val="auto"/>
          <w:sz w:val="24"/>
        </w:rPr>
        <w:t>，热源来源于</w:t>
      </w:r>
      <w:r>
        <w:rPr>
          <w:rFonts w:hint="eastAsia"/>
          <w:color w:val="auto"/>
          <w:sz w:val="24"/>
        </w:rPr>
        <w:t>导热油炉</w:t>
      </w:r>
      <w:r>
        <w:rPr>
          <w:color w:val="auto"/>
          <w:sz w:val="24"/>
        </w:rPr>
        <w:t>，其储罐呼吸废气包括装卸过程中的</w:t>
      </w:r>
      <w:r>
        <w:rPr>
          <w:rFonts w:hint="eastAsia"/>
          <w:color w:val="auto"/>
          <w:sz w:val="24"/>
        </w:rPr>
        <w:t>挥发损耗</w:t>
      </w:r>
      <w:r>
        <w:rPr>
          <w:color w:val="auto"/>
          <w:sz w:val="24"/>
        </w:rPr>
        <w:t>（大呼吸）和储罐静贮存时的</w:t>
      </w:r>
      <w:r>
        <w:rPr>
          <w:rFonts w:hint="eastAsia"/>
          <w:color w:val="auto"/>
          <w:sz w:val="24"/>
        </w:rPr>
        <w:t>挥发损耗</w:t>
      </w:r>
      <w:r>
        <w:rPr>
          <w:color w:val="auto"/>
          <w:sz w:val="24"/>
        </w:rPr>
        <w:t>（小呼吸）。</w:t>
      </w:r>
    </w:p>
    <w:p>
      <w:pPr>
        <w:spacing w:line="360" w:lineRule="auto"/>
        <w:ind w:firstLine="480" w:firstLineChars="200"/>
        <w:rPr>
          <w:color w:val="auto"/>
          <w:sz w:val="24"/>
        </w:rPr>
      </w:pPr>
      <w:r>
        <w:rPr>
          <w:rFonts w:hint="eastAsia"/>
          <w:color w:val="auto"/>
          <w:sz w:val="24"/>
        </w:rPr>
        <w:t>沥青是由不同分子量的碳氢化合物及其非金属衍生物组成的黑褐色复杂混合物，是高黏度有机液体的一种，呈液态，表面呈黑色，闪点为204.4℃，软化点为45.1℃。本项目所用沥青为石油沥青，是原油高温蒸馏后的产物，挥发性烃类物质含量少，根据《沥青烟产生机理研究》（沥青，第29卷第5期，2015年10月），沥青烟是一种特殊的污染物，主要由液态烃类颗粒物和气态烃类颗粒物及其衍生物组成，在高温操作时会产生沥青烟。本项目储罐区沥青储罐仅设有保温措施</w:t>
      </w:r>
      <w:r>
        <w:rPr>
          <w:color w:val="auto"/>
          <w:sz w:val="24"/>
        </w:rPr>
        <w:t>，</w:t>
      </w:r>
      <w:r>
        <w:rPr>
          <w:rFonts w:hint="eastAsia"/>
          <w:color w:val="auto"/>
          <w:sz w:val="24"/>
        </w:rPr>
        <w:t>温度控制在50℃左右，挥发的废气</w:t>
      </w:r>
      <w:r>
        <w:rPr>
          <w:color w:val="auto"/>
          <w:sz w:val="24"/>
        </w:rPr>
        <w:t>主要成分</w:t>
      </w:r>
      <w:r>
        <w:rPr>
          <w:rFonts w:hint="eastAsia"/>
          <w:color w:val="auto"/>
          <w:sz w:val="24"/>
        </w:rPr>
        <w:t>为</w:t>
      </w:r>
      <w:r>
        <w:rPr>
          <w:color w:val="auto"/>
          <w:sz w:val="24"/>
        </w:rPr>
        <w:t>烃类，</w:t>
      </w:r>
      <w:r>
        <w:rPr>
          <w:rFonts w:hint="eastAsia"/>
          <w:color w:val="auto"/>
          <w:sz w:val="24"/>
        </w:rPr>
        <w:t>以非甲烷总烃计。</w:t>
      </w:r>
    </w:p>
    <w:p>
      <w:pPr>
        <w:spacing w:line="360" w:lineRule="auto"/>
        <w:ind w:firstLine="480" w:firstLineChars="200"/>
        <w:rPr>
          <w:b/>
          <w:bCs/>
          <w:color w:val="auto"/>
          <w:szCs w:val="21"/>
        </w:rPr>
      </w:pPr>
      <w:r>
        <w:rPr>
          <w:color w:val="auto"/>
          <w:sz w:val="24"/>
        </w:rPr>
        <w:t>本项目</w:t>
      </w:r>
      <w:r>
        <w:rPr>
          <w:rFonts w:hint="eastAsia"/>
          <w:color w:val="auto"/>
          <w:sz w:val="24"/>
          <w:lang w:val="en-US" w:eastAsia="zh-CN"/>
        </w:rPr>
        <w:t>储罐</w:t>
      </w:r>
      <w:r>
        <w:rPr>
          <w:color w:val="auto"/>
          <w:sz w:val="24"/>
        </w:rPr>
        <w:t>装卸采用双管式物料输送，即两条管道与储罐连通，一条是槽车到储罐的物料输送管道，另一条是储罐顶部到槽车的气压平衡管。当物料在储罐和槽车之间输送时，储罐中挥发油气也通过另一管道向槽车转移，从而避免装卸过程的大呼吸发生。</w:t>
      </w:r>
    </w:p>
    <w:p>
      <w:pPr>
        <w:spacing w:line="360" w:lineRule="auto"/>
        <w:ind w:firstLine="480" w:firstLineChars="200"/>
        <w:rPr>
          <w:color w:val="auto"/>
          <w:sz w:val="24"/>
        </w:rPr>
      </w:pPr>
      <w:r>
        <w:rPr>
          <w:color w:val="auto"/>
          <w:sz w:val="24"/>
        </w:rPr>
        <w:t>储罐静贮存时的</w:t>
      </w:r>
      <w:r>
        <w:rPr>
          <w:rFonts w:hint="eastAsia"/>
          <w:color w:val="auto"/>
          <w:sz w:val="24"/>
        </w:rPr>
        <w:t>挥发损耗</w:t>
      </w:r>
      <w:r>
        <w:rPr>
          <w:color w:val="auto"/>
          <w:sz w:val="24"/>
        </w:rPr>
        <w:t>（小呼吸）按以下公式计算。</w:t>
      </w:r>
    </w:p>
    <w:p>
      <w:pPr>
        <w:adjustRightInd w:val="0"/>
        <w:spacing w:line="360" w:lineRule="auto"/>
        <w:ind w:firstLine="480"/>
        <w:jc w:val="center"/>
        <w:textAlignment w:val="baseline"/>
        <w:rPr>
          <w:color w:val="auto"/>
          <w:kern w:val="0"/>
          <w:sz w:val="24"/>
          <w:szCs w:val="20"/>
        </w:rPr>
      </w:pPr>
      <w:r>
        <w:rPr>
          <w:color w:val="auto"/>
          <w:kern w:val="0"/>
          <w:position w:val="-14"/>
          <w:sz w:val="24"/>
          <w:szCs w:val="20"/>
        </w:rPr>
        <w:drawing>
          <wp:inline distT="0" distB="0" distL="114300" distR="114300">
            <wp:extent cx="4113530" cy="266700"/>
            <wp:effectExtent l="0" t="0" r="1270" b="0"/>
            <wp:docPr id="2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6"/>
                    <pic:cNvPicPr>
                      <a:picLocks noChangeAspect="1"/>
                    </pic:cNvPicPr>
                  </pic:nvPicPr>
                  <pic:blipFill>
                    <a:blip r:embed="rId69"/>
                    <a:stretch>
                      <a:fillRect/>
                    </a:stretch>
                  </pic:blipFill>
                  <pic:spPr>
                    <a:xfrm>
                      <a:off x="0" y="0"/>
                      <a:ext cx="4113530" cy="266700"/>
                    </a:xfrm>
                    <a:prstGeom prst="rect">
                      <a:avLst/>
                    </a:prstGeom>
                    <a:noFill/>
                    <a:ln w="9525">
                      <a:noFill/>
                    </a:ln>
                  </pic:spPr>
                </pic:pic>
              </a:graphicData>
            </a:graphic>
          </wp:inline>
        </w:drawing>
      </w:r>
    </w:p>
    <w:p>
      <w:pPr>
        <w:adjustRightInd w:val="0"/>
        <w:spacing w:line="360" w:lineRule="auto"/>
        <w:ind w:firstLine="480"/>
        <w:jc w:val="left"/>
        <w:textAlignment w:val="baseline"/>
        <w:rPr>
          <w:color w:val="auto"/>
          <w:kern w:val="0"/>
          <w:sz w:val="24"/>
          <w:szCs w:val="20"/>
        </w:rPr>
      </w:pPr>
      <w:r>
        <w:rPr>
          <w:color w:val="auto"/>
          <w:kern w:val="0"/>
          <w:sz w:val="24"/>
          <w:szCs w:val="20"/>
        </w:rPr>
        <w:t>式中：</w:t>
      </w:r>
    </w:p>
    <w:p>
      <w:pPr>
        <w:adjustRightInd w:val="0"/>
        <w:spacing w:line="360" w:lineRule="auto"/>
        <w:ind w:firstLine="480"/>
        <w:jc w:val="left"/>
        <w:textAlignment w:val="baseline"/>
        <w:rPr>
          <w:color w:val="auto"/>
          <w:kern w:val="0"/>
          <w:sz w:val="24"/>
          <w:szCs w:val="20"/>
        </w:rPr>
      </w:pPr>
      <w:r>
        <w:rPr>
          <w:color w:val="auto"/>
          <w:kern w:val="0"/>
          <w:sz w:val="24"/>
          <w:szCs w:val="20"/>
        </w:rPr>
        <w:t>L</w:t>
      </w:r>
      <w:r>
        <w:rPr>
          <w:color w:val="auto"/>
          <w:kern w:val="0"/>
          <w:sz w:val="24"/>
          <w:szCs w:val="20"/>
          <w:vertAlign w:val="subscript"/>
        </w:rPr>
        <w:t>B</w:t>
      </w:r>
      <w:r>
        <w:rPr>
          <w:color w:val="auto"/>
          <w:kern w:val="0"/>
          <w:sz w:val="24"/>
          <w:szCs w:val="20"/>
        </w:rPr>
        <w:t>——储罐小呼吸排放量，kg/a；</w:t>
      </w:r>
    </w:p>
    <w:p>
      <w:pPr>
        <w:adjustRightInd w:val="0"/>
        <w:spacing w:line="360" w:lineRule="auto"/>
        <w:ind w:firstLine="480"/>
        <w:jc w:val="left"/>
        <w:textAlignment w:val="baseline"/>
        <w:rPr>
          <w:color w:val="auto"/>
          <w:kern w:val="0"/>
          <w:sz w:val="24"/>
          <w:szCs w:val="20"/>
        </w:rPr>
      </w:pPr>
      <w:r>
        <w:rPr>
          <w:color w:val="auto"/>
          <w:kern w:val="0"/>
          <w:sz w:val="24"/>
          <w:szCs w:val="20"/>
        </w:rPr>
        <w:t>M——储罐内蒸气的分子量；</w:t>
      </w:r>
    </w:p>
    <w:p>
      <w:pPr>
        <w:adjustRightInd w:val="0"/>
        <w:spacing w:line="360" w:lineRule="auto"/>
        <w:ind w:firstLine="480"/>
        <w:jc w:val="left"/>
        <w:textAlignment w:val="baseline"/>
        <w:rPr>
          <w:color w:val="auto"/>
          <w:kern w:val="0"/>
          <w:sz w:val="24"/>
          <w:szCs w:val="20"/>
        </w:rPr>
      </w:pPr>
      <w:r>
        <w:rPr>
          <w:color w:val="auto"/>
          <w:kern w:val="0"/>
          <w:sz w:val="24"/>
          <w:szCs w:val="20"/>
        </w:rPr>
        <w:t>P——在大量液体状态下，真实的蒸气压力，Pa，</w:t>
      </w:r>
      <w:r>
        <w:rPr>
          <w:rFonts w:hint="eastAsia"/>
          <w:color w:val="auto"/>
          <w:kern w:val="0"/>
          <w:sz w:val="24"/>
          <w:szCs w:val="20"/>
        </w:rPr>
        <w:t>拟</w:t>
      </w:r>
      <w:r>
        <w:rPr>
          <w:color w:val="auto"/>
          <w:kern w:val="0"/>
          <w:sz w:val="24"/>
          <w:szCs w:val="20"/>
        </w:rPr>
        <w:t>参考燃料油的蒸汽压力；</w:t>
      </w:r>
    </w:p>
    <w:p>
      <w:pPr>
        <w:adjustRightInd w:val="0"/>
        <w:spacing w:line="360" w:lineRule="auto"/>
        <w:ind w:firstLine="480"/>
        <w:jc w:val="left"/>
        <w:textAlignment w:val="baseline"/>
        <w:rPr>
          <w:color w:val="auto"/>
          <w:kern w:val="0"/>
          <w:sz w:val="24"/>
          <w:szCs w:val="20"/>
        </w:rPr>
      </w:pPr>
      <w:r>
        <w:rPr>
          <w:color w:val="auto"/>
          <w:kern w:val="0"/>
          <w:sz w:val="24"/>
          <w:szCs w:val="20"/>
        </w:rPr>
        <w:t>D——罐的直径，m；</w:t>
      </w:r>
    </w:p>
    <w:p>
      <w:pPr>
        <w:adjustRightInd w:val="0"/>
        <w:spacing w:line="360" w:lineRule="auto"/>
        <w:ind w:firstLine="480"/>
        <w:jc w:val="left"/>
        <w:textAlignment w:val="baseline"/>
        <w:rPr>
          <w:color w:val="auto"/>
          <w:kern w:val="0"/>
          <w:sz w:val="24"/>
          <w:szCs w:val="20"/>
        </w:rPr>
      </w:pPr>
      <w:r>
        <w:rPr>
          <w:color w:val="auto"/>
          <w:kern w:val="0"/>
          <w:sz w:val="24"/>
          <w:szCs w:val="20"/>
        </w:rPr>
        <w:t>H——平均蒸气空间高度，m，按平均充装率60%计；</w:t>
      </w:r>
    </w:p>
    <w:p>
      <w:pPr>
        <w:spacing w:line="360" w:lineRule="auto"/>
        <w:ind w:firstLine="480" w:firstLineChars="200"/>
        <w:rPr>
          <w:color w:val="auto"/>
          <w:sz w:val="24"/>
        </w:rPr>
      </w:pPr>
      <w:r>
        <w:rPr>
          <w:rFonts w:ascii="Cambria Math" w:hAnsi="Cambria Math" w:cs="Cambria Math"/>
          <w:color w:val="auto"/>
          <w:sz w:val="24"/>
        </w:rPr>
        <w:t>△</w:t>
      </w:r>
      <w:r>
        <w:rPr>
          <w:color w:val="auto"/>
          <w:sz w:val="24"/>
        </w:rPr>
        <w:t>T——一天之内的平均温度差，℃；根据清远多年气象统计资料，平均气温日均差取最大值7.4℃。</w:t>
      </w:r>
    </w:p>
    <w:p>
      <w:pPr>
        <w:adjustRightInd w:val="0"/>
        <w:spacing w:line="360" w:lineRule="auto"/>
        <w:ind w:firstLine="480"/>
        <w:jc w:val="left"/>
        <w:textAlignment w:val="baseline"/>
        <w:rPr>
          <w:color w:val="auto"/>
          <w:kern w:val="0"/>
          <w:sz w:val="24"/>
          <w:szCs w:val="20"/>
        </w:rPr>
      </w:pPr>
      <w:r>
        <w:rPr>
          <w:color w:val="auto"/>
          <w:kern w:val="0"/>
          <w:sz w:val="24"/>
          <w:szCs w:val="20"/>
        </w:rPr>
        <w:t>Fp——涂层因子（无量纲），根据</w:t>
      </w:r>
      <w:r>
        <w:rPr>
          <w:rFonts w:hint="eastAsia"/>
          <w:color w:val="auto"/>
          <w:kern w:val="0"/>
          <w:sz w:val="24"/>
          <w:szCs w:val="20"/>
        </w:rPr>
        <w:t>罐体涂层</w:t>
      </w:r>
      <w:r>
        <w:rPr>
          <w:color w:val="auto"/>
          <w:kern w:val="0"/>
          <w:sz w:val="24"/>
          <w:szCs w:val="20"/>
        </w:rPr>
        <w:t>状况取值在1～1.5之间，本项目取1.0；</w:t>
      </w:r>
    </w:p>
    <w:p>
      <w:pPr>
        <w:adjustRightInd w:val="0"/>
        <w:spacing w:line="360" w:lineRule="auto"/>
        <w:ind w:left="1199" w:leftChars="228" w:hanging="720" w:hangingChars="300"/>
        <w:jc w:val="left"/>
        <w:textAlignment w:val="baseline"/>
        <w:rPr>
          <w:color w:val="auto"/>
          <w:kern w:val="0"/>
          <w:sz w:val="24"/>
          <w:szCs w:val="20"/>
        </w:rPr>
      </w:pPr>
      <w:r>
        <w:rPr>
          <w:color w:val="auto"/>
          <w:kern w:val="0"/>
          <w:sz w:val="24"/>
          <w:szCs w:val="20"/>
        </w:rPr>
        <w:t>C——用于小直径罐的调节因子（无量纲）；直径在0～9m之间的罐体，C=1-0.0123(D-9)</w:t>
      </w:r>
      <w:r>
        <w:rPr>
          <w:color w:val="auto"/>
          <w:kern w:val="0"/>
          <w:sz w:val="24"/>
          <w:szCs w:val="20"/>
          <w:vertAlign w:val="superscript"/>
        </w:rPr>
        <w:t>2</w:t>
      </w:r>
      <w:r>
        <w:rPr>
          <w:color w:val="auto"/>
          <w:kern w:val="0"/>
          <w:sz w:val="24"/>
          <w:szCs w:val="20"/>
        </w:rPr>
        <w:t>；罐径大于9m的罐体，C=1；</w:t>
      </w:r>
    </w:p>
    <w:p>
      <w:pPr>
        <w:adjustRightInd w:val="0"/>
        <w:spacing w:line="360" w:lineRule="auto"/>
        <w:ind w:firstLine="480"/>
        <w:jc w:val="left"/>
        <w:textAlignment w:val="baseline"/>
        <w:rPr>
          <w:color w:val="auto"/>
          <w:kern w:val="0"/>
          <w:sz w:val="24"/>
          <w:szCs w:val="20"/>
        </w:rPr>
      </w:pPr>
      <w:r>
        <w:rPr>
          <w:color w:val="auto"/>
          <w:kern w:val="0"/>
          <w:sz w:val="24"/>
          <w:szCs w:val="20"/>
        </w:rPr>
        <w:t>K</w:t>
      </w:r>
      <w:r>
        <w:rPr>
          <w:color w:val="auto"/>
          <w:kern w:val="0"/>
          <w:sz w:val="24"/>
          <w:szCs w:val="20"/>
          <w:vertAlign w:val="subscript"/>
        </w:rPr>
        <w:t>C</w:t>
      </w:r>
      <w:r>
        <w:rPr>
          <w:color w:val="auto"/>
          <w:kern w:val="0"/>
          <w:sz w:val="24"/>
          <w:szCs w:val="20"/>
        </w:rPr>
        <w:t>——产品因子，石油原油K</w:t>
      </w:r>
      <w:r>
        <w:rPr>
          <w:color w:val="auto"/>
          <w:kern w:val="0"/>
          <w:sz w:val="24"/>
          <w:szCs w:val="20"/>
          <w:vertAlign w:val="subscript"/>
        </w:rPr>
        <w:t>C</w:t>
      </w:r>
      <w:r>
        <w:rPr>
          <w:color w:val="auto"/>
          <w:kern w:val="0"/>
          <w:sz w:val="24"/>
          <w:szCs w:val="20"/>
        </w:rPr>
        <w:t>取0.65，其他油品取1.0，本项目取1.0。</w:t>
      </w:r>
    </w:p>
    <w:p>
      <w:pPr>
        <w:spacing w:line="360" w:lineRule="auto"/>
        <w:ind w:firstLine="960" w:firstLineChars="400"/>
        <w:rPr>
          <w:color w:val="auto"/>
          <w:sz w:val="24"/>
        </w:rPr>
      </w:pPr>
      <w:r>
        <w:rPr>
          <w:color w:val="auto"/>
          <w:sz w:val="24"/>
        </w:rPr>
        <w:t>本项目储罐均安装有呼吸阀，可减少小呼吸损耗。本评价采用的计算公式中未有考虑安装呼吸阀，因此可认为本评价的源强结果是偏于保守的。根据上公式及项目储罐情况计算得小呼吸废气产生总量为</w:t>
      </w:r>
      <w:r>
        <w:rPr>
          <w:rFonts w:hint="eastAsia"/>
          <w:color w:val="auto"/>
          <w:sz w:val="24"/>
        </w:rPr>
        <w:t>0.0451t/a</w:t>
      </w:r>
      <w:r>
        <w:rPr>
          <w:color w:val="auto"/>
          <w:sz w:val="24"/>
        </w:rPr>
        <w:t>。</w:t>
      </w:r>
      <w:r>
        <w:rPr>
          <w:rFonts w:hint="eastAsia"/>
          <w:color w:val="auto"/>
          <w:sz w:val="24"/>
        </w:rPr>
        <w:t>沥青储罐废气经管道收集后引至UV光解+活性炭吸附装置燃烧处理。</w:t>
      </w:r>
    </w:p>
    <w:p>
      <w:pPr>
        <w:snapToGrid w:val="0"/>
        <w:spacing w:before="159" w:beforeLines="50"/>
        <w:jc w:val="center"/>
        <w:rPr>
          <w:b/>
          <w:color w:val="auto"/>
          <w:szCs w:val="21"/>
        </w:rPr>
      </w:pPr>
      <w:r>
        <w:rPr>
          <w:b/>
          <w:color w:val="auto"/>
          <w:szCs w:val="16"/>
        </w:rPr>
        <w:t>表</w:t>
      </w:r>
      <w:r>
        <w:rPr>
          <w:rFonts w:hint="eastAsia"/>
          <w:b/>
          <w:color w:val="auto"/>
          <w:szCs w:val="16"/>
        </w:rPr>
        <w:t>4.5-8</w:t>
      </w:r>
      <w:r>
        <w:rPr>
          <w:b/>
          <w:color w:val="auto"/>
          <w:szCs w:val="16"/>
        </w:rPr>
        <w:t xml:space="preserve">  小呼吸计算参数选值</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812"/>
        <w:gridCol w:w="927"/>
        <w:gridCol w:w="696"/>
        <w:gridCol w:w="853"/>
        <w:gridCol w:w="785"/>
        <w:gridCol w:w="862"/>
        <w:gridCol w:w="999"/>
        <w:gridCol w:w="523"/>
        <w:gridCol w:w="811"/>
        <w:gridCol w:w="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077" w:type="dxa"/>
            <w:shd w:val="clear" w:color="auto" w:fill="auto"/>
            <w:vAlign w:val="center"/>
          </w:tcPr>
          <w:p>
            <w:pPr>
              <w:spacing w:line="300" w:lineRule="auto"/>
              <w:jc w:val="center"/>
              <w:rPr>
                <w:color w:val="auto"/>
                <w:szCs w:val="21"/>
              </w:rPr>
            </w:pPr>
            <w:r>
              <w:rPr>
                <w:color w:val="auto"/>
                <w:szCs w:val="21"/>
              </w:rPr>
              <w:t>储罐名称</w:t>
            </w:r>
          </w:p>
        </w:tc>
        <w:tc>
          <w:tcPr>
            <w:tcW w:w="812" w:type="dxa"/>
            <w:shd w:val="clear" w:color="auto" w:fill="auto"/>
            <w:vAlign w:val="center"/>
          </w:tcPr>
          <w:p>
            <w:pPr>
              <w:spacing w:line="300" w:lineRule="auto"/>
              <w:jc w:val="center"/>
              <w:rPr>
                <w:color w:val="auto"/>
                <w:szCs w:val="21"/>
              </w:rPr>
            </w:pPr>
            <w:r>
              <w:rPr>
                <w:color w:val="auto"/>
                <w:szCs w:val="21"/>
              </w:rPr>
              <w:t>规格</w:t>
            </w:r>
          </w:p>
        </w:tc>
        <w:tc>
          <w:tcPr>
            <w:tcW w:w="927" w:type="dxa"/>
            <w:shd w:val="clear" w:color="auto" w:fill="auto"/>
            <w:vAlign w:val="center"/>
          </w:tcPr>
          <w:p>
            <w:pPr>
              <w:spacing w:line="300" w:lineRule="auto"/>
              <w:jc w:val="center"/>
              <w:rPr>
                <w:color w:val="auto"/>
                <w:szCs w:val="21"/>
              </w:rPr>
            </w:pPr>
            <w:r>
              <w:rPr>
                <w:color w:val="auto"/>
                <w:szCs w:val="21"/>
              </w:rPr>
              <w:t>数量/个</w:t>
            </w:r>
          </w:p>
        </w:tc>
        <w:tc>
          <w:tcPr>
            <w:tcW w:w="696" w:type="dxa"/>
            <w:shd w:val="clear" w:color="auto" w:fill="auto"/>
            <w:vAlign w:val="center"/>
          </w:tcPr>
          <w:p>
            <w:pPr>
              <w:spacing w:line="300" w:lineRule="auto"/>
              <w:jc w:val="center"/>
              <w:rPr>
                <w:color w:val="auto"/>
                <w:szCs w:val="21"/>
              </w:rPr>
            </w:pPr>
            <w:r>
              <w:rPr>
                <w:color w:val="auto"/>
                <w:szCs w:val="21"/>
              </w:rPr>
              <w:t>M</w:t>
            </w:r>
          </w:p>
        </w:tc>
        <w:tc>
          <w:tcPr>
            <w:tcW w:w="853" w:type="dxa"/>
            <w:shd w:val="clear" w:color="auto" w:fill="auto"/>
            <w:vAlign w:val="center"/>
          </w:tcPr>
          <w:p>
            <w:pPr>
              <w:spacing w:line="300" w:lineRule="auto"/>
              <w:jc w:val="center"/>
              <w:rPr>
                <w:color w:val="auto"/>
                <w:szCs w:val="21"/>
              </w:rPr>
            </w:pPr>
            <w:r>
              <w:rPr>
                <w:color w:val="auto"/>
                <w:szCs w:val="21"/>
              </w:rPr>
              <w:t>P（Pa）</w:t>
            </w:r>
          </w:p>
        </w:tc>
        <w:tc>
          <w:tcPr>
            <w:tcW w:w="785" w:type="dxa"/>
            <w:shd w:val="clear" w:color="auto" w:fill="auto"/>
            <w:vAlign w:val="center"/>
          </w:tcPr>
          <w:p>
            <w:pPr>
              <w:spacing w:line="300" w:lineRule="auto"/>
              <w:jc w:val="center"/>
              <w:rPr>
                <w:color w:val="auto"/>
                <w:szCs w:val="21"/>
              </w:rPr>
            </w:pPr>
            <w:r>
              <w:rPr>
                <w:color w:val="auto"/>
                <w:szCs w:val="21"/>
              </w:rPr>
              <w:t>D（m）</w:t>
            </w:r>
          </w:p>
        </w:tc>
        <w:tc>
          <w:tcPr>
            <w:tcW w:w="862" w:type="dxa"/>
            <w:shd w:val="clear" w:color="auto" w:fill="auto"/>
            <w:vAlign w:val="center"/>
          </w:tcPr>
          <w:p>
            <w:pPr>
              <w:spacing w:line="300" w:lineRule="auto"/>
              <w:jc w:val="center"/>
              <w:rPr>
                <w:color w:val="auto"/>
                <w:szCs w:val="21"/>
              </w:rPr>
            </w:pPr>
            <w:r>
              <w:rPr>
                <w:color w:val="auto"/>
                <w:szCs w:val="21"/>
              </w:rPr>
              <w:t>H（m）</w:t>
            </w:r>
          </w:p>
        </w:tc>
        <w:tc>
          <w:tcPr>
            <w:tcW w:w="999" w:type="dxa"/>
            <w:shd w:val="clear" w:color="auto" w:fill="auto"/>
            <w:vAlign w:val="center"/>
          </w:tcPr>
          <w:p>
            <w:pPr>
              <w:spacing w:line="300" w:lineRule="auto"/>
              <w:jc w:val="center"/>
              <w:rPr>
                <w:color w:val="auto"/>
                <w:szCs w:val="21"/>
              </w:rPr>
            </w:pPr>
            <w:r>
              <w:rPr>
                <w:rFonts w:ascii="Cambria Math" w:hAnsi="Cambria Math" w:cs="Cambria Math"/>
                <w:color w:val="auto"/>
                <w:szCs w:val="21"/>
              </w:rPr>
              <w:t>△</w:t>
            </w:r>
            <w:r>
              <w:rPr>
                <w:color w:val="auto"/>
                <w:szCs w:val="21"/>
              </w:rPr>
              <w:t>T（</w:t>
            </w:r>
            <w:r>
              <w:rPr>
                <w:color w:val="auto"/>
                <w:sz w:val="24"/>
              </w:rPr>
              <w:t>℃</w:t>
            </w:r>
            <w:r>
              <w:rPr>
                <w:color w:val="auto"/>
                <w:szCs w:val="21"/>
              </w:rPr>
              <w:t>）</w:t>
            </w:r>
          </w:p>
        </w:tc>
        <w:tc>
          <w:tcPr>
            <w:tcW w:w="523" w:type="dxa"/>
            <w:shd w:val="clear" w:color="auto" w:fill="auto"/>
            <w:vAlign w:val="center"/>
          </w:tcPr>
          <w:p>
            <w:pPr>
              <w:spacing w:line="300" w:lineRule="auto"/>
              <w:jc w:val="center"/>
              <w:rPr>
                <w:color w:val="auto"/>
                <w:szCs w:val="21"/>
              </w:rPr>
            </w:pPr>
            <w:r>
              <w:rPr>
                <w:color w:val="auto"/>
                <w:szCs w:val="21"/>
              </w:rPr>
              <w:t>Fp</w:t>
            </w:r>
          </w:p>
        </w:tc>
        <w:tc>
          <w:tcPr>
            <w:tcW w:w="811" w:type="dxa"/>
            <w:shd w:val="clear" w:color="auto" w:fill="auto"/>
            <w:vAlign w:val="center"/>
          </w:tcPr>
          <w:p>
            <w:pPr>
              <w:spacing w:line="300" w:lineRule="auto"/>
              <w:jc w:val="center"/>
              <w:rPr>
                <w:color w:val="auto"/>
                <w:szCs w:val="21"/>
              </w:rPr>
            </w:pPr>
            <w:r>
              <w:rPr>
                <w:color w:val="auto"/>
                <w:szCs w:val="21"/>
              </w:rPr>
              <w:t>C</w:t>
            </w:r>
          </w:p>
        </w:tc>
        <w:tc>
          <w:tcPr>
            <w:tcW w:w="603" w:type="dxa"/>
            <w:shd w:val="clear" w:color="auto" w:fill="auto"/>
            <w:vAlign w:val="center"/>
          </w:tcPr>
          <w:p>
            <w:pPr>
              <w:spacing w:line="300" w:lineRule="auto"/>
              <w:jc w:val="center"/>
              <w:rPr>
                <w:color w:val="auto"/>
                <w:szCs w:val="21"/>
              </w:rPr>
            </w:pPr>
            <w:r>
              <w:rPr>
                <w:color w:val="auto"/>
                <w:szCs w:val="21"/>
              </w:rPr>
              <w:t>Kc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077" w:type="dxa"/>
            <w:shd w:val="clear" w:color="auto" w:fill="auto"/>
            <w:vAlign w:val="center"/>
          </w:tcPr>
          <w:p>
            <w:pPr>
              <w:autoSpaceDN w:val="0"/>
              <w:spacing w:line="300" w:lineRule="auto"/>
              <w:jc w:val="center"/>
              <w:textAlignment w:val="top"/>
              <w:rPr>
                <w:color w:val="auto"/>
                <w:szCs w:val="21"/>
              </w:rPr>
            </w:pPr>
            <w:r>
              <w:rPr>
                <w:color w:val="auto"/>
                <w:szCs w:val="21"/>
              </w:rPr>
              <w:t>沥青储罐</w:t>
            </w:r>
          </w:p>
        </w:tc>
        <w:tc>
          <w:tcPr>
            <w:tcW w:w="812" w:type="dxa"/>
            <w:shd w:val="clear" w:color="auto" w:fill="auto"/>
            <w:vAlign w:val="center"/>
          </w:tcPr>
          <w:p>
            <w:pPr>
              <w:spacing w:line="300" w:lineRule="auto"/>
              <w:jc w:val="center"/>
              <w:rPr>
                <w:color w:val="auto"/>
                <w:szCs w:val="21"/>
              </w:rPr>
            </w:pPr>
            <w:r>
              <w:rPr>
                <w:rFonts w:hint="eastAsia"/>
                <w:color w:val="auto"/>
                <w:szCs w:val="21"/>
              </w:rPr>
              <w:t>8</w:t>
            </w:r>
            <w:r>
              <w:rPr>
                <w:color w:val="auto"/>
                <w:szCs w:val="21"/>
              </w:rPr>
              <w:t>0m</w:t>
            </w:r>
            <w:r>
              <w:rPr>
                <w:color w:val="auto"/>
                <w:szCs w:val="21"/>
                <w:vertAlign w:val="superscript"/>
              </w:rPr>
              <w:t>3</w:t>
            </w:r>
          </w:p>
        </w:tc>
        <w:tc>
          <w:tcPr>
            <w:tcW w:w="927" w:type="dxa"/>
            <w:shd w:val="clear" w:color="auto" w:fill="auto"/>
            <w:vAlign w:val="center"/>
          </w:tcPr>
          <w:p>
            <w:pPr>
              <w:autoSpaceDN w:val="0"/>
              <w:spacing w:line="300" w:lineRule="auto"/>
              <w:jc w:val="center"/>
              <w:textAlignment w:val="top"/>
              <w:rPr>
                <w:rFonts w:eastAsiaTheme="minorEastAsia"/>
                <w:color w:val="auto"/>
                <w:szCs w:val="21"/>
              </w:rPr>
            </w:pPr>
            <w:r>
              <w:rPr>
                <w:rFonts w:hint="eastAsia"/>
                <w:color w:val="auto"/>
                <w:szCs w:val="21"/>
              </w:rPr>
              <w:t>1</w:t>
            </w:r>
          </w:p>
        </w:tc>
        <w:tc>
          <w:tcPr>
            <w:tcW w:w="696"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130</w:t>
            </w:r>
          </w:p>
        </w:tc>
        <w:tc>
          <w:tcPr>
            <w:tcW w:w="853"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667</w:t>
            </w:r>
          </w:p>
        </w:tc>
        <w:tc>
          <w:tcPr>
            <w:tcW w:w="785"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4.8</w:t>
            </w:r>
          </w:p>
        </w:tc>
        <w:tc>
          <w:tcPr>
            <w:tcW w:w="862"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2.658</w:t>
            </w:r>
          </w:p>
        </w:tc>
        <w:tc>
          <w:tcPr>
            <w:tcW w:w="999"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7.4</w:t>
            </w:r>
          </w:p>
        </w:tc>
        <w:tc>
          <w:tcPr>
            <w:tcW w:w="523"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1</w:t>
            </w:r>
          </w:p>
        </w:tc>
        <w:tc>
          <w:tcPr>
            <w:tcW w:w="811"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 xml:space="preserve">0.7830 </w:t>
            </w:r>
          </w:p>
        </w:tc>
        <w:tc>
          <w:tcPr>
            <w:tcW w:w="603" w:type="dxa"/>
            <w:shd w:val="clear" w:color="auto" w:fill="auto"/>
            <w:vAlign w:val="center"/>
          </w:tcPr>
          <w:p>
            <w:pPr>
              <w:spacing w:line="300" w:lineRule="auto"/>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077" w:type="dxa"/>
            <w:shd w:val="clear" w:color="auto" w:fill="auto"/>
            <w:vAlign w:val="center"/>
          </w:tcPr>
          <w:p>
            <w:pPr>
              <w:autoSpaceDN w:val="0"/>
              <w:spacing w:line="300" w:lineRule="auto"/>
              <w:jc w:val="center"/>
              <w:textAlignment w:val="top"/>
              <w:rPr>
                <w:color w:val="auto"/>
                <w:szCs w:val="21"/>
              </w:rPr>
            </w:pPr>
            <w:r>
              <w:rPr>
                <w:rFonts w:hint="eastAsia"/>
                <w:bCs/>
                <w:color w:val="auto"/>
                <w:szCs w:val="21"/>
              </w:rPr>
              <w:t>软化油</w:t>
            </w:r>
            <w:r>
              <w:rPr>
                <w:bCs/>
                <w:color w:val="auto"/>
                <w:szCs w:val="21"/>
              </w:rPr>
              <w:t>罐</w:t>
            </w:r>
          </w:p>
        </w:tc>
        <w:tc>
          <w:tcPr>
            <w:tcW w:w="812" w:type="dxa"/>
            <w:shd w:val="clear" w:color="auto" w:fill="auto"/>
            <w:vAlign w:val="center"/>
          </w:tcPr>
          <w:p>
            <w:pPr>
              <w:spacing w:line="300" w:lineRule="auto"/>
              <w:jc w:val="center"/>
              <w:rPr>
                <w:rFonts w:eastAsiaTheme="minorEastAsia"/>
                <w:color w:val="auto"/>
                <w:szCs w:val="21"/>
              </w:rPr>
            </w:pPr>
            <w:r>
              <w:rPr>
                <w:rFonts w:hint="eastAsia"/>
                <w:color w:val="auto"/>
                <w:szCs w:val="21"/>
              </w:rPr>
              <w:t>10</w:t>
            </w:r>
            <w:r>
              <w:rPr>
                <w:color w:val="auto"/>
                <w:szCs w:val="21"/>
              </w:rPr>
              <w:t>m</w:t>
            </w:r>
            <w:r>
              <w:rPr>
                <w:color w:val="auto"/>
                <w:szCs w:val="21"/>
                <w:vertAlign w:val="superscript"/>
              </w:rPr>
              <w:t>3</w:t>
            </w:r>
          </w:p>
        </w:tc>
        <w:tc>
          <w:tcPr>
            <w:tcW w:w="927" w:type="dxa"/>
            <w:shd w:val="clear" w:color="auto" w:fill="auto"/>
            <w:vAlign w:val="center"/>
          </w:tcPr>
          <w:p>
            <w:pPr>
              <w:autoSpaceDN w:val="0"/>
              <w:spacing w:line="300" w:lineRule="auto"/>
              <w:jc w:val="center"/>
              <w:textAlignment w:val="top"/>
              <w:rPr>
                <w:rFonts w:eastAsiaTheme="minorEastAsia"/>
                <w:color w:val="auto"/>
                <w:szCs w:val="21"/>
              </w:rPr>
            </w:pPr>
            <w:r>
              <w:rPr>
                <w:rFonts w:hint="eastAsia"/>
                <w:color w:val="auto"/>
                <w:szCs w:val="21"/>
              </w:rPr>
              <w:t>1</w:t>
            </w:r>
          </w:p>
        </w:tc>
        <w:tc>
          <w:tcPr>
            <w:tcW w:w="696"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120</w:t>
            </w:r>
          </w:p>
        </w:tc>
        <w:tc>
          <w:tcPr>
            <w:tcW w:w="853"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667</w:t>
            </w:r>
          </w:p>
        </w:tc>
        <w:tc>
          <w:tcPr>
            <w:tcW w:w="785"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2.8</w:t>
            </w:r>
          </w:p>
        </w:tc>
        <w:tc>
          <w:tcPr>
            <w:tcW w:w="862"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0.9744</w:t>
            </w:r>
          </w:p>
        </w:tc>
        <w:tc>
          <w:tcPr>
            <w:tcW w:w="999"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7.4</w:t>
            </w:r>
          </w:p>
        </w:tc>
        <w:tc>
          <w:tcPr>
            <w:tcW w:w="523"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1</w:t>
            </w:r>
          </w:p>
        </w:tc>
        <w:tc>
          <w:tcPr>
            <w:tcW w:w="811" w:type="dxa"/>
            <w:shd w:val="clear" w:color="auto" w:fill="auto"/>
            <w:vAlign w:val="center"/>
          </w:tcPr>
          <w:p>
            <w:pPr>
              <w:widowControl/>
              <w:spacing w:line="300" w:lineRule="auto"/>
              <w:jc w:val="center"/>
              <w:textAlignment w:val="center"/>
              <w:rPr>
                <w:color w:val="auto"/>
                <w:szCs w:val="21"/>
              </w:rPr>
            </w:pPr>
            <w:r>
              <w:rPr>
                <w:color w:val="auto"/>
                <w:kern w:val="0"/>
                <w:szCs w:val="21"/>
                <w:lang w:bidi="ar"/>
              </w:rPr>
              <w:t xml:space="preserve">0.5272 </w:t>
            </w:r>
          </w:p>
        </w:tc>
        <w:tc>
          <w:tcPr>
            <w:tcW w:w="603" w:type="dxa"/>
            <w:shd w:val="clear" w:color="auto" w:fill="auto"/>
            <w:vAlign w:val="center"/>
          </w:tcPr>
          <w:p>
            <w:pPr>
              <w:spacing w:line="300" w:lineRule="auto"/>
              <w:jc w:val="center"/>
              <w:rPr>
                <w:color w:val="auto"/>
                <w:szCs w:val="21"/>
              </w:rPr>
            </w:pPr>
            <w:r>
              <w:rPr>
                <w:color w:val="auto"/>
                <w:szCs w:val="21"/>
              </w:rPr>
              <w:t>1.0</w:t>
            </w:r>
          </w:p>
        </w:tc>
      </w:tr>
    </w:tbl>
    <w:p>
      <w:pPr>
        <w:spacing w:before="159" w:beforeLines="50"/>
        <w:jc w:val="center"/>
        <w:rPr>
          <w:color w:val="auto"/>
          <w:szCs w:val="21"/>
        </w:rPr>
      </w:pPr>
      <w:r>
        <w:rPr>
          <w:b/>
          <w:bCs/>
          <w:color w:val="auto"/>
          <w:szCs w:val="21"/>
        </w:rPr>
        <w:t>表</w:t>
      </w:r>
      <w:r>
        <w:rPr>
          <w:rFonts w:hint="eastAsia"/>
          <w:b/>
          <w:bCs/>
          <w:color w:val="auto"/>
          <w:szCs w:val="21"/>
        </w:rPr>
        <w:t xml:space="preserve">4.5-9  </w:t>
      </w:r>
      <w:r>
        <w:rPr>
          <w:b/>
          <w:bCs/>
          <w:color w:val="auto"/>
          <w:szCs w:val="21"/>
        </w:rPr>
        <w:t>储罐小呼吸废气产生及排放量计算结果</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727"/>
        <w:gridCol w:w="1091"/>
        <w:gridCol w:w="820"/>
        <w:gridCol w:w="1456"/>
        <w:gridCol w:w="1549"/>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700" w:type="dxa"/>
            <w:vMerge w:val="restart"/>
            <w:shd w:val="clear" w:color="auto" w:fill="auto"/>
            <w:vAlign w:val="center"/>
          </w:tcPr>
          <w:p>
            <w:pPr>
              <w:widowControl/>
              <w:spacing w:line="300" w:lineRule="auto"/>
              <w:rPr>
                <w:color w:val="auto"/>
                <w:kern w:val="0"/>
                <w:szCs w:val="21"/>
              </w:rPr>
            </w:pPr>
            <w:r>
              <w:rPr>
                <w:color w:val="auto"/>
                <w:kern w:val="0"/>
                <w:szCs w:val="21"/>
              </w:rPr>
              <w:t>序号</w:t>
            </w:r>
          </w:p>
        </w:tc>
        <w:tc>
          <w:tcPr>
            <w:tcW w:w="1727" w:type="dxa"/>
            <w:vMerge w:val="restart"/>
            <w:shd w:val="clear" w:color="auto" w:fill="auto"/>
            <w:vAlign w:val="center"/>
          </w:tcPr>
          <w:p>
            <w:pPr>
              <w:widowControl/>
              <w:spacing w:line="300" w:lineRule="auto"/>
              <w:jc w:val="center"/>
              <w:rPr>
                <w:color w:val="auto"/>
                <w:kern w:val="0"/>
                <w:szCs w:val="21"/>
              </w:rPr>
            </w:pPr>
            <w:r>
              <w:rPr>
                <w:color w:val="auto"/>
                <w:kern w:val="0"/>
                <w:szCs w:val="21"/>
              </w:rPr>
              <w:t>储罐名称名称</w:t>
            </w:r>
          </w:p>
        </w:tc>
        <w:tc>
          <w:tcPr>
            <w:tcW w:w="1091" w:type="dxa"/>
            <w:vMerge w:val="restart"/>
            <w:shd w:val="clear" w:color="auto" w:fill="auto"/>
            <w:vAlign w:val="center"/>
          </w:tcPr>
          <w:p>
            <w:pPr>
              <w:widowControl/>
              <w:spacing w:line="300" w:lineRule="auto"/>
              <w:jc w:val="center"/>
              <w:rPr>
                <w:color w:val="auto"/>
                <w:kern w:val="0"/>
                <w:szCs w:val="21"/>
              </w:rPr>
            </w:pPr>
            <w:r>
              <w:rPr>
                <w:color w:val="auto"/>
                <w:kern w:val="0"/>
                <w:szCs w:val="21"/>
              </w:rPr>
              <w:t>型号规格</w:t>
            </w:r>
          </w:p>
        </w:tc>
        <w:tc>
          <w:tcPr>
            <w:tcW w:w="820" w:type="dxa"/>
            <w:vMerge w:val="restart"/>
            <w:shd w:val="clear" w:color="auto" w:fill="auto"/>
            <w:vAlign w:val="center"/>
          </w:tcPr>
          <w:p>
            <w:pPr>
              <w:widowControl/>
              <w:spacing w:line="300" w:lineRule="auto"/>
              <w:jc w:val="center"/>
              <w:rPr>
                <w:color w:val="auto"/>
                <w:kern w:val="0"/>
                <w:szCs w:val="21"/>
              </w:rPr>
            </w:pPr>
            <w:r>
              <w:rPr>
                <w:color w:val="auto"/>
                <w:kern w:val="0"/>
                <w:szCs w:val="21"/>
              </w:rPr>
              <w:t>数量</w:t>
            </w:r>
          </w:p>
        </w:tc>
        <w:tc>
          <w:tcPr>
            <w:tcW w:w="1456" w:type="dxa"/>
            <w:vMerge w:val="restart"/>
            <w:shd w:val="clear" w:color="auto" w:fill="auto"/>
            <w:vAlign w:val="center"/>
          </w:tcPr>
          <w:p>
            <w:pPr>
              <w:widowControl/>
              <w:spacing w:line="300" w:lineRule="auto"/>
              <w:jc w:val="center"/>
              <w:rPr>
                <w:color w:val="auto"/>
                <w:kern w:val="0"/>
                <w:szCs w:val="21"/>
              </w:rPr>
            </w:pPr>
            <w:r>
              <w:rPr>
                <w:color w:val="auto"/>
                <w:kern w:val="0"/>
                <w:szCs w:val="21"/>
              </w:rPr>
              <w:t>污染因子</w:t>
            </w:r>
          </w:p>
        </w:tc>
        <w:tc>
          <w:tcPr>
            <w:tcW w:w="3154" w:type="dxa"/>
            <w:gridSpan w:val="2"/>
            <w:shd w:val="clear" w:color="auto" w:fill="auto"/>
            <w:vAlign w:val="center"/>
          </w:tcPr>
          <w:p>
            <w:pPr>
              <w:widowControl/>
              <w:spacing w:line="300" w:lineRule="auto"/>
              <w:jc w:val="center"/>
              <w:rPr>
                <w:color w:val="auto"/>
                <w:kern w:val="0"/>
                <w:szCs w:val="21"/>
              </w:rPr>
            </w:pPr>
            <w:r>
              <w:rPr>
                <w:color w:val="auto"/>
                <w:kern w:val="0"/>
                <w:szCs w:val="21"/>
              </w:rPr>
              <w:t>小呼吸损耗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700" w:type="dxa"/>
            <w:vMerge w:val="continue"/>
            <w:shd w:val="clear" w:color="auto" w:fill="auto"/>
            <w:vAlign w:val="center"/>
          </w:tcPr>
          <w:p>
            <w:pPr>
              <w:widowControl/>
              <w:spacing w:line="300" w:lineRule="auto"/>
              <w:jc w:val="center"/>
              <w:rPr>
                <w:color w:val="auto"/>
                <w:kern w:val="0"/>
                <w:szCs w:val="21"/>
              </w:rPr>
            </w:pPr>
          </w:p>
        </w:tc>
        <w:tc>
          <w:tcPr>
            <w:tcW w:w="1727" w:type="dxa"/>
            <w:vMerge w:val="continue"/>
            <w:shd w:val="clear" w:color="auto" w:fill="auto"/>
            <w:vAlign w:val="center"/>
          </w:tcPr>
          <w:p>
            <w:pPr>
              <w:widowControl/>
              <w:spacing w:line="300" w:lineRule="auto"/>
              <w:jc w:val="center"/>
              <w:rPr>
                <w:color w:val="auto"/>
                <w:kern w:val="0"/>
                <w:szCs w:val="21"/>
              </w:rPr>
            </w:pPr>
          </w:p>
        </w:tc>
        <w:tc>
          <w:tcPr>
            <w:tcW w:w="1091" w:type="dxa"/>
            <w:vMerge w:val="continue"/>
            <w:shd w:val="clear" w:color="auto" w:fill="auto"/>
            <w:vAlign w:val="center"/>
          </w:tcPr>
          <w:p>
            <w:pPr>
              <w:widowControl/>
              <w:spacing w:line="300" w:lineRule="auto"/>
              <w:jc w:val="center"/>
              <w:rPr>
                <w:color w:val="auto"/>
                <w:kern w:val="0"/>
                <w:szCs w:val="21"/>
              </w:rPr>
            </w:pPr>
          </w:p>
        </w:tc>
        <w:tc>
          <w:tcPr>
            <w:tcW w:w="820" w:type="dxa"/>
            <w:vMerge w:val="continue"/>
            <w:shd w:val="clear" w:color="auto" w:fill="auto"/>
            <w:vAlign w:val="center"/>
          </w:tcPr>
          <w:p>
            <w:pPr>
              <w:widowControl/>
              <w:spacing w:line="300" w:lineRule="auto"/>
              <w:jc w:val="center"/>
              <w:rPr>
                <w:color w:val="auto"/>
                <w:kern w:val="0"/>
                <w:szCs w:val="21"/>
              </w:rPr>
            </w:pPr>
          </w:p>
        </w:tc>
        <w:tc>
          <w:tcPr>
            <w:tcW w:w="1456" w:type="dxa"/>
            <w:vMerge w:val="continue"/>
            <w:shd w:val="clear" w:color="auto" w:fill="auto"/>
            <w:vAlign w:val="center"/>
          </w:tcPr>
          <w:p>
            <w:pPr>
              <w:widowControl/>
              <w:spacing w:line="300" w:lineRule="auto"/>
              <w:jc w:val="center"/>
              <w:rPr>
                <w:color w:val="auto"/>
                <w:kern w:val="0"/>
                <w:szCs w:val="21"/>
              </w:rPr>
            </w:pPr>
          </w:p>
        </w:tc>
        <w:tc>
          <w:tcPr>
            <w:tcW w:w="1549" w:type="dxa"/>
            <w:shd w:val="clear" w:color="auto" w:fill="auto"/>
            <w:vAlign w:val="center"/>
          </w:tcPr>
          <w:p>
            <w:pPr>
              <w:widowControl/>
              <w:spacing w:line="300" w:lineRule="auto"/>
              <w:jc w:val="center"/>
              <w:rPr>
                <w:color w:val="auto"/>
                <w:kern w:val="0"/>
                <w:szCs w:val="21"/>
              </w:rPr>
            </w:pPr>
            <w:r>
              <w:rPr>
                <w:color w:val="auto"/>
                <w:kern w:val="0"/>
                <w:szCs w:val="21"/>
              </w:rPr>
              <w:t>t/a</w:t>
            </w:r>
          </w:p>
        </w:tc>
        <w:tc>
          <w:tcPr>
            <w:tcW w:w="1605" w:type="dxa"/>
            <w:shd w:val="clear" w:color="auto" w:fill="auto"/>
            <w:vAlign w:val="center"/>
          </w:tcPr>
          <w:p>
            <w:pPr>
              <w:widowControl/>
              <w:spacing w:line="300" w:lineRule="auto"/>
              <w:jc w:val="center"/>
              <w:rPr>
                <w:color w:val="auto"/>
                <w:kern w:val="0"/>
                <w:szCs w:val="21"/>
              </w:rPr>
            </w:pPr>
            <w:r>
              <w:rPr>
                <w:color w:val="auto"/>
                <w:kern w:val="0"/>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700" w:type="dxa"/>
            <w:shd w:val="clear" w:color="auto" w:fill="auto"/>
            <w:vAlign w:val="center"/>
          </w:tcPr>
          <w:p>
            <w:pPr>
              <w:widowControl/>
              <w:spacing w:line="300" w:lineRule="auto"/>
              <w:jc w:val="center"/>
              <w:rPr>
                <w:color w:val="auto"/>
                <w:kern w:val="0"/>
                <w:szCs w:val="21"/>
              </w:rPr>
            </w:pPr>
            <w:r>
              <w:rPr>
                <w:color w:val="auto"/>
                <w:kern w:val="0"/>
                <w:szCs w:val="21"/>
              </w:rPr>
              <w:t>1</w:t>
            </w:r>
          </w:p>
        </w:tc>
        <w:tc>
          <w:tcPr>
            <w:tcW w:w="1727" w:type="dxa"/>
            <w:shd w:val="clear" w:color="auto" w:fill="auto"/>
            <w:vAlign w:val="center"/>
          </w:tcPr>
          <w:p>
            <w:pPr>
              <w:autoSpaceDN w:val="0"/>
              <w:spacing w:line="300" w:lineRule="auto"/>
              <w:jc w:val="center"/>
              <w:textAlignment w:val="top"/>
              <w:rPr>
                <w:color w:val="auto"/>
                <w:szCs w:val="21"/>
              </w:rPr>
            </w:pPr>
            <w:r>
              <w:rPr>
                <w:color w:val="auto"/>
                <w:szCs w:val="21"/>
              </w:rPr>
              <w:t>沥青储罐</w:t>
            </w:r>
          </w:p>
        </w:tc>
        <w:tc>
          <w:tcPr>
            <w:tcW w:w="1091" w:type="dxa"/>
            <w:shd w:val="clear" w:color="auto" w:fill="auto"/>
            <w:vAlign w:val="center"/>
          </w:tcPr>
          <w:p>
            <w:pPr>
              <w:widowControl/>
              <w:spacing w:line="300" w:lineRule="auto"/>
              <w:jc w:val="center"/>
              <w:rPr>
                <w:color w:val="auto"/>
                <w:kern w:val="0"/>
                <w:szCs w:val="21"/>
              </w:rPr>
            </w:pPr>
            <w:r>
              <w:rPr>
                <w:rFonts w:hint="eastAsia"/>
                <w:color w:val="auto"/>
                <w:kern w:val="0"/>
                <w:szCs w:val="21"/>
              </w:rPr>
              <w:t>8</w:t>
            </w:r>
            <w:r>
              <w:rPr>
                <w:color w:val="auto"/>
                <w:kern w:val="0"/>
                <w:szCs w:val="21"/>
              </w:rPr>
              <w:t>0m</w:t>
            </w:r>
            <w:r>
              <w:rPr>
                <w:color w:val="auto"/>
                <w:kern w:val="0"/>
                <w:szCs w:val="21"/>
                <w:vertAlign w:val="superscript"/>
              </w:rPr>
              <w:t>3</w:t>
            </w:r>
          </w:p>
        </w:tc>
        <w:tc>
          <w:tcPr>
            <w:tcW w:w="820" w:type="dxa"/>
            <w:shd w:val="clear" w:color="auto" w:fill="auto"/>
            <w:vAlign w:val="center"/>
          </w:tcPr>
          <w:p>
            <w:pPr>
              <w:widowControl/>
              <w:spacing w:line="300" w:lineRule="auto"/>
              <w:jc w:val="center"/>
              <w:rPr>
                <w:color w:val="auto"/>
                <w:kern w:val="0"/>
                <w:szCs w:val="21"/>
              </w:rPr>
            </w:pPr>
            <w:r>
              <w:rPr>
                <w:rFonts w:hint="eastAsia"/>
                <w:color w:val="auto"/>
                <w:kern w:val="0"/>
                <w:szCs w:val="21"/>
              </w:rPr>
              <w:t>1</w:t>
            </w:r>
            <w:r>
              <w:rPr>
                <w:color w:val="auto"/>
                <w:kern w:val="0"/>
                <w:szCs w:val="21"/>
              </w:rPr>
              <w:t>个</w:t>
            </w:r>
          </w:p>
        </w:tc>
        <w:tc>
          <w:tcPr>
            <w:tcW w:w="1456" w:type="dxa"/>
            <w:shd w:val="clear" w:color="auto" w:fill="auto"/>
            <w:vAlign w:val="center"/>
          </w:tcPr>
          <w:p>
            <w:pPr>
              <w:widowControl/>
              <w:spacing w:line="300" w:lineRule="auto"/>
              <w:jc w:val="center"/>
              <w:rPr>
                <w:color w:val="auto"/>
                <w:szCs w:val="21"/>
              </w:rPr>
            </w:pPr>
            <w:r>
              <w:rPr>
                <w:color w:val="auto"/>
                <w:szCs w:val="21"/>
              </w:rPr>
              <w:t>非甲烷总烃</w:t>
            </w:r>
          </w:p>
        </w:tc>
        <w:tc>
          <w:tcPr>
            <w:tcW w:w="1549" w:type="dxa"/>
            <w:shd w:val="clear" w:color="auto" w:fill="auto"/>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 xml:space="preserve">0.0393 </w:t>
            </w:r>
          </w:p>
        </w:tc>
        <w:tc>
          <w:tcPr>
            <w:tcW w:w="1605" w:type="dxa"/>
            <w:shd w:val="clear" w:color="auto" w:fill="auto"/>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 xml:space="preserve">0.0050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700" w:type="dxa"/>
            <w:shd w:val="clear" w:color="auto" w:fill="auto"/>
            <w:vAlign w:val="center"/>
          </w:tcPr>
          <w:p>
            <w:pPr>
              <w:widowControl/>
              <w:spacing w:line="300" w:lineRule="auto"/>
              <w:jc w:val="center"/>
              <w:rPr>
                <w:rFonts w:eastAsiaTheme="minorEastAsia"/>
                <w:color w:val="auto"/>
                <w:kern w:val="0"/>
                <w:szCs w:val="21"/>
              </w:rPr>
            </w:pPr>
            <w:r>
              <w:rPr>
                <w:rFonts w:hint="eastAsia"/>
                <w:color w:val="auto"/>
                <w:kern w:val="0"/>
                <w:szCs w:val="21"/>
              </w:rPr>
              <w:t>2</w:t>
            </w:r>
          </w:p>
        </w:tc>
        <w:tc>
          <w:tcPr>
            <w:tcW w:w="1727" w:type="dxa"/>
            <w:shd w:val="clear" w:color="auto" w:fill="auto"/>
            <w:vAlign w:val="center"/>
          </w:tcPr>
          <w:p>
            <w:pPr>
              <w:autoSpaceDN w:val="0"/>
              <w:spacing w:line="300" w:lineRule="auto"/>
              <w:jc w:val="center"/>
              <w:textAlignment w:val="top"/>
              <w:rPr>
                <w:color w:val="auto"/>
                <w:szCs w:val="21"/>
              </w:rPr>
            </w:pPr>
            <w:r>
              <w:rPr>
                <w:rFonts w:hint="eastAsia"/>
                <w:bCs/>
                <w:color w:val="auto"/>
                <w:szCs w:val="21"/>
              </w:rPr>
              <w:t>软化油</w:t>
            </w:r>
            <w:r>
              <w:rPr>
                <w:bCs/>
                <w:color w:val="auto"/>
                <w:szCs w:val="21"/>
              </w:rPr>
              <w:t>罐</w:t>
            </w:r>
          </w:p>
        </w:tc>
        <w:tc>
          <w:tcPr>
            <w:tcW w:w="1091" w:type="dxa"/>
            <w:shd w:val="clear" w:color="auto" w:fill="auto"/>
            <w:vAlign w:val="center"/>
          </w:tcPr>
          <w:p>
            <w:pPr>
              <w:spacing w:line="300" w:lineRule="auto"/>
              <w:jc w:val="center"/>
              <w:rPr>
                <w:color w:val="auto"/>
                <w:kern w:val="0"/>
                <w:szCs w:val="21"/>
              </w:rPr>
            </w:pPr>
            <w:r>
              <w:rPr>
                <w:rFonts w:hint="eastAsia"/>
                <w:color w:val="auto"/>
                <w:szCs w:val="21"/>
              </w:rPr>
              <w:t>10</w:t>
            </w:r>
            <w:r>
              <w:rPr>
                <w:color w:val="auto"/>
                <w:szCs w:val="21"/>
              </w:rPr>
              <w:t>m</w:t>
            </w:r>
            <w:r>
              <w:rPr>
                <w:color w:val="auto"/>
                <w:szCs w:val="21"/>
                <w:vertAlign w:val="superscript"/>
              </w:rPr>
              <w:t>3</w:t>
            </w:r>
          </w:p>
        </w:tc>
        <w:tc>
          <w:tcPr>
            <w:tcW w:w="820" w:type="dxa"/>
            <w:shd w:val="clear" w:color="auto" w:fill="auto"/>
            <w:vAlign w:val="center"/>
          </w:tcPr>
          <w:p>
            <w:pPr>
              <w:widowControl/>
              <w:spacing w:line="300" w:lineRule="auto"/>
              <w:jc w:val="center"/>
              <w:rPr>
                <w:rFonts w:eastAsiaTheme="minorEastAsia"/>
                <w:color w:val="auto"/>
                <w:kern w:val="0"/>
                <w:szCs w:val="21"/>
              </w:rPr>
            </w:pPr>
            <w:r>
              <w:rPr>
                <w:rFonts w:hint="eastAsia"/>
                <w:color w:val="auto"/>
                <w:kern w:val="0"/>
                <w:szCs w:val="21"/>
              </w:rPr>
              <w:t>1个</w:t>
            </w:r>
          </w:p>
        </w:tc>
        <w:tc>
          <w:tcPr>
            <w:tcW w:w="1456" w:type="dxa"/>
            <w:shd w:val="clear" w:color="auto" w:fill="auto"/>
            <w:vAlign w:val="center"/>
          </w:tcPr>
          <w:p>
            <w:pPr>
              <w:widowControl/>
              <w:spacing w:line="300" w:lineRule="auto"/>
              <w:jc w:val="center"/>
              <w:rPr>
                <w:color w:val="auto"/>
                <w:szCs w:val="21"/>
              </w:rPr>
            </w:pPr>
            <w:r>
              <w:rPr>
                <w:color w:val="auto"/>
                <w:szCs w:val="21"/>
              </w:rPr>
              <w:t>非甲烷总烃</w:t>
            </w:r>
          </w:p>
        </w:tc>
        <w:tc>
          <w:tcPr>
            <w:tcW w:w="1549" w:type="dxa"/>
            <w:shd w:val="clear" w:color="auto" w:fill="auto"/>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 xml:space="preserve">0.0058 </w:t>
            </w:r>
          </w:p>
        </w:tc>
        <w:tc>
          <w:tcPr>
            <w:tcW w:w="1605" w:type="dxa"/>
            <w:shd w:val="clear" w:color="auto" w:fill="auto"/>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 xml:space="preserve">0.0007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338" w:type="dxa"/>
            <w:gridSpan w:val="4"/>
            <w:shd w:val="clear" w:color="auto" w:fill="auto"/>
            <w:vAlign w:val="center"/>
          </w:tcPr>
          <w:p>
            <w:pPr>
              <w:widowControl/>
              <w:spacing w:line="300" w:lineRule="auto"/>
              <w:jc w:val="center"/>
              <w:rPr>
                <w:rFonts w:hint="eastAsia" w:eastAsia="宋体"/>
                <w:color w:val="auto"/>
                <w:kern w:val="0"/>
                <w:szCs w:val="21"/>
                <w:lang w:val="en-US" w:eastAsia="zh-CN"/>
              </w:rPr>
            </w:pPr>
            <w:r>
              <w:rPr>
                <w:rFonts w:hint="eastAsia"/>
                <w:color w:val="auto"/>
                <w:kern w:val="0"/>
                <w:szCs w:val="21"/>
                <w:lang w:val="en-US" w:eastAsia="zh-CN"/>
              </w:rPr>
              <w:t>合计</w:t>
            </w:r>
          </w:p>
        </w:tc>
        <w:tc>
          <w:tcPr>
            <w:tcW w:w="1456" w:type="dxa"/>
            <w:shd w:val="clear" w:color="auto" w:fill="auto"/>
            <w:vAlign w:val="center"/>
          </w:tcPr>
          <w:p>
            <w:pPr>
              <w:widowControl/>
              <w:spacing w:line="300" w:lineRule="auto"/>
              <w:jc w:val="center"/>
              <w:rPr>
                <w:color w:val="auto"/>
                <w:szCs w:val="21"/>
              </w:rPr>
            </w:pPr>
            <w:r>
              <w:rPr>
                <w:color w:val="auto"/>
                <w:szCs w:val="21"/>
              </w:rPr>
              <w:t>非甲烷总烃</w:t>
            </w:r>
          </w:p>
        </w:tc>
        <w:tc>
          <w:tcPr>
            <w:tcW w:w="1549" w:type="dxa"/>
            <w:shd w:val="clear" w:color="auto" w:fill="auto"/>
            <w:vAlign w:val="center"/>
          </w:tcPr>
          <w:p>
            <w:pPr>
              <w:widowControl/>
              <w:spacing w:line="300" w:lineRule="auto"/>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0.0451</w:t>
            </w:r>
          </w:p>
        </w:tc>
        <w:tc>
          <w:tcPr>
            <w:tcW w:w="1605" w:type="dxa"/>
            <w:shd w:val="clear" w:color="auto" w:fill="auto"/>
            <w:vAlign w:val="center"/>
          </w:tcPr>
          <w:p>
            <w:pPr>
              <w:widowControl/>
              <w:spacing w:line="300" w:lineRule="auto"/>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0.0057</w:t>
            </w:r>
          </w:p>
        </w:tc>
      </w:tr>
    </w:tbl>
    <w:p>
      <w:pPr>
        <w:spacing w:line="360" w:lineRule="auto"/>
        <w:ind w:left="105" w:leftChars="50" w:firstLine="360" w:firstLineChars="150"/>
        <w:jc w:val="left"/>
        <w:rPr>
          <w:b/>
          <w:color w:val="auto"/>
          <w:sz w:val="24"/>
        </w:rPr>
      </w:pPr>
      <w:r>
        <w:rPr>
          <w:rFonts w:hint="eastAsia"/>
          <w:bCs/>
          <w:color w:val="auto"/>
          <w:sz w:val="24"/>
        </w:rPr>
        <w:t>（4）</w:t>
      </w:r>
      <w:r>
        <w:rPr>
          <w:rFonts w:hint="eastAsia"/>
          <w:bCs/>
          <w:color w:val="auto"/>
          <w:sz w:val="24"/>
          <w:lang w:eastAsia="zh-CN"/>
        </w:rPr>
        <w:t>导热油炉</w:t>
      </w:r>
      <w:r>
        <w:rPr>
          <w:bCs/>
          <w:color w:val="auto"/>
          <w:sz w:val="24"/>
        </w:rPr>
        <w:t>燃烧尾气</w:t>
      </w:r>
    </w:p>
    <w:p>
      <w:pPr>
        <w:pStyle w:val="55"/>
        <w:rPr>
          <w:bCs/>
          <w:color w:val="auto"/>
        </w:rPr>
      </w:pPr>
      <w:r>
        <w:rPr>
          <w:rFonts w:hint="eastAsia"/>
          <w:bCs/>
          <w:color w:val="auto"/>
        </w:rPr>
        <w:t>项目拟设1个120万大卡</w:t>
      </w:r>
      <w:r>
        <w:rPr>
          <w:rFonts w:hint="eastAsia"/>
          <w:bCs/>
          <w:color w:val="auto"/>
          <w:lang w:eastAsia="zh-CN"/>
        </w:rPr>
        <w:t>导热油炉</w:t>
      </w:r>
      <w:r>
        <w:rPr>
          <w:rFonts w:hint="eastAsia"/>
          <w:bCs/>
          <w:color w:val="auto"/>
        </w:rPr>
        <w:t>，用于为项目的废树脂粉烘干、沥青罐保温、卷材生产等工序提供所需热量。根据建设单位提供的资料，该</w:t>
      </w:r>
      <w:r>
        <w:rPr>
          <w:rFonts w:hint="eastAsia"/>
          <w:bCs/>
          <w:color w:val="auto"/>
          <w:lang w:eastAsia="zh-CN"/>
        </w:rPr>
        <w:t>导热油炉</w:t>
      </w:r>
      <w:r>
        <w:rPr>
          <w:rFonts w:hint="eastAsia"/>
          <w:bCs/>
          <w:color w:val="auto"/>
        </w:rPr>
        <w:t>通过燃烧天然气加热导热油，再使导热油在管道内强制循环流动传输热量。项目营运期内</w:t>
      </w:r>
      <w:r>
        <w:rPr>
          <w:color w:val="auto"/>
        </w:rPr>
        <w:t>天然气用量约</w:t>
      </w:r>
      <w:r>
        <w:rPr>
          <w:rFonts w:hint="eastAsia"/>
          <w:color w:val="auto"/>
          <w:lang w:val="en-US" w:eastAsia="zh-CN"/>
        </w:rPr>
        <w:t>110</w:t>
      </w:r>
      <w:r>
        <w:rPr>
          <w:rFonts w:hint="eastAsia"/>
          <w:color w:val="auto"/>
        </w:rPr>
        <w:t>万N</w:t>
      </w:r>
      <w:r>
        <w:rPr>
          <w:color w:val="auto"/>
        </w:rPr>
        <w:t>m</w:t>
      </w:r>
      <w:r>
        <w:rPr>
          <w:color w:val="auto"/>
          <w:vertAlign w:val="superscript"/>
        </w:rPr>
        <w:t>3</w:t>
      </w:r>
      <w:r>
        <w:rPr>
          <w:color w:val="auto"/>
        </w:rPr>
        <w:t>/a</w:t>
      </w:r>
      <w:r>
        <w:rPr>
          <w:rFonts w:hint="eastAsia"/>
          <w:color w:val="auto"/>
        </w:rPr>
        <w:t>，通过天然气管道供应</w:t>
      </w:r>
      <w:r>
        <w:rPr>
          <w:color w:val="auto"/>
        </w:rPr>
        <w:t>。</w:t>
      </w:r>
      <w:r>
        <w:rPr>
          <w:rFonts w:hint="eastAsia"/>
          <w:bCs/>
          <w:color w:val="auto"/>
        </w:rPr>
        <w:t>天然气燃烧产生的尾气</w:t>
      </w:r>
      <w:r>
        <w:rPr>
          <w:bCs/>
          <w:color w:val="auto"/>
        </w:rPr>
        <w:t>由15m高</w:t>
      </w:r>
      <w:r>
        <w:rPr>
          <w:rFonts w:hint="eastAsia"/>
          <w:bCs/>
          <w:color w:val="auto"/>
        </w:rPr>
        <w:t>的</w:t>
      </w:r>
      <w:r>
        <w:rPr>
          <w:bCs/>
          <w:color w:val="auto"/>
        </w:rPr>
        <w:t>排气筒G</w:t>
      </w:r>
      <w:r>
        <w:rPr>
          <w:rFonts w:hint="eastAsia"/>
          <w:bCs/>
          <w:color w:val="auto"/>
        </w:rPr>
        <w:t>3</w:t>
      </w:r>
      <w:r>
        <w:rPr>
          <w:bCs/>
          <w:color w:val="auto"/>
        </w:rPr>
        <w:t>外排。</w:t>
      </w:r>
    </w:p>
    <w:p>
      <w:pPr>
        <w:spacing w:line="360" w:lineRule="auto"/>
        <w:ind w:firstLine="480" w:firstLineChars="200"/>
        <w:rPr>
          <w:bCs/>
          <w:color w:val="auto"/>
          <w:sz w:val="24"/>
        </w:rPr>
      </w:pPr>
      <w:r>
        <w:rPr>
          <w:rFonts w:hint="eastAsia"/>
          <w:bCs/>
          <w:color w:val="auto"/>
          <w:sz w:val="24"/>
        </w:rPr>
        <w:t>天然气燃烧废气</w:t>
      </w:r>
      <w:r>
        <w:rPr>
          <w:rFonts w:hint="eastAsia"/>
          <w:bCs/>
          <w:color w:val="auto"/>
          <w:sz w:val="24"/>
          <w:lang w:val="en-US" w:eastAsia="zh-CN"/>
        </w:rPr>
        <w:t>量</w:t>
      </w:r>
      <w:r>
        <w:rPr>
          <w:rFonts w:hint="eastAsia"/>
          <w:bCs/>
          <w:color w:val="auto"/>
          <w:sz w:val="24"/>
        </w:rPr>
        <w:t>参考《第一次全国污染源普查工业污染源产排污系数手册》中“4430热力生产和供应行业”天然气工业锅炉进行核算；</w:t>
      </w:r>
      <w:r>
        <w:rPr>
          <w:rFonts w:hint="eastAsia"/>
          <w:bCs/>
          <w:color w:val="auto"/>
          <w:sz w:val="24"/>
          <w:lang w:val="en-US" w:eastAsia="zh-CN"/>
        </w:rPr>
        <w:t>二氧化硫、氮氧化物和颗粒物的产污系数参照《排污许可证申请与核发技术规范 锅炉》（HJ953-2018）中表F.3进行计算。则本项目</w:t>
      </w:r>
      <w:r>
        <w:rPr>
          <w:rFonts w:hint="eastAsia"/>
          <w:bCs/>
          <w:color w:val="auto"/>
          <w:sz w:val="24"/>
          <w:lang w:eastAsia="zh-CN"/>
        </w:rPr>
        <w:t>导热油炉</w:t>
      </w:r>
      <w:r>
        <w:rPr>
          <w:bCs/>
          <w:color w:val="auto"/>
          <w:sz w:val="24"/>
        </w:rPr>
        <w:t>燃烧尾气</w:t>
      </w:r>
      <w:r>
        <w:rPr>
          <w:rFonts w:hint="eastAsia"/>
          <w:bCs/>
          <w:color w:val="auto"/>
          <w:sz w:val="24"/>
        </w:rPr>
        <w:t>产污系数见下表。</w:t>
      </w:r>
    </w:p>
    <w:p>
      <w:pPr>
        <w:pStyle w:val="32"/>
        <w:spacing w:line="360" w:lineRule="auto"/>
        <w:jc w:val="center"/>
        <w:rPr>
          <w:b/>
          <w:bCs/>
          <w:color w:val="auto"/>
          <w:sz w:val="21"/>
          <w:szCs w:val="21"/>
        </w:rPr>
      </w:pPr>
      <w:r>
        <w:rPr>
          <w:b/>
          <w:bCs/>
          <w:color w:val="auto"/>
          <w:sz w:val="21"/>
          <w:szCs w:val="21"/>
        </w:rPr>
        <w:t>表</w:t>
      </w:r>
      <w:r>
        <w:rPr>
          <w:rFonts w:hint="eastAsia"/>
          <w:b/>
          <w:bCs/>
          <w:color w:val="auto"/>
          <w:sz w:val="21"/>
          <w:szCs w:val="21"/>
        </w:rPr>
        <w:t>4.5-10</w:t>
      </w:r>
      <w:r>
        <w:rPr>
          <w:b/>
          <w:bCs/>
          <w:color w:val="auto"/>
          <w:sz w:val="21"/>
          <w:szCs w:val="21"/>
        </w:rPr>
        <w:t xml:space="preserve">  </w:t>
      </w:r>
      <w:r>
        <w:rPr>
          <w:rFonts w:hint="eastAsia"/>
          <w:b/>
          <w:bCs/>
          <w:color w:val="auto"/>
          <w:sz w:val="21"/>
          <w:szCs w:val="21"/>
        </w:rPr>
        <w:t>燃烧废气产污系数</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2984"/>
        <w:gridCol w:w="2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Borders>
              <w:tl2br w:val="nil"/>
              <w:tr2bl w:val="nil"/>
            </w:tcBorders>
            <w:vAlign w:val="center"/>
          </w:tcPr>
          <w:p>
            <w:pPr>
              <w:widowControl/>
              <w:snapToGrid w:val="0"/>
              <w:spacing w:line="360" w:lineRule="auto"/>
              <w:ind w:firstLine="105" w:firstLineChars="50"/>
              <w:jc w:val="center"/>
              <w:rPr>
                <w:color w:val="auto"/>
                <w:szCs w:val="21"/>
              </w:rPr>
            </w:pPr>
            <w:r>
              <w:rPr>
                <w:color w:val="auto"/>
                <w:kern w:val="0"/>
                <w:szCs w:val="21"/>
              </w:rPr>
              <w:t>污染物指标</w:t>
            </w:r>
          </w:p>
        </w:tc>
        <w:tc>
          <w:tcPr>
            <w:tcW w:w="2984" w:type="dxa"/>
            <w:tcBorders>
              <w:tl2br w:val="nil"/>
              <w:tr2bl w:val="nil"/>
            </w:tcBorders>
            <w:vAlign w:val="center"/>
          </w:tcPr>
          <w:p>
            <w:pPr>
              <w:widowControl/>
              <w:snapToGrid w:val="0"/>
              <w:spacing w:line="360" w:lineRule="auto"/>
              <w:jc w:val="center"/>
              <w:rPr>
                <w:color w:val="auto"/>
                <w:szCs w:val="21"/>
              </w:rPr>
            </w:pPr>
            <w:r>
              <w:rPr>
                <w:color w:val="auto"/>
                <w:kern w:val="0"/>
                <w:szCs w:val="21"/>
              </w:rPr>
              <w:t>单位</w:t>
            </w:r>
          </w:p>
        </w:tc>
        <w:tc>
          <w:tcPr>
            <w:tcW w:w="2982" w:type="dxa"/>
            <w:tcBorders>
              <w:tl2br w:val="nil"/>
              <w:tr2bl w:val="nil"/>
            </w:tcBorders>
            <w:vAlign w:val="center"/>
          </w:tcPr>
          <w:p>
            <w:pPr>
              <w:widowControl/>
              <w:snapToGrid w:val="0"/>
              <w:spacing w:line="360" w:lineRule="auto"/>
              <w:jc w:val="center"/>
              <w:rPr>
                <w:color w:val="auto"/>
                <w:szCs w:val="21"/>
              </w:rPr>
            </w:pPr>
            <w:r>
              <w:rPr>
                <w:color w:val="auto"/>
                <w:kern w:val="0"/>
                <w:szCs w:val="21"/>
              </w:rPr>
              <w:t>产污系数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工业废气量</w:t>
            </w:r>
          </w:p>
        </w:tc>
        <w:tc>
          <w:tcPr>
            <w:tcW w:w="2984" w:type="dxa"/>
            <w:tcBorders>
              <w:tl2br w:val="nil"/>
              <w:tr2bl w:val="nil"/>
            </w:tcBorders>
            <w:vAlign w:val="center"/>
          </w:tcPr>
          <w:p>
            <w:pPr>
              <w:snapToGrid w:val="0"/>
              <w:spacing w:line="360" w:lineRule="auto"/>
              <w:jc w:val="center"/>
              <w:rPr>
                <w:color w:val="auto"/>
                <w:szCs w:val="21"/>
              </w:rPr>
            </w:pPr>
            <w:r>
              <w:rPr>
                <w:color w:val="auto"/>
                <w:kern w:val="0"/>
                <w:szCs w:val="21"/>
              </w:rPr>
              <w:t>标立方米/万立方米-原料</w:t>
            </w:r>
          </w:p>
        </w:tc>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136,259.17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二氧化硫</w:t>
            </w:r>
          </w:p>
        </w:tc>
        <w:tc>
          <w:tcPr>
            <w:tcW w:w="2984" w:type="dxa"/>
            <w:tcBorders>
              <w:tl2br w:val="nil"/>
              <w:tr2bl w:val="nil"/>
            </w:tcBorders>
            <w:vAlign w:val="center"/>
          </w:tcPr>
          <w:p>
            <w:pPr>
              <w:snapToGrid w:val="0"/>
              <w:spacing w:line="360" w:lineRule="auto"/>
              <w:jc w:val="center"/>
              <w:rPr>
                <w:color w:val="auto"/>
                <w:szCs w:val="21"/>
              </w:rPr>
            </w:pPr>
            <w:r>
              <w:rPr>
                <w:color w:val="auto"/>
                <w:kern w:val="0"/>
                <w:szCs w:val="21"/>
              </w:rPr>
              <w:t>千克/万立方米-原料</w:t>
            </w:r>
          </w:p>
        </w:tc>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0.02S</w:t>
            </w:r>
            <w:r>
              <w:rPr>
                <w:color w:val="auto"/>
                <w:szCs w:val="21"/>
                <w:vertAlign w:val="superscript"/>
              </w:rPr>
              <w:fldChar w:fldCharType="begin"/>
            </w:r>
            <w:r>
              <w:rPr>
                <w:color w:val="auto"/>
                <w:szCs w:val="21"/>
                <w:vertAlign w:val="superscript"/>
              </w:rPr>
              <w:instrText xml:space="preserve"> = 1 \* GB3 </w:instrText>
            </w:r>
            <w:r>
              <w:rPr>
                <w:color w:val="auto"/>
                <w:szCs w:val="21"/>
                <w:vertAlign w:val="superscript"/>
              </w:rPr>
              <w:fldChar w:fldCharType="separate"/>
            </w:r>
            <w:r>
              <w:rPr>
                <w:color w:val="auto"/>
                <w:szCs w:val="21"/>
                <w:vertAlign w:val="superscript"/>
              </w:rPr>
              <w:t>①</w:t>
            </w:r>
            <w:r>
              <w:rPr>
                <w:color w:val="auto"/>
                <w:szCs w:val="21"/>
                <w:vertAlign w:val="superscript"/>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氮氧化物</w:t>
            </w:r>
          </w:p>
        </w:tc>
        <w:tc>
          <w:tcPr>
            <w:tcW w:w="2984" w:type="dxa"/>
            <w:tcBorders>
              <w:tl2br w:val="nil"/>
              <w:tr2bl w:val="nil"/>
            </w:tcBorders>
            <w:vAlign w:val="center"/>
          </w:tcPr>
          <w:p>
            <w:pPr>
              <w:snapToGrid w:val="0"/>
              <w:spacing w:line="360" w:lineRule="auto"/>
              <w:jc w:val="center"/>
              <w:rPr>
                <w:color w:val="auto"/>
                <w:szCs w:val="21"/>
              </w:rPr>
            </w:pPr>
            <w:r>
              <w:rPr>
                <w:color w:val="auto"/>
                <w:kern w:val="0"/>
                <w:szCs w:val="21"/>
              </w:rPr>
              <w:t>千克/万立方米-原料</w:t>
            </w:r>
          </w:p>
        </w:tc>
        <w:tc>
          <w:tcPr>
            <w:tcW w:w="2982" w:type="dxa"/>
            <w:tcBorders>
              <w:tl2br w:val="nil"/>
              <w:tr2bl w:val="nil"/>
            </w:tcBorders>
            <w:vAlign w:val="center"/>
          </w:tcPr>
          <w:p>
            <w:pPr>
              <w:snapToGrid w:val="0"/>
              <w:spacing w:line="360" w:lineRule="auto"/>
              <w:jc w:val="center"/>
              <w:rPr>
                <w:color w:val="auto"/>
                <w:szCs w:val="21"/>
              </w:rPr>
            </w:pPr>
            <w:r>
              <w:rPr>
                <w:color w:val="auto"/>
                <w:kern w:val="0"/>
                <w:szCs w:val="21"/>
              </w:rPr>
              <w:t>18.71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Borders>
              <w:tl2br w:val="nil"/>
              <w:tr2bl w:val="nil"/>
            </w:tcBorders>
            <w:vAlign w:val="center"/>
          </w:tcPr>
          <w:p>
            <w:pPr>
              <w:pStyle w:val="32"/>
              <w:spacing w:line="360" w:lineRule="auto"/>
              <w:jc w:val="center"/>
              <w:rPr>
                <w:rFonts w:hint="eastAsia" w:eastAsia="宋体"/>
                <w:color w:val="auto"/>
                <w:sz w:val="21"/>
                <w:szCs w:val="21"/>
                <w:lang w:eastAsia="zh-CN"/>
              </w:rPr>
            </w:pPr>
            <w:r>
              <w:rPr>
                <w:rFonts w:hint="eastAsia"/>
                <w:color w:val="auto"/>
                <w:sz w:val="21"/>
                <w:szCs w:val="21"/>
                <w:lang w:eastAsia="zh-CN"/>
              </w:rPr>
              <w:t>颗粒物</w:t>
            </w:r>
          </w:p>
        </w:tc>
        <w:tc>
          <w:tcPr>
            <w:tcW w:w="2984" w:type="dxa"/>
            <w:tcBorders>
              <w:tl2br w:val="nil"/>
              <w:tr2bl w:val="nil"/>
            </w:tcBorders>
            <w:vAlign w:val="center"/>
          </w:tcPr>
          <w:p>
            <w:pPr>
              <w:pStyle w:val="32"/>
              <w:spacing w:line="360" w:lineRule="auto"/>
              <w:jc w:val="center"/>
              <w:rPr>
                <w:color w:val="auto"/>
                <w:sz w:val="21"/>
                <w:szCs w:val="21"/>
              </w:rPr>
            </w:pPr>
            <w:r>
              <w:rPr>
                <w:color w:val="auto"/>
                <w:sz w:val="21"/>
                <w:szCs w:val="21"/>
              </w:rPr>
              <w:t>千克/万立方米-原料</w:t>
            </w:r>
          </w:p>
        </w:tc>
        <w:tc>
          <w:tcPr>
            <w:tcW w:w="2982" w:type="dxa"/>
            <w:tcBorders>
              <w:tl2br w:val="nil"/>
              <w:tr2bl w:val="nil"/>
            </w:tcBorders>
            <w:vAlign w:val="center"/>
          </w:tcPr>
          <w:p>
            <w:pPr>
              <w:pStyle w:val="32"/>
              <w:spacing w:line="360" w:lineRule="auto"/>
              <w:jc w:val="center"/>
              <w:rPr>
                <w:color w:val="auto"/>
                <w:sz w:val="21"/>
                <w:szCs w:val="21"/>
              </w:rPr>
            </w:pPr>
            <w:r>
              <w:rPr>
                <w:color w:val="auto"/>
                <w:sz w:val="21"/>
                <w:szCs w:val="21"/>
              </w:rPr>
              <w:t>2.</w:t>
            </w:r>
            <w:r>
              <w:rPr>
                <w:rFonts w:hint="eastAsia"/>
                <w:color w:val="auto"/>
                <w:sz w:val="21"/>
                <w:szCs w:val="21"/>
                <w:lang w:val="en-US" w:eastAsia="zh-CN"/>
              </w:rPr>
              <w:t>86</w:t>
            </w:r>
          </w:p>
        </w:tc>
      </w:tr>
    </w:tbl>
    <w:p>
      <w:pPr>
        <w:spacing w:line="360" w:lineRule="auto"/>
        <w:ind w:left="617" w:hanging="617" w:hangingChars="294"/>
        <w:rPr>
          <w:color w:val="auto"/>
          <w:szCs w:val="21"/>
        </w:rPr>
      </w:pPr>
      <w:r>
        <w:rPr>
          <w:color w:val="auto"/>
          <w:szCs w:val="21"/>
        </w:rPr>
        <w:t>注：</w:t>
      </w:r>
      <w:r>
        <w:rPr>
          <w:color w:val="auto"/>
          <w:szCs w:val="21"/>
        </w:rPr>
        <w:fldChar w:fldCharType="begin"/>
      </w:r>
      <w:r>
        <w:rPr>
          <w:color w:val="auto"/>
          <w:szCs w:val="21"/>
        </w:rPr>
        <w:instrText xml:space="preserve"> = 1 \* GB3 </w:instrText>
      </w:r>
      <w:r>
        <w:rPr>
          <w:color w:val="auto"/>
          <w:szCs w:val="21"/>
        </w:rPr>
        <w:fldChar w:fldCharType="separate"/>
      </w:r>
      <w:r>
        <w:rPr>
          <w:color w:val="auto"/>
          <w:szCs w:val="21"/>
        </w:rPr>
        <w:t>①</w:t>
      </w:r>
      <w:r>
        <w:rPr>
          <w:color w:val="auto"/>
          <w:szCs w:val="21"/>
        </w:rPr>
        <w:fldChar w:fldCharType="end"/>
      </w:r>
      <w:r>
        <w:rPr>
          <w:color w:val="auto"/>
          <w:szCs w:val="21"/>
        </w:rPr>
        <w:t>产排污系数表中二氧化硫的产排污系数是以含硫量（S）的形式表示的，其中含硫量（S）是指燃气收到基硫分含量，单位为毫克/立方米。例如燃料中含硫量（S）为200毫克/立方米，则S=200。</w:t>
      </w:r>
    </w:p>
    <w:p>
      <w:pPr>
        <w:spacing w:line="360" w:lineRule="auto"/>
        <w:ind w:firstLine="480" w:firstLineChars="200"/>
        <w:rPr>
          <w:color w:val="auto"/>
          <w:kern w:val="0"/>
          <w:sz w:val="24"/>
          <w:szCs w:val="20"/>
        </w:rPr>
      </w:pPr>
      <w:r>
        <w:rPr>
          <w:color w:val="auto"/>
          <w:sz w:val="24"/>
        </w:rPr>
        <w:t>参考《天然气》（GB17820-2018），项目拟选用二类天然气，二类天然气中含硫量为100mg/m</w:t>
      </w:r>
      <w:r>
        <w:rPr>
          <w:color w:val="auto"/>
          <w:sz w:val="24"/>
          <w:vertAlign w:val="superscript"/>
        </w:rPr>
        <w:t>3</w:t>
      </w:r>
      <w:r>
        <w:rPr>
          <w:color w:val="auto"/>
          <w:sz w:val="24"/>
        </w:rPr>
        <w:t>。</w:t>
      </w:r>
      <w:r>
        <w:rPr>
          <w:rFonts w:hint="eastAsia"/>
          <w:color w:val="auto"/>
          <w:kern w:val="0"/>
          <w:sz w:val="24"/>
          <w:szCs w:val="20"/>
        </w:rPr>
        <w:t>项目导热油炉导热油规格250℃，炉膛温度280℃，燃烧温度较低。</w:t>
      </w:r>
      <w:r>
        <w:rPr>
          <w:rFonts w:hint="eastAsia"/>
          <w:color w:val="auto"/>
          <w:kern w:val="0"/>
          <w:sz w:val="24"/>
          <w:szCs w:val="20"/>
          <w:lang w:val="en-US" w:eastAsia="zh-CN"/>
        </w:rPr>
        <w:t>为使天然气充分燃烧，实际供入的空气量需大于理论空气量，本项目的导热油炉空气过量系数取1.2。则</w:t>
      </w:r>
      <w:r>
        <w:rPr>
          <w:rFonts w:hint="eastAsia"/>
          <w:color w:val="auto"/>
          <w:kern w:val="0"/>
          <w:sz w:val="24"/>
          <w:szCs w:val="20"/>
        </w:rPr>
        <w:t>项目导热油炉</w:t>
      </w:r>
      <w:r>
        <w:rPr>
          <w:color w:val="auto"/>
          <w:sz w:val="24"/>
        </w:rPr>
        <w:t>燃烧废气中污染物产排情况如下表。</w:t>
      </w:r>
    </w:p>
    <w:p>
      <w:pPr>
        <w:pStyle w:val="32"/>
        <w:spacing w:line="360" w:lineRule="auto"/>
        <w:jc w:val="center"/>
        <w:rPr>
          <w:b/>
          <w:bCs/>
          <w:color w:val="auto"/>
        </w:rPr>
      </w:pPr>
      <w:r>
        <w:rPr>
          <w:b/>
          <w:bCs/>
          <w:color w:val="auto"/>
          <w:sz w:val="21"/>
          <w:szCs w:val="21"/>
        </w:rPr>
        <w:t>表</w:t>
      </w:r>
      <w:r>
        <w:rPr>
          <w:rFonts w:hint="eastAsia"/>
          <w:b/>
          <w:bCs/>
          <w:color w:val="auto"/>
          <w:sz w:val="21"/>
          <w:szCs w:val="21"/>
        </w:rPr>
        <w:t>4.5-11</w:t>
      </w:r>
      <w:r>
        <w:rPr>
          <w:b/>
          <w:bCs/>
          <w:color w:val="auto"/>
          <w:sz w:val="21"/>
          <w:szCs w:val="21"/>
        </w:rPr>
        <w:t xml:space="preserve">  </w:t>
      </w:r>
      <w:r>
        <w:rPr>
          <w:rFonts w:hint="eastAsia"/>
          <w:b/>
          <w:bCs/>
          <w:color w:val="auto"/>
          <w:sz w:val="21"/>
          <w:szCs w:val="21"/>
        </w:rPr>
        <w:t>燃烧废气产排情况一览表</w:t>
      </w:r>
    </w:p>
    <w:tbl>
      <w:tblPr>
        <w:tblStyle w:val="24"/>
        <w:tblW w:w="89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700"/>
        <w:gridCol w:w="1810"/>
        <w:gridCol w:w="1473"/>
        <w:gridCol w:w="1646"/>
        <w:gridCol w:w="15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tcBorders>
              <w:tl2br w:val="nil"/>
              <w:tr2bl w:val="nil"/>
            </w:tcBorders>
            <w:vAlign w:val="center"/>
          </w:tcPr>
          <w:p>
            <w:pPr>
              <w:widowControl/>
              <w:jc w:val="center"/>
              <w:textAlignment w:val="center"/>
              <w:rPr>
                <w:b/>
                <w:bCs/>
                <w:color w:val="auto"/>
                <w:sz w:val="24"/>
              </w:rPr>
            </w:pPr>
            <w:r>
              <w:rPr>
                <w:color w:val="auto"/>
                <w:kern w:val="0"/>
                <w:szCs w:val="21"/>
                <w:lang w:bidi="ar"/>
              </w:rPr>
              <w:t>情况</w:t>
            </w:r>
          </w:p>
        </w:tc>
        <w:tc>
          <w:tcPr>
            <w:tcW w:w="1700" w:type="dxa"/>
            <w:tcBorders>
              <w:tl2br w:val="nil"/>
              <w:tr2bl w:val="nil"/>
            </w:tcBorders>
            <w:vAlign w:val="center"/>
          </w:tcPr>
          <w:p>
            <w:pPr>
              <w:widowControl/>
              <w:jc w:val="center"/>
              <w:textAlignment w:val="center"/>
              <w:rPr>
                <w:b/>
                <w:bCs/>
                <w:color w:val="auto"/>
                <w:sz w:val="24"/>
              </w:rPr>
            </w:pPr>
            <w:r>
              <w:rPr>
                <w:color w:val="auto"/>
                <w:kern w:val="0"/>
                <w:szCs w:val="21"/>
                <w:lang w:bidi="ar"/>
              </w:rPr>
              <w:t>项目</w:t>
            </w:r>
          </w:p>
        </w:tc>
        <w:tc>
          <w:tcPr>
            <w:tcW w:w="1810" w:type="dxa"/>
            <w:tcBorders>
              <w:tl2br w:val="nil"/>
              <w:tr2bl w:val="nil"/>
            </w:tcBorders>
            <w:vAlign w:val="center"/>
          </w:tcPr>
          <w:p>
            <w:pPr>
              <w:widowControl/>
              <w:jc w:val="center"/>
              <w:textAlignment w:val="center"/>
              <w:rPr>
                <w:b/>
                <w:bCs/>
                <w:color w:val="auto"/>
                <w:sz w:val="24"/>
              </w:rPr>
            </w:pPr>
            <w:r>
              <w:rPr>
                <w:color w:val="auto"/>
                <w:kern w:val="0"/>
                <w:szCs w:val="21"/>
                <w:lang w:bidi="ar"/>
              </w:rPr>
              <w:t>烟气量</w:t>
            </w:r>
          </w:p>
        </w:tc>
        <w:tc>
          <w:tcPr>
            <w:tcW w:w="1473" w:type="dxa"/>
            <w:tcBorders>
              <w:tl2br w:val="nil"/>
              <w:tr2bl w:val="nil"/>
            </w:tcBorders>
            <w:vAlign w:val="center"/>
          </w:tcPr>
          <w:p>
            <w:pPr>
              <w:widowControl/>
              <w:jc w:val="center"/>
              <w:textAlignment w:val="center"/>
              <w:rPr>
                <w:b/>
                <w:bCs/>
                <w:color w:val="auto"/>
                <w:sz w:val="24"/>
              </w:rPr>
            </w:pPr>
            <w:r>
              <w:rPr>
                <w:color w:val="auto"/>
                <w:kern w:val="0"/>
                <w:szCs w:val="21"/>
                <w:lang w:bidi="ar"/>
              </w:rPr>
              <w:t>SO</w:t>
            </w:r>
            <w:r>
              <w:rPr>
                <w:color w:val="auto"/>
                <w:kern w:val="0"/>
                <w:szCs w:val="21"/>
                <w:vertAlign w:val="subscript"/>
                <w:lang w:bidi="ar"/>
              </w:rPr>
              <w:t>2</w:t>
            </w:r>
          </w:p>
        </w:tc>
        <w:tc>
          <w:tcPr>
            <w:tcW w:w="1646" w:type="dxa"/>
            <w:tcBorders>
              <w:tl2br w:val="nil"/>
              <w:tr2bl w:val="nil"/>
            </w:tcBorders>
            <w:vAlign w:val="center"/>
          </w:tcPr>
          <w:p>
            <w:pPr>
              <w:widowControl/>
              <w:jc w:val="center"/>
              <w:textAlignment w:val="center"/>
              <w:rPr>
                <w:b/>
                <w:bCs/>
                <w:color w:val="auto"/>
                <w:sz w:val="24"/>
              </w:rPr>
            </w:pPr>
            <w:r>
              <w:rPr>
                <w:color w:val="auto"/>
                <w:kern w:val="0"/>
                <w:szCs w:val="21"/>
                <w:lang w:bidi="ar"/>
              </w:rPr>
              <w:t>NO</w:t>
            </w:r>
            <w:r>
              <w:rPr>
                <w:color w:val="auto"/>
                <w:kern w:val="0"/>
                <w:szCs w:val="21"/>
                <w:vertAlign w:val="subscript"/>
                <w:lang w:bidi="ar"/>
              </w:rPr>
              <w:t>x</w:t>
            </w:r>
          </w:p>
        </w:tc>
        <w:tc>
          <w:tcPr>
            <w:tcW w:w="1509" w:type="dxa"/>
            <w:tcBorders>
              <w:tl2br w:val="nil"/>
              <w:tr2bl w:val="nil"/>
            </w:tcBorders>
            <w:vAlign w:val="center"/>
          </w:tcPr>
          <w:p>
            <w:pPr>
              <w:widowControl/>
              <w:jc w:val="center"/>
              <w:textAlignment w:val="center"/>
              <w:rPr>
                <w:rFonts w:hint="eastAsia" w:eastAsia="宋体"/>
                <w:b/>
                <w:bCs/>
                <w:color w:val="auto"/>
                <w:sz w:val="24"/>
                <w:lang w:eastAsia="zh-CN"/>
              </w:rPr>
            </w:pPr>
            <w:r>
              <w:rPr>
                <w:rFonts w:hint="eastAsia"/>
                <w:color w:val="auto"/>
                <w:kern w:val="0"/>
                <w:szCs w:val="21"/>
                <w:lang w:eastAsia="zh-CN" w:bidi="ar"/>
              </w:rPr>
              <w:t>颗粒物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vMerge w:val="restart"/>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产生</w:t>
            </w:r>
          </w:p>
          <w:p>
            <w:pPr>
              <w:widowControl/>
              <w:jc w:val="center"/>
              <w:textAlignment w:val="center"/>
              <w:rPr>
                <w:b/>
                <w:bCs/>
                <w:color w:val="auto"/>
                <w:sz w:val="24"/>
              </w:rPr>
            </w:pPr>
            <w:r>
              <w:rPr>
                <w:rFonts w:hint="eastAsia"/>
                <w:color w:val="auto"/>
                <w:kern w:val="0"/>
                <w:szCs w:val="21"/>
                <w:lang w:bidi="ar"/>
              </w:rPr>
              <w:t>情况</w:t>
            </w:r>
          </w:p>
        </w:tc>
        <w:tc>
          <w:tcPr>
            <w:tcW w:w="1700" w:type="dxa"/>
            <w:tcBorders>
              <w:tl2br w:val="nil"/>
              <w:tr2bl w:val="nil"/>
            </w:tcBorders>
            <w:vAlign w:val="center"/>
          </w:tcPr>
          <w:p>
            <w:pPr>
              <w:widowControl/>
              <w:jc w:val="center"/>
              <w:textAlignment w:val="center"/>
              <w:rPr>
                <w:b/>
                <w:bCs/>
                <w:color w:val="auto"/>
                <w:sz w:val="24"/>
              </w:rPr>
            </w:pPr>
            <w:r>
              <w:rPr>
                <w:color w:val="auto"/>
                <w:kern w:val="0"/>
                <w:szCs w:val="21"/>
                <w:lang w:bidi="ar"/>
              </w:rPr>
              <w:t>产生量</w:t>
            </w:r>
          </w:p>
        </w:tc>
        <w:tc>
          <w:tcPr>
            <w:tcW w:w="1810" w:type="dxa"/>
            <w:tcBorders>
              <w:tl2br w:val="nil"/>
              <w:tr2bl w:val="nil"/>
            </w:tcBorders>
            <w:vAlign w:val="center"/>
          </w:tcPr>
          <w:p>
            <w:pPr>
              <w:widowControl/>
              <w:jc w:val="center"/>
              <w:textAlignment w:val="center"/>
              <w:rPr>
                <w:b/>
                <w:bCs/>
                <w:color w:val="auto"/>
                <w:sz w:val="24"/>
              </w:rPr>
            </w:pPr>
            <w:r>
              <w:rPr>
                <w:rFonts w:hint="eastAsia"/>
                <w:color w:val="auto"/>
                <w:kern w:val="0"/>
                <w:szCs w:val="21"/>
                <w:lang w:val="en-US" w:eastAsia="zh-CN" w:bidi="ar"/>
              </w:rPr>
              <w:t>17986210.44</w:t>
            </w:r>
            <w:r>
              <w:rPr>
                <w:rFonts w:hint="eastAsia"/>
                <w:color w:val="auto"/>
                <w:kern w:val="0"/>
                <w:szCs w:val="21"/>
                <w:lang w:bidi="ar"/>
              </w:rPr>
              <w:t>m</w:t>
            </w:r>
            <w:r>
              <w:rPr>
                <w:rFonts w:hint="eastAsia"/>
                <w:color w:val="auto"/>
                <w:kern w:val="0"/>
                <w:szCs w:val="21"/>
                <w:vertAlign w:val="superscript"/>
                <w:lang w:bidi="ar"/>
              </w:rPr>
              <w:t>3</w:t>
            </w:r>
            <w:r>
              <w:rPr>
                <w:rFonts w:hint="eastAsia"/>
                <w:color w:val="auto"/>
                <w:kern w:val="0"/>
                <w:szCs w:val="21"/>
                <w:lang w:bidi="ar"/>
              </w:rPr>
              <w:t>/a</w:t>
            </w:r>
          </w:p>
        </w:tc>
        <w:tc>
          <w:tcPr>
            <w:tcW w:w="1473" w:type="dxa"/>
            <w:tcBorders>
              <w:tl2br w:val="nil"/>
              <w:tr2bl w:val="nil"/>
            </w:tcBorders>
            <w:vAlign w:val="center"/>
          </w:tcPr>
          <w:p>
            <w:pPr>
              <w:widowControl/>
              <w:jc w:val="center"/>
              <w:textAlignment w:val="center"/>
              <w:rPr>
                <w:b/>
                <w:bCs/>
                <w:color w:val="auto"/>
                <w:sz w:val="24"/>
              </w:rPr>
            </w:pPr>
            <w:r>
              <w:rPr>
                <w:rFonts w:hint="eastAsia"/>
                <w:color w:val="auto"/>
                <w:kern w:val="0"/>
                <w:szCs w:val="21"/>
                <w:lang w:bidi="ar"/>
              </w:rPr>
              <w:t>0.</w:t>
            </w:r>
            <w:r>
              <w:rPr>
                <w:rFonts w:hint="eastAsia"/>
                <w:color w:val="auto"/>
                <w:kern w:val="0"/>
                <w:szCs w:val="21"/>
                <w:lang w:val="en-US" w:eastAsia="zh-CN" w:bidi="ar"/>
              </w:rPr>
              <w:t>2</w:t>
            </w:r>
            <w:r>
              <w:rPr>
                <w:rFonts w:hint="eastAsia"/>
                <w:color w:val="auto"/>
                <w:kern w:val="0"/>
                <w:szCs w:val="21"/>
                <w:lang w:bidi="ar"/>
              </w:rPr>
              <w:t>2</w:t>
            </w:r>
            <w:r>
              <w:rPr>
                <w:color w:val="auto"/>
                <w:kern w:val="0"/>
                <w:szCs w:val="21"/>
                <w:lang w:bidi="ar"/>
              </w:rPr>
              <w:t>t/a</w:t>
            </w:r>
          </w:p>
        </w:tc>
        <w:tc>
          <w:tcPr>
            <w:tcW w:w="1646" w:type="dxa"/>
            <w:tcBorders>
              <w:tl2br w:val="nil"/>
              <w:tr2bl w:val="nil"/>
            </w:tcBorders>
            <w:vAlign w:val="center"/>
          </w:tcPr>
          <w:p>
            <w:pPr>
              <w:widowControl/>
              <w:jc w:val="center"/>
              <w:textAlignment w:val="center"/>
              <w:rPr>
                <w:b/>
                <w:bCs/>
                <w:color w:val="auto"/>
                <w:sz w:val="24"/>
              </w:rPr>
            </w:pPr>
            <w:r>
              <w:rPr>
                <w:rFonts w:hint="eastAsia"/>
                <w:color w:val="auto"/>
                <w:kern w:val="0"/>
                <w:szCs w:val="21"/>
                <w:lang w:val="en-US" w:eastAsia="zh-CN" w:bidi="ar"/>
              </w:rPr>
              <w:t>2.0581</w:t>
            </w:r>
            <w:r>
              <w:rPr>
                <w:color w:val="auto"/>
                <w:kern w:val="0"/>
                <w:szCs w:val="21"/>
                <w:lang w:bidi="ar"/>
              </w:rPr>
              <w:t>t/a</w:t>
            </w:r>
          </w:p>
        </w:tc>
        <w:tc>
          <w:tcPr>
            <w:tcW w:w="1509" w:type="dxa"/>
            <w:tcBorders>
              <w:tl2br w:val="nil"/>
              <w:tr2bl w:val="nil"/>
            </w:tcBorders>
            <w:vAlign w:val="center"/>
          </w:tcPr>
          <w:p>
            <w:pPr>
              <w:widowControl/>
              <w:jc w:val="center"/>
              <w:textAlignment w:val="center"/>
              <w:rPr>
                <w:b/>
                <w:bCs/>
                <w:color w:val="auto"/>
                <w:sz w:val="24"/>
              </w:rPr>
            </w:pPr>
            <w:r>
              <w:rPr>
                <w:rFonts w:hint="eastAsia"/>
                <w:color w:val="auto"/>
                <w:kern w:val="0"/>
                <w:szCs w:val="21"/>
                <w:lang w:val="en-US" w:eastAsia="zh-CN" w:bidi="ar"/>
              </w:rPr>
              <w:t>0.3146</w:t>
            </w:r>
            <w:r>
              <w:rPr>
                <w:color w:val="auto"/>
                <w:kern w:val="0"/>
                <w:szCs w:val="21"/>
                <w:lang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vMerge w:val="continue"/>
            <w:tcBorders>
              <w:tl2br w:val="nil"/>
              <w:tr2bl w:val="nil"/>
            </w:tcBorders>
            <w:vAlign w:val="center"/>
          </w:tcPr>
          <w:p>
            <w:pPr>
              <w:widowControl/>
              <w:jc w:val="center"/>
              <w:textAlignment w:val="center"/>
              <w:rPr>
                <w:color w:val="auto"/>
                <w:kern w:val="0"/>
                <w:szCs w:val="21"/>
                <w:lang w:bidi="ar"/>
              </w:rPr>
            </w:pPr>
          </w:p>
        </w:tc>
        <w:tc>
          <w:tcPr>
            <w:tcW w:w="1700"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时长</w:t>
            </w:r>
          </w:p>
        </w:tc>
        <w:tc>
          <w:tcPr>
            <w:tcW w:w="6438" w:type="dxa"/>
            <w:gridSpan w:val="4"/>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7920h/a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vMerge w:val="restart"/>
            <w:tcBorders>
              <w:tl2br w:val="nil"/>
              <w:tr2bl w:val="nil"/>
            </w:tcBorders>
            <w:vAlign w:val="center"/>
          </w:tcPr>
          <w:p>
            <w:pPr>
              <w:widowControl/>
              <w:jc w:val="center"/>
              <w:textAlignment w:val="center"/>
              <w:rPr>
                <w:b/>
                <w:bCs/>
                <w:color w:val="auto"/>
                <w:sz w:val="24"/>
              </w:rPr>
            </w:pPr>
            <w:r>
              <w:rPr>
                <w:color w:val="auto"/>
                <w:kern w:val="0"/>
                <w:szCs w:val="21"/>
                <w:lang w:bidi="ar"/>
              </w:rPr>
              <w:t>有组织排放</w:t>
            </w:r>
          </w:p>
        </w:tc>
        <w:tc>
          <w:tcPr>
            <w:tcW w:w="1700" w:type="dxa"/>
            <w:tcBorders>
              <w:tl2br w:val="nil"/>
              <w:tr2bl w:val="nil"/>
            </w:tcBorders>
            <w:vAlign w:val="center"/>
          </w:tcPr>
          <w:p>
            <w:pPr>
              <w:widowControl/>
              <w:jc w:val="center"/>
              <w:textAlignment w:val="center"/>
              <w:rPr>
                <w:b/>
                <w:bCs/>
                <w:color w:val="auto"/>
                <w:sz w:val="24"/>
              </w:rPr>
            </w:pPr>
            <w:r>
              <w:rPr>
                <w:color w:val="auto"/>
                <w:kern w:val="0"/>
                <w:szCs w:val="21"/>
                <w:lang w:bidi="ar"/>
              </w:rPr>
              <w:t>有组织排放量</w:t>
            </w:r>
          </w:p>
        </w:tc>
        <w:tc>
          <w:tcPr>
            <w:tcW w:w="1810" w:type="dxa"/>
            <w:tcBorders>
              <w:tl2br w:val="nil"/>
              <w:tr2bl w:val="nil"/>
            </w:tcBorders>
            <w:vAlign w:val="center"/>
          </w:tcPr>
          <w:p>
            <w:pPr>
              <w:widowControl/>
              <w:jc w:val="center"/>
              <w:textAlignment w:val="center"/>
              <w:rPr>
                <w:b/>
                <w:bCs/>
                <w:color w:val="auto"/>
                <w:szCs w:val="21"/>
              </w:rPr>
            </w:pPr>
            <w:r>
              <w:rPr>
                <w:rFonts w:hint="eastAsia"/>
                <w:color w:val="auto"/>
                <w:kern w:val="0"/>
                <w:szCs w:val="21"/>
                <w:lang w:val="en-US" w:eastAsia="zh-CN" w:bidi="ar"/>
              </w:rPr>
              <w:t>17986210.44</w:t>
            </w:r>
            <w:r>
              <w:rPr>
                <w:rFonts w:hint="eastAsia"/>
                <w:color w:val="auto"/>
                <w:kern w:val="0"/>
                <w:szCs w:val="21"/>
                <w:lang w:bidi="ar"/>
              </w:rPr>
              <w:t>m</w:t>
            </w:r>
            <w:r>
              <w:rPr>
                <w:rFonts w:hint="eastAsia"/>
                <w:color w:val="auto"/>
                <w:kern w:val="0"/>
                <w:szCs w:val="21"/>
                <w:vertAlign w:val="superscript"/>
                <w:lang w:bidi="ar"/>
              </w:rPr>
              <w:t>3</w:t>
            </w:r>
            <w:r>
              <w:rPr>
                <w:rFonts w:hint="eastAsia"/>
                <w:color w:val="auto"/>
                <w:kern w:val="0"/>
                <w:szCs w:val="21"/>
                <w:lang w:bidi="ar"/>
              </w:rPr>
              <w:t>/a</w:t>
            </w:r>
          </w:p>
        </w:tc>
        <w:tc>
          <w:tcPr>
            <w:tcW w:w="1473" w:type="dxa"/>
            <w:tcBorders>
              <w:tl2br w:val="nil"/>
              <w:tr2bl w:val="nil"/>
            </w:tcBorders>
            <w:vAlign w:val="center"/>
          </w:tcPr>
          <w:p>
            <w:pPr>
              <w:widowControl/>
              <w:jc w:val="center"/>
              <w:textAlignment w:val="center"/>
              <w:rPr>
                <w:b/>
                <w:bCs/>
                <w:color w:val="auto"/>
                <w:szCs w:val="21"/>
              </w:rPr>
            </w:pPr>
            <w:r>
              <w:rPr>
                <w:rFonts w:hint="eastAsia"/>
                <w:color w:val="auto"/>
                <w:kern w:val="0"/>
                <w:szCs w:val="21"/>
                <w:lang w:bidi="ar"/>
              </w:rPr>
              <w:t>0.</w:t>
            </w:r>
            <w:r>
              <w:rPr>
                <w:rFonts w:hint="eastAsia"/>
                <w:color w:val="auto"/>
                <w:kern w:val="0"/>
                <w:szCs w:val="21"/>
                <w:lang w:val="en-US" w:eastAsia="zh-CN" w:bidi="ar"/>
              </w:rPr>
              <w:t>2</w:t>
            </w:r>
            <w:r>
              <w:rPr>
                <w:rFonts w:hint="eastAsia"/>
                <w:color w:val="auto"/>
                <w:kern w:val="0"/>
                <w:szCs w:val="21"/>
                <w:lang w:bidi="ar"/>
              </w:rPr>
              <w:t>2</w:t>
            </w:r>
            <w:r>
              <w:rPr>
                <w:color w:val="auto"/>
                <w:kern w:val="0"/>
                <w:szCs w:val="21"/>
                <w:lang w:bidi="ar"/>
              </w:rPr>
              <w:t>t/a</w:t>
            </w:r>
          </w:p>
        </w:tc>
        <w:tc>
          <w:tcPr>
            <w:tcW w:w="1646" w:type="dxa"/>
            <w:tcBorders>
              <w:tl2br w:val="nil"/>
              <w:tr2bl w:val="nil"/>
            </w:tcBorders>
            <w:vAlign w:val="center"/>
          </w:tcPr>
          <w:p>
            <w:pPr>
              <w:widowControl/>
              <w:jc w:val="center"/>
              <w:textAlignment w:val="center"/>
              <w:rPr>
                <w:b/>
                <w:bCs/>
                <w:color w:val="auto"/>
                <w:szCs w:val="21"/>
              </w:rPr>
            </w:pPr>
            <w:r>
              <w:rPr>
                <w:rFonts w:hint="eastAsia"/>
                <w:color w:val="auto"/>
                <w:kern w:val="0"/>
                <w:szCs w:val="21"/>
                <w:lang w:val="en-US" w:eastAsia="zh-CN" w:bidi="ar"/>
              </w:rPr>
              <w:t>2.0581</w:t>
            </w:r>
            <w:r>
              <w:rPr>
                <w:color w:val="auto"/>
                <w:kern w:val="0"/>
                <w:szCs w:val="21"/>
                <w:lang w:bidi="ar"/>
              </w:rPr>
              <w:t>t/a</w:t>
            </w:r>
          </w:p>
        </w:tc>
        <w:tc>
          <w:tcPr>
            <w:tcW w:w="1509" w:type="dxa"/>
            <w:tcBorders>
              <w:tl2br w:val="nil"/>
              <w:tr2bl w:val="nil"/>
            </w:tcBorders>
            <w:vAlign w:val="center"/>
          </w:tcPr>
          <w:p>
            <w:pPr>
              <w:widowControl/>
              <w:jc w:val="center"/>
              <w:textAlignment w:val="center"/>
              <w:rPr>
                <w:b/>
                <w:bCs/>
                <w:color w:val="auto"/>
                <w:szCs w:val="21"/>
              </w:rPr>
            </w:pPr>
            <w:r>
              <w:rPr>
                <w:rFonts w:hint="eastAsia"/>
                <w:color w:val="auto"/>
                <w:kern w:val="0"/>
                <w:szCs w:val="21"/>
                <w:lang w:val="en-US" w:eastAsia="zh-CN" w:bidi="ar"/>
              </w:rPr>
              <w:t>0.3146</w:t>
            </w:r>
            <w:r>
              <w:rPr>
                <w:color w:val="auto"/>
                <w:kern w:val="0"/>
                <w:szCs w:val="21"/>
                <w:lang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vMerge w:val="continue"/>
            <w:tcBorders>
              <w:tl2br w:val="nil"/>
              <w:tr2bl w:val="nil"/>
            </w:tcBorders>
            <w:vAlign w:val="center"/>
          </w:tcPr>
          <w:p>
            <w:pPr>
              <w:widowControl/>
              <w:jc w:val="center"/>
              <w:textAlignment w:val="center"/>
              <w:rPr>
                <w:color w:val="auto"/>
                <w:kern w:val="0"/>
                <w:szCs w:val="21"/>
                <w:lang w:bidi="ar"/>
              </w:rPr>
            </w:pPr>
          </w:p>
        </w:tc>
        <w:tc>
          <w:tcPr>
            <w:tcW w:w="1700" w:type="dxa"/>
            <w:tcBorders>
              <w:tl2br w:val="nil"/>
              <w:tr2bl w:val="nil"/>
            </w:tcBorders>
            <w:vAlign w:val="center"/>
          </w:tcPr>
          <w:p>
            <w:pPr>
              <w:widowControl/>
              <w:jc w:val="center"/>
              <w:textAlignment w:val="center"/>
              <w:rPr>
                <w:color w:val="auto"/>
                <w:kern w:val="0"/>
                <w:szCs w:val="21"/>
                <w:lang w:bidi="ar"/>
              </w:rPr>
            </w:pPr>
            <w:r>
              <w:rPr>
                <w:color w:val="auto"/>
                <w:kern w:val="0"/>
                <w:szCs w:val="21"/>
              </w:rPr>
              <w:t>有组织</w:t>
            </w:r>
            <w:r>
              <w:rPr>
                <w:rFonts w:hint="eastAsia"/>
                <w:color w:val="auto"/>
                <w:kern w:val="0"/>
                <w:szCs w:val="21"/>
              </w:rPr>
              <w:t>排放速率</w:t>
            </w:r>
          </w:p>
        </w:tc>
        <w:tc>
          <w:tcPr>
            <w:tcW w:w="1810" w:type="dxa"/>
            <w:tcBorders>
              <w:tl2br w:val="nil"/>
              <w:tr2bl w:val="nil"/>
            </w:tcBorders>
            <w:vAlign w:val="center"/>
          </w:tcPr>
          <w:p>
            <w:pPr>
              <w:widowControl/>
              <w:jc w:val="center"/>
              <w:textAlignment w:val="center"/>
              <w:rPr>
                <w:color w:val="auto"/>
              </w:rPr>
            </w:pPr>
            <w:r>
              <w:rPr>
                <w:rFonts w:hint="eastAsia"/>
                <w:color w:val="auto"/>
                <w:lang w:val="en-US" w:eastAsia="zh-CN"/>
              </w:rPr>
              <w:t>2270.9862</w:t>
            </w:r>
            <w:r>
              <w:rPr>
                <w:rFonts w:hint="eastAsia"/>
                <w:color w:val="auto"/>
              </w:rPr>
              <w:t>m</w:t>
            </w:r>
            <w:r>
              <w:rPr>
                <w:rFonts w:hint="eastAsia"/>
                <w:color w:val="auto"/>
                <w:vertAlign w:val="superscript"/>
              </w:rPr>
              <w:t>3</w:t>
            </w:r>
            <w:r>
              <w:rPr>
                <w:rFonts w:hint="eastAsia"/>
                <w:color w:val="auto"/>
              </w:rPr>
              <w:t>/h</w:t>
            </w:r>
          </w:p>
        </w:tc>
        <w:tc>
          <w:tcPr>
            <w:tcW w:w="1473"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val="en-US" w:eastAsia="zh-CN" w:bidi="ar"/>
              </w:rPr>
              <w:t>0.0278</w:t>
            </w:r>
            <w:r>
              <w:rPr>
                <w:rFonts w:hint="eastAsia"/>
                <w:color w:val="auto"/>
                <w:kern w:val="0"/>
                <w:szCs w:val="21"/>
              </w:rPr>
              <w:t>kg/h</w:t>
            </w:r>
          </w:p>
        </w:tc>
        <w:tc>
          <w:tcPr>
            <w:tcW w:w="1646"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val="en-US" w:eastAsia="zh-CN" w:bidi="ar"/>
              </w:rPr>
              <w:t>0.2599</w:t>
            </w:r>
            <w:r>
              <w:rPr>
                <w:rFonts w:hint="eastAsia"/>
                <w:color w:val="auto"/>
                <w:kern w:val="0"/>
                <w:szCs w:val="21"/>
              </w:rPr>
              <w:t>kg/h</w:t>
            </w:r>
            <w:r>
              <w:rPr>
                <w:rFonts w:eastAsia="Tahoma"/>
                <w:color w:val="auto"/>
                <w:kern w:val="0"/>
                <w:szCs w:val="21"/>
                <w:lang w:bidi="ar"/>
              </w:rPr>
              <w:t xml:space="preserve"> </w:t>
            </w:r>
          </w:p>
        </w:tc>
        <w:tc>
          <w:tcPr>
            <w:tcW w:w="1509" w:type="dxa"/>
            <w:tcBorders>
              <w:tl2br w:val="nil"/>
              <w:tr2bl w:val="nil"/>
            </w:tcBorders>
            <w:vAlign w:val="center"/>
          </w:tcPr>
          <w:p>
            <w:pPr>
              <w:widowControl/>
              <w:jc w:val="center"/>
              <w:textAlignment w:val="center"/>
              <w:rPr>
                <w:color w:val="auto"/>
                <w:kern w:val="0"/>
                <w:szCs w:val="21"/>
                <w:lang w:bidi="ar"/>
              </w:rPr>
            </w:pPr>
            <w:r>
              <w:rPr>
                <w:rFonts w:eastAsia="Tahoma"/>
                <w:color w:val="auto"/>
                <w:kern w:val="0"/>
                <w:szCs w:val="21"/>
                <w:lang w:bidi="ar"/>
              </w:rPr>
              <w:t>0.0</w:t>
            </w:r>
            <w:r>
              <w:rPr>
                <w:rFonts w:hint="eastAsia"/>
                <w:color w:val="auto"/>
                <w:kern w:val="0"/>
                <w:szCs w:val="21"/>
                <w:lang w:val="en-US" w:eastAsia="zh-CN" w:bidi="ar"/>
              </w:rPr>
              <w:t>397</w:t>
            </w:r>
            <w:r>
              <w:rPr>
                <w:rFonts w:hint="eastAsia"/>
                <w:color w:val="auto"/>
                <w:kern w:val="0"/>
                <w:szCs w:val="21"/>
              </w:rPr>
              <w:t>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0" w:type="dxa"/>
            <w:vMerge w:val="continue"/>
            <w:tcBorders>
              <w:tl2br w:val="nil"/>
              <w:tr2bl w:val="nil"/>
            </w:tcBorders>
            <w:vAlign w:val="center"/>
          </w:tcPr>
          <w:p>
            <w:pPr>
              <w:widowControl/>
              <w:jc w:val="center"/>
              <w:textAlignment w:val="center"/>
              <w:rPr>
                <w:color w:val="auto"/>
                <w:kern w:val="0"/>
                <w:szCs w:val="21"/>
                <w:lang w:bidi="ar"/>
              </w:rPr>
            </w:pPr>
          </w:p>
        </w:tc>
        <w:tc>
          <w:tcPr>
            <w:tcW w:w="1700"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rPr>
              <w:t>有组织排放浓度</w:t>
            </w:r>
          </w:p>
        </w:tc>
        <w:tc>
          <w:tcPr>
            <w:tcW w:w="1810"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w:t>
            </w:r>
          </w:p>
        </w:tc>
        <w:tc>
          <w:tcPr>
            <w:tcW w:w="1473" w:type="dxa"/>
            <w:tcBorders>
              <w:tl2br w:val="nil"/>
              <w:tr2bl w:val="nil"/>
            </w:tcBorders>
            <w:vAlign w:val="center"/>
          </w:tcPr>
          <w:p>
            <w:pPr>
              <w:widowControl/>
              <w:jc w:val="center"/>
              <w:textAlignment w:val="center"/>
              <w:rPr>
                <w:color w:val="auto"/>
                <w:kern w:val="0"/>
                <w:szCs w:val="21"/>
                <w:lang w:bidi="ar"/>
              </w:rPr>
            </w:pPr>
            <w:r>
              <w:rPr>
                <w:rFonts w:hint="eastAsia" w:eastAsia="宋体"/>
                <w:color w:val="auto"/>
                <w:kern w:val="0"/>
                <w:szCs w:val="21"/>
                <w:lang w:val="en-US" w:eastAsia="zh-CN" w:bidi="ar"/>
              </w:rPr>
              <w:t>12.2316</w:t>
            </w:r>
            <w:r>
              <w:rPr>
                <w:rFonts w:hint="eastAsia"/>
                <w:color w:val="auto"/>
                <w:kern w:val="0"/>
                <w:szCs w:val="21"/>
              </w:rPr>
              <w:t>mg/m</w:t>
            </w:r>
            <w:r>
              <w:rPr>
                <w:rFonts w:hint="eastAsia"/>
                <w:color w:val="auto"/>
                <w:kern w:val="0"/>
                <w:szCs w:val="21"/>
                <w:vertAlign w:val="superscript"/>
              </w:rPr>
              <w:t>3</w:t>
            </w:r>
          </w:p>
        </w:tc>
        <w:tc>
          <w:tcPr>
            <w:tcW w:w="1646" w:type="dxa"/>
            <w:tcBorders>
              <w:tl2br w:val="nil"/>
              <w:tr2bl w:val="nil"/>
            </w:tcBorders>
            <w:vAlign w:val="center"/>
          </w:tcPr>
          <w:p>
            <w:pPr>
              <w:widowControl/>
              <w:jc w:val="center"/>
              <w:textAlignment w:val="center"/>
              <w:rPr>
                <w:color w:val="auto"/>
                <w:kern w:val="0"/>
                <w:szCs w:val="21"/>
                <w:lang w:bidi="ar"/>
              </w:rPr>
            </w:pPr>
            <w:r>
              <w:rPr>
                <w:rFonts w:hint="eastAsia" w:eastAsia="宋体"/>
                <w:color w:val="auto"/>
                <w:kern w:val="0"/>
                <w:szCs w:val="21"/>
                <w:lang w:val="en-US" w:eastAsia="zh-CN" w:bidi="ar"/>
              </w:rPr>
              <w:t>114.4265</w:t>
            </w:r>
            <w:r>
              <w:rPr>
                <w:rFonts w:hint="eastAsia"/>
                <w:color w:val="auto"/>
                <w:kern w:val="0"/>
                <w:szCs w:val="21"/>
              </w:rPr>
              <w:t>mg/m</w:t>
            </w:r>
            <w:r>
              <w:rPr>
                <w:rFonts w:hint="eastAsia"/>
                <w:color w:val="auto"/>
                <w:kern w:val="0"/>
                <w:szCs w:val="21"/>
                <w:vertAlign w:val="superscript"/>
              </w:rPr>
              <w:t>3</w:t>
            </w:r>
          </w:p>
        </w:tc>
        <w:tc>
          <w:tcPr>
            <w:tcW w:w="1509" w:type="dxa"/>
            <w:tcBorders>
              <w:tl2br w:val="nil"/>
              <w:tr2bl w:val="nil"/>
            </w:tcBorders>
            <w:vAlign w:val="center"/>
          </w:tcPr>
          <w:p>
            <w:pPr>
              <w:widowControl/>
              <w:jc w:val="center"/>
              <w:textAlignment w:val="center"/>
              <w:rPr>
                <w:color w:val="auto"/>
                <w:kern w:val="0"/>
                <w:szCs w:val="21"/>
                <w:lang w:bidi="ar"/>
              </w:rPr>
            </w:pPr>
            <w:r>
              <w:rPr>
                <w:rFonts w:hint="eastAsia" w:eastAsia="宋体"/>
                <w:color w:val="auto"/>
                <w:kern w:val="0"/>
                <w:szCs w:val="21"/>
                <w:lang w:val="en-US" w:eastAsia="zh-CN" w:bidi="ar"/>
              </w:rPr>
              <w:t>17.4912</w:t>
            </w:r>
            <w:r>
              <w:rPr>
                <w:rFonts w:hint="eastAsia"/>
                <w:color w:val="auto"/>
                <w:kern w:val="0"/>
                <w:szCs w:val="21"/>
              </w:rPr>
              <w:t>mg/m</w:t>
            </w:r>
            <w:r>
              <w:rPr>
                <w:rFonts w:hint="eastAsia"/>
                <w:color w:val="auto"/>
                <w:kern w:val="0"/>
                <w:szCs w:val="21"/>
                <w:vertAlign w:val="superscript"/>
              </w:rPr>
              <w:t>3</w:t>
            </w:r>
          </w:p>
        </w:tc>
      </w:tr>
    </w:tbl>
    <w:p>
      <w:pPr>
        <w:pStyle w:val="6"/>
        <w:spacing w:line="360" w:lineRule="auto"/>
        <w:ind w:firstLine="480"/>
        <w:rPr>
          <w:color w:val="auto"/>
          <w:kern w:val="2"/>
          <w:sz w:val="24"/>
          <w:szCs w:val="24"/>
        </w:rPr>
      </w:pPr>
      <w:r>
        <w:rPr>
          <w:rFonts w:hint="eastAsia"/>
          <w:color w:val="auto"/>
          <w:kern w:val="2"/>
          <w:sz w:val="24"/>
          <w:szCs w:val="24"/>
        </w:rPr>
        <w:t>（5）铲车尾气</w:t>
      </w:r>
    </w:p>
    <w:p>
      <w:pPr>
        <w:pStyle w:val="56"/>
        <w:spacing w:before="0" w:after="0" w:line="360" w:lineRule="auto"/>
        <w:ind w:firstLine="482"/>
        <w:rPr>
          <w:rFonts w:ascii="Times New Roman" w:hAnsi="Times New Roman"/>
          <w:color w:val="auto"/>
          <w:sz w:val="24"/>
          <w:szCs w:val="24"/>
        </w:rPr>
      </w:pPr>
      <w:r>
        <w:rPr>
          <w:rFonts w:hint="eastAsia" w:ascii="Times New Roman" w:hAnsi="Times New Roman"/>
          <w:color w:val="auto"/>
          <w:sz w:val="24"/>
          <w:szCs w:val="24"/>
        </w:rPr>
        <w:t>本</w:t>
      </w:r>
      <w:r>
        <w:rPr>
          <w:rFonts w:ascii="Times New Roman" w:hAnsi="Times New Roman"/>
          <w:color w:val="auto"/>
          <w:sz w:val="24"/>
          <w:szCs w:val="24"/>
        </w:rPr>
        <w:t>项目</w:t>
      </w:r>
      <w:r>
        <w:rPr>
          <w:rFonts w:hint="eastAsia" w:ascii="Times New Roman" w:hAnsi="Times New Roman"/>
          <w:color w:val="auto"/>
          <w:sz w:val="24"/>
          <w:szCs w:val="24"/>
        </w:rPr>
        <w:t>拟</w:t>
      </w:r>
      <w:r>
        <w:rPr>
          <w:rFonts w:ascii="Times New Roman" w:hAnsi="Times New Roman"/>
          <w:color w:val="auto"/>
          <w:sz w:val="24"/>
          <w:szCs w:val="24"/>
        </w:rPr>
        <w:t>配备了</w:t>
      </w:r>
      <w:r>
        <w:rPr>
          <w:rFonts w:hint="eastAsia" w:ascii="Times New Roman" w:hAnsi="Times New Roman"/>
          <w:color w:val="auto"/>
          <w:sz w:val="24"/>
          <w:szCs w:val="24"/>
        </w:rPr>
        <w:t>3</w:t>
      </w:r>
      <w:r>
        <w:rPr>
          <w:rFonts w:ascii="Times New Roman" w:hAnsi="Times New Roman"/>
          <w:color w:val="auto"/>
          <w:sz w:val="24"/>
          <w:szCs w:val="24"/>
        </w:rPr>
        <w:t>台铲</w:t>
      </w:r>
      <w:r>
        <w:rPr>
          <w:rFonts w:hint="eastAsia" w:ascii="Times New Roman" w:hAnsi="Times New Roman"/>
          <w:color w:val="auto"/>
          <w:sz w:val="24"/>
          <w:szCs w:val="24"/>
        </w:rPr>
        <w:t>车</w:t>
      </w:r>
      <w:r>
        <w:rPr>
          <w:rFonts w:ascii="Times New Roman" w:hAnsi="Times New Roman"/>
          <w:color w:val="auto"/>
          <w:sz w:val="24"/>
          <w:szCs w:val="24"/>
        </w:rPr>
        <w:t>。根据建设单位</w:t>
      </w:r>
      <w:r>
        <w:rPr>
          <w:rFonts w:hint="eastAsia" w:ascii="Times New Roman" w:hAnsi="Times New Roman"/>
          <w:color w:val="auto"/>
          <w:sz w:val="24"/>
          <w:szCs w:val="24"/>
        </w:rPr>
        <w:t>经验</w:t>
      </w:r>
      <w:r>
        <w:rPr>
          <w:rFonts w:ascii="Times New Roman" w:hAnsi="Times New Roman"/>
          <w:color w:val="auto"/>
          <w:sz w:val="24"/>
          <w:szCs w:val="24"/>
        </w:rPr>
        <w:t>，铲</w:t>
      </w:r>
      <w:r>
        <w:rPr>
          <w:rFonts w:hint="eastAsia" w:ascii="Times New Roman" w:hAnsi="Times New Roman"/>
          <w:color w:val="auto"/>
          <w:sz w:val="24"/>
          <w:szCs w:val="24"/>
        </w:rPr>
        <w:t>车</w:t>
      </w:r>
      <w:r>
        <w:rPr>
          <w:rFonts w:ascii="Times New Roman" w:hAnsi="Times New Roman"/>
          <w:color w:val="auto"/>
          <w:sz w:val="24"/>
          <w:szCs w:val="24"/>
        </w:rPr>
        <w:t>连续工作的情况下，平均1台铲</w:t>
      </w:r>
      <w:r>
        <w:rPr>
          <w:rFonts w:hint="eastAsia" w:ascii="Times New Roman" w:hAnsi="Times New Roman"/>
          <w:color w:val="auto"/>
          <w:sz w:val="24"/>
          <w:szCs w:val="24"/>
        </w:rPr>
        <w:t>车</w:t>
      </w:r>
      <w:r>
        <w:rPr>
          <w:rFonts w:ascii="Times New Roman" w:hAnsi="Times New Roman"/>
          <w:color w:val="auto"/>
          <w:sz w:val="24"/>
          <w:szCs w:val="24"/>
        </w:rPr>
        <w:t>耗柴油</w:t>
      </w:r>
      <w:r>
        <w:rPr>
          <w:rFonts w:hint="eastAsia" w:ascii="Times New Roman" w:hAnsi="Times New Roman"/>
          <w:color w:val="auto"/>
          <w:sz w:val="24"/>
          <w:szCs w:val="24"/>
        </w:rPr>
        <w:t>10</w:t>
      </w:r>
      <w:r>
        <w:rPr>
          <w:rFonts w:ascii="Times New Roman" w:hAnsi="Times New Roman"/>
          <w:color w:val="auto"/>
          <w:sz w:val="24"/>
          <w:szCs w:val="24"/>
        </w:rPr>
        <w:t>L/h</w:t>
      </w:r>
      <w:r>
        <w:rPr>
          <w:rFonts w:hint="eastAsia" w:ascii="Times New Roman" w:hAnsi="Times New Roman"/>
          <w:color w:val="auto"/>
          <w:sz w:val="24"/>
          <w:szCs w:val="24"/>
        </w:rPr>
        <w:t>。每台铲车平均</w:t>
      </w:r>
      <w:r>
        <w:rPr>
          <w:rFonts w:ascii="Times New Roman" w:hAnsi="Times New Roman"/>
          <w:color w:val="auto"/>
          <w:sz w:val="24"/>
          <w:szCs w:val="24"/>
        </w:rPr>
        <w:t>运转时间为</w:t>
      </w:r>
      <w:r>
        <w:rPr>
          <w:rFonts w:hint="eastAsia" w:ascii="Times New Roman" w:hAnsi="Times New Roman"/>
          <w:color w:val="auto"/>
          <w:sz w:val="24"/>
          <w:szCs w:val="24"/>
        </w:rPr>
        <w:t>4</w:t>
      </w:r>
      <w:r>
        <w:rPr>
          <w:rFonts w:ascii="Times New Roman" w:hAnsi="Times New Roman"/>
          <w:color w:val="auto"/>
          <w:sz w:val="24"/>
          <w:szCs w:val="24"/>
        </w:rPr>
        <w:t>h/d，</w:t>
      </w:r>
      <w:r>
        <w:rPr>
          <w:rFonts w:hint="eastAsia" w:ascii="Times New Roman" w:hAnsi="Times New Roman"/>
          <w:color w:val="auto"/>
          <w:sz w:val="24"/>
          <w:szCs w:val="24"/>
        </w:rPr>
        <w:t>项目年生产</w:t>
      </w:r>
      <w:r>
        <w:rPr>
          <w:rFonts w:ascii="Times New Roman" w:hAnsi="Times New Roman"/>
          <w:color w:val="auto"/>
          <w:sz w:val="24"/>
          <w:szCs w:val="24"/>
        </w:rPr>
        <w:t>3</w:t>
      </w:r>
      <w:r>
        <w:rPr>
          <w:rFonts w:hint="eastAsia" w:ascii="Times New Roman" w:hAnsi="Times New Roman"/>
          <w:color w:val="auto"/>
          <w:sz w:val="24"/>
          <w:szCs w:val="24"/>
        </w:rPr>
        <w:t>3</w:t>
      </w:r>
      <w:r>
        <w:rPr>
          <w:rFonts w:ascii="Times New Roman" w:hAnsi="Times New Roman"/>
          <w:color w:val="auto"/>
          <w:sz w:val="24"/>
          <w:szCs w:val="24"/>
        </w:rPr>
        <w:t>0</w:t>
      </w:r>
      <w:r>
        <w:rPr>
          <w:rFonts w:hint="eastAsia" w:ascii="Times New Roman" w:hAnsi="Times New Roman"/>
          <w:color w:val="auto"/>
          <w:sz w:val="24"/>
          <w:szCs w:val="24"/>
        </w:rPr>
        <w:t>天</w:t>
      </w:r>
      <w:r>
        <w:rPr>
          <w:rFonts w:ascii="Times New Roman" w:hAnsi="Times New Roman"/>
          <w:color w:val="auto"/>
          <w:sz w:val="24"/>
          <w:szCs w:val="24"/>
        </w:rPr>
        <w:t>，则现有项目</w:t>
      </w:r>
      <w:r>
        <w:rPr>
          <w:rFonts w:hint="eastAsia" w:ascii="Times New Roman" w:hAnsi="Times New Roman"/>
          <w:color w:val="auto"/>
          <w:sz w:val="24"/>
          <w:szCs w:val="24"/>
        </w:rPr>
        <w:t>铲车</w:t>
      </w:r>
      <w:r>
        <w:rPr>
          <w:rFonts w:ascii="Times New Roman" w:hAnsi="Times New Roman"/>
          <w:color w:val="auto"/>
          <w:sz w:val="24"/>
          <w:szCs w:val="24"/>
        </w:rPr>
        <w:t>总耗油量约</w:t>
      </w:r>
      <w:r>
        <w:rPr>
          <w:rFonts w:hint="eastAsia" w:ascii="Times New Roman" w:hAnsi="Times New Roman"/>
          <w:color w:val="auto"/>
          <w:sz w:val="24"/>
          <w:szCs w:val="24"/>
        </w:rPr>
        <w:t>36.9</w:t>
      </w:r>
      <w:r>
        <w:rPr>
          <w:rFonts w:ascii="Times New Roman" w:hAnsi="Times New Roman"/>
          <w:color w:val="auto"/>
          <w:sz w:val="24"/>
          <w:szCs w:val="24"/>
        </w:rPr>
        <w:t>m</w:t>
      </w:r>
      <w:r>
        <w:rPr>
          <w:rFonts w:ascii="Times New Roman" w:hAnsi="Times New Roman"/>
          <w:color w:val="auto"/>
          <w:sz w:val="24"/>
          <w:szCs w:val="24"/>
          <w:vertAlign w:val="superscript"/>
        </w:rPr>
        <w:t>3</w:t>
      </w:r>
      <w:r>
        <w:rPr>
          <w:rFonts w:ascii="Times New Roman" w:hAnsi="Times New Roman"/>
          <w:color w:val="auto"/>
          <w:sz w:val="24"/>
          <w:szCs w:val="24"/>
        </w:rPr>
        <w:t>/a。根据有关研究结果，</w:t>
      </w:r>
      <w:r>
        <w:rPr>
          <w:rFonts w:hint="eastAsia" w:ascii="Times New Roman" w:hAnsi="Times New Roman"/>
          <w:color w:val="auto"/>
          <w:sz w:val="24"/>
          <w:szCs w:val="24"/>
        </w:rPr>
        <w:t>铲车尾气</w:t>
      </w:r>
      <w:r>
        <w:rPr>
          <w:rFonts w:ascii="Times New Roman" w:hAnsi="Times New Roman"/>
          <w:color w:val="auto"/>
          <w:sz w:val="24"/>
          <w:szCs w:val="24"/>
        </w:rPr>
        <w:t>的污染物系数见下表。</w:t>
      </w:r>
    </w:p>
    <w:p>
      <w:pPr>
        <w:pStyle w:val="57"/>
        <w:spacing w:before="0" w:after="0" w:line="240" w:lineRule="auto"/>
        <w:rPr>
          <w:rFonts w:ascii="Times New Roman" w:hAnsi="Times New Roman"/>
          <w:color w:val="auto"/>
        </w:rPr>
      </w:pPr>
    </w:p>
    <w:p>
      <w:pPr>
        <w:pStyle w:val="57"/>
        <w:spacing w:before="0" w:after="0" w:line="240" w:lineRule="auto"/>
        <w:rPr>
          <w:rFonts w:ascii="Times New Roman" w:hAnsi="Times New Roman"/>
          <w:color w:val="auto"/>
        </w:rPr>
      </w:pPr>
    </w:p>
    <w:p>
      <w:pPr>
        <w:pStyle w:val="57"/>
        <w:spacing w:before="0" w:after="0" w:line="240" w:lineRule="auto"/>
        <w:rPr>
          <w:rFonts w:ascii="Times New Roman" w:hAnsi="Times New Roman"/>
          <w:color w:val="auto"/>
        </w:rPr>
      </w:pPr>
    </w:p>
    <w:p>
      <w:pPr>
        <w:pStyle w:val="57"/>
        <w:spacing w:before="0" w:after="0" w:line="240" w:lineRule="auto"/>
        <w:rPr>
          <w:rFonts w:ascii="Times New Roman" w:hAnsi="Times New Roman"/>
          <w:color w:val="auto"/>
        </w:rPr>
      </w:pPr>
    </w:p>
    <w:p>
      <w:pPr>
        <w:pStyle w:val="57"/>
        <w:spacing w:before="0" w:after="0" w:line="240" w:lineRule="auto"/>
        <w:rPr>
          <w:rFonts w:ascii="Times New Roman" w:hAnsi="Times New Roman"/>
          <w:color w:val="auto"/>
        </w:rPr>
      </w:pPr>
      <w:r>
        <w:rPr>
          <w:rFonts w:ascii="Times New Roman" w:hAnsi="Times New Roman"/>
          <w:color w:val="auto"/>
        </w:rPr>
        <w:t>表</w:t>
      </w:r>
      <w:r>
        <w:rPr>
          <w:rFonts w:hint="eastAsia" w:ascii="Times New Roman" w:hAnsi="Times New Roman"/>
          <w:color w:val="auto"/>
        </w:rPr>
        <w:t xml:space="preserve">4.5-12 </w:t>
      </w:r>
      <w:r>
        <w:rPr>
          <w:rFonts w:ascii="Times New Roman" w:hAnsi="Times New Roman"/>
          <w:color w:val="auto"/>
        </w:rPr>
        <w:t xml:space="preserve"> 项目</w:t>
      </w:r>
      <w:r>
        <w:rPr>
          <w:rFonts w:hint="eastAsia" w:ascii="Times New Roman" w:hAnsi="Times New Roman"/>
          <w:color w:val="auto"/>
        </w:rPr>
        <w:t>铲车</w:t>
      </w:r>
      <w:r>
        <w:rPr>
          <w:rFonts w:ascii="Times New Roman" w:hAnsi="Times New Roman"/>
          <w:color w:val="auto"/>
        </w:rPr>
        <w:t>污染物排放量统计</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1"/>
        <w:gridCol w:w="1782"/>
        <w:gridCol w:w="1783"/>
        <w:gridCol w:w="1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废气类型</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NO</w:t>
            </w:r>
            <w:r>
              <w:rPr>
                <w:rFonts w:ascii="Times New Roman" w:hAnsi="Times New Roman"/>
                <w:bCs/>
                <w:color w:val="auto"/>
                <w:szCs w:val="21"/>
                <w:vertAlign w:val="subscript"/>
              </w:rPr>
              <w:t>x</w:t>
            </w:r>
          </w:p>
        </w:tc>
        <w:tc>
          <w:tcPr>
            <w:tcW w:w="1783"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CO</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产生系数（kg/m</w:t>
            </w:r>
            <w:r>
              <w:rPr>
                <w:rFonts w:ascii="Times New Roman" w:hAnsi="Times New Roman"/>
                <w:bCs/>
                <w:color w:val="auto"/>
                <w:szCs w:val="21"/>
                <w:vertAlign w:val="superscript"/>
              </w:rPr>
              <w:t>3</w:t>
            </w:r>
            <w:r>
              <w:rPr>
                <w:rFonts w:ascii="Times New Roman" w:hAnsi="Times New Roman"/>
                <w:bCs/>
                <w:color w:val="auto"/>
                <w:szCs w:val="21"/>
              </w:rPr>
              <w:t>柴油）</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8.57</w:t>
            </w:r>
          </w:p>
        </w:tc>
        <w:tc>
          <w:tcPr>
            <w:tcW w:w="1783"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0.238</w:t>
            </w:r>
          </w:p>
        </w:tc>
        <w:tc>
          <w:tcPr>
            <w:tcW w:w="1782"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0.357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01" w:type="dxa"/>
            <w:tcBorders>
              <w:tl2br w:val="nil"/>
              <w:tr2bl w:val="nil"/>
            </w:tcBorders>
            <w:vAlign w:val="center"/>
          </w:tcPr>
          <w:p>
            <w:pPr>
              <w:pStyle w:val="56"/>
              <w:adjustRightInd w:val="0"/>
              <w:snapToGrid w:val="0"/>
              <w:spacing w:before="0" w:after="0" w:line="240" w:lineRule="auto"/>
              <w:ind w:firstLine="0"/>
              <w:jc w:val="center"/>
              <w:rPr>
                <w:rFonts w:ascii="Times New Roman" w:hAnsi="Times New Roman"/>
                <w:bCs/>
                <w:color w:val="auto"/>
                <w:szCs w:val="21"/>
              </w:rPr>
            </w:pPr>
            <w:r>
              <w:rPr>
                <w:rFonts w:ascii="Times New Roman" w:hAnsi="Times New Roman"/>
                <w:bCs/>
                <w:color w:val="auto"/>
                <w:szCs w:val="21"/>
              </w:rPr>
              <w:t>年排放量（t/a）</w:t>
            </w:r>
          </w:p>
        </w:tc>
        <w:tc>
          <w:tcPr>
            <w:tcW w:w="1782" w:type="dxa"/>
            <w:tcBorders>
              <w:tl2br w:val="nil"/>
              <w:tr2bl w:val="nil"/>
            </w:tcBorders>
            <w:vAlign w:val="center"/>
          </w:tcPr>
          <w:p>
            <w:pPr>
              <w:widowControl/>
              <w:jc w:val="center"/>
              <w:textAlignment w:val="center"/>
              <w:rPr>
                <w:bCs/>
                <w:color w:val="auto"/>
                <w:szCs w:val="21"/>
              </w:rPr>
            </w:pPr>
            <w:r>
              <w:rPr>
                <w:color w:val="auto"/>
                <w:kern w:val="0"/>
                <w:szCs w:val="21"/>
                <w:lang w:bidi="ar"/>
              </w:rPr>
              <w:t xml:space="preserve">0.3162 </w:t>
            </w:r>
          </w:p>
        </w:tc>
        <w:tc>
          <w:tcPr>
            <w:tcW w:w="1783" w:type="dxa"/>
            <w:tcBorders>
              <w:tl2br w:val="nil"/>
              <w:tr2bl w:val="nil"/>
            </w:tcBorders>
            <w:vAlign w:val="center"/>
          </w:tcPr>
          <w:p>
            <w:pPr>
              <w:widowControl/>
              <w:jc w:val="center"/>
              <w:textAlignment w:val="center"/>
              <w:rPr>
                <w:bCs/>
                <w:color w:val="auto"/>
                <w:szCs w:val="21"/>
              </w:rPr>
            </w:pPr>
            <w:r>
              <w:rPr>
                <w:color w:val="auto"/>
                <w:kern w:val="0"/>
                <w:szCs w:val="21"/>
                <w:lang w:bidi="ar"/>
              </w:rPr>
              <w:t xml:space="preserve">0.0088 </w:t>
            </w:r>
          </w:p>
        </w:tc>
        <w:tc>
          <w:tcPr>
            <w:tcW w:w="1782" w:type="dxa"/>
            <w:tcBorders>
              <w:tl2br w:val="nil"/>
              <w:tr2bl w:val="nil"/>
            </w:tcBorders>
            <w:vAlign w:val="center"/>
          </w:tcPr>
          <w:p>
            <w:pPr>
              <w:widowControl/>
              <w:jc w:val="center"/>
              <w:textAlignment w:val="center"/>
              <w:rPr>
                <w:bCs/>
                <w:color w:val="auto"/>
                <w:szCs w:val="21"/>
              </w:rPr>
            </w:pPr>
            <w:r>
              <w:rPr>
                <w:color w:val="auto"/>
                <w:kern w:val="0"/>
                <w:szCs w:val="21"/>
                <w:lang w:bidi="ar"/>
              </w:rPr>
              <w:t xml:space="preserve">0.0132 </w:t>
            </w:r>
          </w:p>
        </w:tc>
      </w:tr>
    </w:tbl>
    <w:p>
      <w:pPr>
        <w:pStyle w:val="6"/>
        <w:spacing w:line="360" w:lineRule="auto"/>
        <w:ind w:firstLine="1024" w:firstLineChars="427"/>
        <w:rPr>
          <w:color w:val="auto"/>
          <w:kern w:val="2"/>
          <w:sz w:val="24"/>
          <w:szCs w:val="24"/>
        </w:rPr>
      </w:pPr>
      <w:r>
        <w:rPr>
          <w:rFonts w:hint="eastAsia"/>
          <w:color w:val="auto"/>
          <w:kern w:val="2"/>
          <w:sz w:val="24"/>
          <w:szCs w:val="24"/>
        </w:rPr>
        <w:t>综上所述，项目废气收集及治理设备情况如下表。</w:t>
      </w:r>
    </w:p>
    <w:p>
      <w:pPr>
        <w:pStyle w:val="6"/>
        <w:spacing w:line="360" w:lineRule="auto"/>
        <w:ind w:firstLine="480"/>
        <w:jc w:val="center"/>
        <w:rPr>
          <w:b/>
          <w:color w:val="auto"/>
          <w:sz w:val="21"/>
          <w:szCs w:val="16"/>
        </w:rPr>
      </w:pPr>
      <w:r>
        <w:rPr>
          <w:b/>
          <w:color w:val="auto"/>
          <w:sz w:val="21"/>
          <w:szCs w:val="16"/>
        </w:rPr>
        <w:t>表</w:t>
      </w:r>
      <w:r>
        <w:rPr>
          <w:rFonts w:hint="eastAsia"/>
          <w:b/>
          <w:color w:val="auto"/>
          <w:sz w:val="21"/>
          <w:szCs w:val="16"/>
        </w:rPr>
        <w:t>4.5</w:t>
      </w:r>
      <w:r>
        <w:rPr>
          <w:b/>
          <w:color w:val="auto"/>
          <w:sz w:val="21"/>
          <w:szCs w:val="16"/>
        </w:rPr>
        <w:t>-</w:t>
      </w:r>
      <w:r>
        <w:rPr>
          <w:rFonts w:hint="eastAsia"/>
          <w:b/>
          <w:color w:val="auto"/>
          <w:sz w:val="21"/>
          <w:szCs w:val="16"/>
        </w:rPr>
        <w:t xml:space="preserve">13 </w:t>
      </w:r>
      <w:r>
        <w:rPr>
          <w:b/>
          <w:color w:val="auto"/>
          <w:sz w:val="21"/>
          <w:szCs w:val="16"/>
        </w:rPr>
        <w:t xml:space="preserve"> 项目废气</w:t>
      </w:r>
      <w:r>
        <w:rPr>
          <w:rFonts w:hint="eastAsia"/>
          <w:b/>
          <w:color w:val="auto"/>
          <w:sz w:val="21"/>
          <w:szCs w:val="16"/>
        </w:rPr>
        <w:t>收集及</w:t>
      </w:r>
      <w:r>
        <w:rPr>
          <w:b/>
          <w:color w:val="auto"/>
          <w:sz w:val="21"/>
          <w:szCs w:val="16"/>
        </w:rPr>
        <w:t>处理设施设置情况一览表</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439"/>
        <w:gridCol w:w="1357"/>
        <w:gridCol w:w="1023"/>
        <w:gridCol w:w="709"/>
        <w:gridCol w:w="1418"/>
        <w:gridCol w:w="982"/>
        <w:gridCol w:w="666"/>
        <w:gridCol w:w="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535" w:type="dxa"/>
            <w:shd w:val="clear" w:color="auto" w:fill="auto"/>
            <w:vAlign w:val="center"/>
          </w:tcPr>
          <w:p>
            <w:pPr>
              <w:jc w:val="center"/>
              <w:rPr>
                <w:color w:val="auto"/>
                <w:szCs w:val="21"/>
              </w:rPr>
            </w:pPr>
            <w:r>
              <w:rPr>
                <w:color w:val="auto"/>
                <w:szCs w:val="21"/>
              </w:rPr>
              <w:t>编号</w:t>
            </w:r>
          </w:p>
        </w:tc>
        <w:tc>
          <w:tcPr>
            <w:tcW w:w="1439" w:type="dxa"/>
            <w:shd w:val="clear" w:color="auto" w:fill="auto"/>
            <w:vAlign w:val="center"/>
          </w:tcPr>
          <w:p>
            <w:pPr>
              <w:jc w:val="center"/>
              <w:rPr>
                <w:color w:val="auto"/>
                <w:szCs w:val="21"/>
              </w:rPr>
            </w:pPr>
            <w:r>
              <w:rPr>
                <w:color w:val="auto"/>
                <w:szCs w:val="21"/>
              </w:rPr>
              <w:t>污染源/工序</w:t>
            </w:r>
          </w:p>
        </w:tc>
        <w:tc>
          <w:tcPr>
            <w:tcW w:w="1357" w:type="dxa"/>
            <w:shd w:val="clear" w:color="auto" w:fill="auto"/>
            <w:vAlign w:val="center"/>
          </w:tcPr>
          <w:p>
            <w:pPr>
              <w:jc w:val="center"/>
              <w:rPr>
                <w:color w:val="auto"/>
                <w:szCs w:val="21"/>
              </w:rPr>
            </w:pPr>
            <w:r>
              <w:rPr>
                <w:color w:val="auto"/>
                <w:szCs w:val="21"/>
              </w:rPr>
              <w:t>污染因子</w:t>
            </w:r>
          </w:p>
        </w:tc>
        <w:tc>
          <w:tcPr>
            <w:tcW w:w="1023" w:type="dxa"/>
            <w:shd w:val="clear" w:color="auto" w:fill="auto"/>
            <w:vAlign w:val="center"/>
          </w:tcPr>
          <w:p>
            <w:pPr>
              <w:jc w:val="center"/>
              <w:rPr>
                <w:color w:val="auto"/>
                <w:szCs w:val="21"/>
              </w:rPr>
            </w:pPr>
            <w:r>
              <w:rPr>
                <w:color w:val="auto"/>
                <w:szCs w:val="21"/>
              </w:rPr>
              <w:t>收集方式</w:t>
            </w:r>
          </w:p>
        </w:tc>
        <w:tc>
          <w:tcPr>
            <w:tcW w:w="709" w:type="dxa"/>
            <w:shd w:val="clear" w:color="auto" w:fill="auto"/>
            <w:vAlign w:val="center"/>
          </w:tcPr>
          <w:p>
            <w:pPr>
              <w:jc w:val="center"/>
              <w:rPr>
                <w:color w:val="auto"/>
                <w:szCs w:val="21"/>
              </w:rPr>
            </w:pPr>
            <w:r>
              <w:rPr>
                <w:color w:val="auto"/>
                <w:szCs w:val="21"/>
              </w:rPr>
              <w:t>收集</w:t>
            </w:r>
            <w:r>
              <w:rPr>
                <w:rFonts w:hint="eastAsia"/>
                <w:color w:val="auto"/>
                <w:szCs w:val="21"/>
              </w:rPr>
              <w:t>效</w:t>
            </w:r>
            <w:r>
              <w:rPr>
                <w:color w:val="auto"/>
                <w:szCs w:val="21"/>
              </w:rPr>
              <w:t>率</w:t>
            </w:r>
          </w:p>
        </w:tc>
        <w:tc>
          <w:tcPr>
            <w:tcW w:w="1418" w:type="dxa"/>
            <w:shd w:val="clear" w:color="auto" w:fill="auto"/>
            <w:vAlign w:val="center"/>
          </w:tcPr>
          <w:p>
            <w:pPr>
              <w:jc w:val="center"/>
              <w:rPr>
                <w:color w:val="auto"/>
                <w:szCs w:val="21"/>
              </w:rPr>
            </w:pPr>
            <w:r>
              <w:rPr>
                <w:color w:val="auto"/>
                <w:szCs w:val="21"/>
              </w:rPr>
              <w:t>处理系统</w:t>
            </w:r>
          </w:p>
        </w:tc>
        <w:tc>
          <w:tcPr>
            <w:tcW w:w="982" w:type="dxa"/>
            <w:shd w:val="clear" w:color="auto" w:fill="auto"/>
            <w:vAlign w:val="center"/>
          </w:tcPr>
          <w:p>
            <w:pPr>
              <w:jc w:val="center"/>
              <w:rPr>
                <w:color w:val="auto"/>
                <w:szCs w:val="21"/>
              </w:rPr>
            </w:pPr>
            <w:r>
              <w:rPr>
                <w:color w:val="auto"/>
                <w:szCs w:val="21"/>
              </w:rPr>
              <w:t>设计</w:t>
            </w:r>
          </w:p>
          <w:p>
            <w:pPr>
              <w:jc w:val="center"/>
              <w:rPr>
                <w:color w:val="auto"/>
                <w:szCs w:val="21"/>
              </w:rPr>
            </w:pPr>
            <w:r>
              <w:rPr>
                <w:color w:val="auto"/>
                <w:szCs w:val="21"/>
              </w:rPr>
              <w:t>风量（m</w:t>
            </w:r>
            <w:r>
              <w:rPr>
                <w:color w:val="auto"/>
                <w:szCs w:val="21"/>
                <w:vertAlign w:val="superscript"/>
              </w:rPr>
              <w:t>3</w:t>
            </w:r>
            <w:r>
              <w:rPr>
                <w:color w:val="auto"/>
                <w:szCs w:val="21"/>
              </w:rPr>
              <w:t>/h）</w:t>
            </w:r>
          </w:p>
        </w:tc>
        <w:tc>
          <w:tcPr>
            <w:tcW w:w="666" w:type="dxa"/>
            <w:shd w:val="clear" w:color="auto" w:fill="auto"/>
            <w:vAlign w:val="center"/>
          </w:tcPr>
          <w:p>
            <w:pPr>
              <w:jc w:val="center"/>
              <w:rPr>
                <w:color w:val="auto"/>
                <w:szCs w:val="21"/>
              </w:rPr>
            </w:pPr>
            <w:r>
              <w:rPr>
                <w:color w:val="auto"/>
                <w:szCs w:val="21"/>
              </w:rPr>
              <w:t>处理效率</w:t>
            </w:r>
          </w:p>
        </w:tc>
        <w:tc>
          <w:tcPr>
            <w:tcW w:w="819" w:type="dxa"/>
            <w:shd w:val="clear" w:color="auto" w:fill="auto"/>
            <w:vAlign w:val="center"/>
          </w:tcPr>
          <w:p>
            <w:pPr>
              <w:jc w:val="center"/>
              <w:rPr>
                <w:color w:val="auto"/>
                <w:szCs w:val="21"/>
              </w:rPr>
            </w:pPr>
            <w:r>
              <w:rPr>
                <w:color w:val="auto"/>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535" w:type="dxa"/>
            <w:shd w:val="clear" w:color="auto" w:fill="auto"/>
            <w:vAlign w:val="center"/>
          </w:tcPr>
          <w:p>
            <w:pPr>
              <w:jc w:val="center"/>
              <w:rPr>
                <w:color w:val="auto"/>
                <w:szCs w:val="21"/>
              </w:rPr>
            </w:pPr>
            <w:r>
              <w:rPr>
                <w:color w:val="auto"/>
                <w:szCs w:val="21"/>
              </w:rPr>
              <w:t>1</w:t>
            </w:r>
          </w:p>
        </w:tc>
        <w:tc>
          <w:tcPr>
            <w:tcW w:w="1439" w:type="dxa"/>
            <w:shd w:val="clear" w:color="auto" w:fill="auto"/>
            <w:vAlign w:val="center"/>
          </w:tcPr>
          <w:p>
            <w:pPr>
              <w:snapToGrid w:val="0"/>
              <w:jc w:val="center"/>
              <w:rPr>
                <w:color w:val="auto"/>
                <w:szCs w:val="21"/>
              </w:rPr>
            </w:pPr>
            <w:r>
              <w:rPr>
                <w:color w:val="auto"/>
                <w:szCs w:val="21"/>
              </w:rPr>
              <w:t>湿式破碎线</w:t>
            </w:r>
          </w:p>
          <w:p>
            <w:pPr>
              <w:snapToGrid w:val="0"/>
              <w:jc w:val="center"/>
              <w:rPr>
                <w:color w:val="auto"/>
              </w:rPr>
            </w:pPr>
            <w:r>
              <w:rPr>
                <w:color w:val="auto"/>
                <w:szCs w:val="21"/>
              </w:rPr>
              <w:t>一破工序</w:t>
            </w:r>
          </w:p>
        </w:tc>
        <w:tc>
          <w:tcPr>
            <w:tcW w:w="1357" w:type="dxa"/>
            <w:shd w:val="clear" w:color="auto" w:fill="auto"/>
            <w:vAlign w:val="center"/>
          </w:tcPr>
          <w:p>
            <w:pPr>
              <w:jc w:val="center"/>
              <w:rPr>
                <w:color w:val="auto"/>
                <w:szCs w:val="21"/>
              </w:rPr>
            </w:pPr>
            <w:r>
              <w:rPr>
                <w:rFonts w:hint="eastAsia"/>
                <w:color w:val="auto"/>
                <w:szCs w:val="21"/>
              </w:rPr>
              <w:t>颗粒物</w:t>
            </w:r>
          </w:p>
        </w:tc>
        <w:tc>
          <w:tcPr>
            <w:tcW w:w="1023" w:type="dxa"/>
            <w:shd w:val="clear" w:color="auto" w:fill="auto"/>
            <w:vAlign w:val="center"/>
          </w:tcPr>
          <w:p>
            <w:pPr>
              <w:jc w:val="center"/>
              <w:rPr>
                <w:color w:val="auto"/>
                <w:szCs w:val="21"/>
              </w:rPr>
            </w:pPr>
            <w:r>
              <w:rPr>
                <w:color w:val="auto"/>
                <w:szCs w:val="21"/>
              </w:rPr>
              <w:t>集气罩收集</w:t>
            </w:r>
          </w:p>
        </w:tc>
        <w:tc>
          <w:tcPr>
            <w:tcW w:w="709" w:type="dxa"/>
            <w:shd w:val="clear" w:color="auto" w:fill="auto"/>
            <w:vAlign w:val="center"/>
          </w:tcPr>
          <w:p>
            <w:pPr>
              <w:jc w:val="center"/>
              <w:rPr>
                <w:color w:val="auto"/>
                <w:szCs w:val="21"/>
              </w:rPr>
            </w:pPr>
            <w:r>
              <w:rPr>
                <w:color w:val="auto"/>
                <w:szCs w:val="21"/>
              </w:rPr>
              <w:t>90%</w:t>
            </w:r>
          </w:p>
        </w:tc>
        <w:tc>
          <w:tcPr>
            <w:tcW w:w="1418" w:type="dxa"/>
            <w:shd w:val="clear" w:color="auto" w:fill="auto"/>
            <w:vAlign w:val="center"/>
          </w:tcPr>
          <w:p>
            <w:pPr>
              <w:jc w:val="center"/>
              <w:rPr>
                <w:color w:val="auto"/>
                <w:szCs w:val="21"/>
              </w:rPr>
            </w:pPr>
            <w:r>
              <w:rPr>
                <w:color w:val="auto"/>
                <w:szCs w:val="21"/>
              </w:rPr>
              <w:t>旋风布袋除尘</w:t>
            </w:r>
            <w:r>
              <w:rPr>
                <w:rFonts w:hint="eastAsia"/>
                <w:color w:val="auto"/>
                <w:szCs w:val="21"/>
              </w:rPr>
              <w:t>器</w:t>
            </w:r>
          </w:p>
        </w:tc>
        <w:tc>
          <w:tcPr>
            <w:tcW w:w="982" w:type="dxa"/>
            <w:shd w:val="clear" w:color="auto" w:fill="auto"/>
            <w:vAlign w:val="center"/>
          </w:tcPr>
          <w:p>
            <w:pPr>
              <w:jc w:val="center"/>
              <w:rPr>
                <w:color w:val="auto"/>
                <w:szCs w:val="21"/>
              </w:rPr>
            </w:pPr>
            <w:r>
              <w:rPr>
                <w:rFonts w:hint="eastAsia"/>
                <w:color w:val="auto"/>
                <w:szCs w:val="21"/>
              </w:rPr>
              <w:t>15</w:t>
            </w:r>
            <w:r>
              <w:rPr>
                <w:color w:val="auto"/>
                <w:szCs w:val="21"/>
              </w:rPr>
              <w:t>000</w:t>
            </w:r>
          </w:p>
        </w:tc>
        <w:tc>
          <w:tcPr>
            <w:tcW w:w="666" w:type="dxa"/>
            <w:shd w:val="clear" w:color="auto" w:fill="auto"/>
            <w:vAlign w:val="center"/>
          </w:tcPr>
          <w:p>
            <w:pPr>
              <w:jc w:val="center"/>
              <w:rPr>
                <w:color w:val="auto"/>
                <w:szCs w:val="21"/>
              </w:rPr>
            </w:pPr>
            <w:r>
              <w:rPr>
                <w:color w:val="auto"/>
                <w:szCs w:val="21"/>
              </w:rPr>
              <w:t>95%</w:t>
            </w:r>
          </w:p>
        </w:tc>
        <w:tc>
          <w:tcPr>
            <w:tcW w:w="819" w:type="dxa"/>
            <w:shd w:val="clear" w:color="auto" w:fill="auto"/>
            <w:vAlign w:val="center"/>
          </w:tcPr>
          <w:p>
            <w:pPr>
              <w:jc w:val="center"/>
              <w:rPr>
                <w:color w:val="auto"/>
                <w:szCs w:val="21"/>
              </w:rPr>
            </w:pPr>
            <w:r>
              <w:rPr>
                <w:color w:val="auto"/>
                <w:szCs w:val="21"/>
              </w:rPr>
              <w:t>排气筒G2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535" w:type="dxa"/>
            <w:shd w:val="clear" w:color="auto" w:fill="auto"/>
            <w:vAlign w:val="center"/>
          </w:tcPr>
          <w:p>
            <w:pPr>
              <w:jc w:val="center"/>
              <w:rPr>
                <w:color w:val="auto"/>
                <w:szCs w:val="21"/>
              </w:rPr>
            </w:pPr>
            <w:r>
              <w:rPr>
                <w:color w:val="auto"/>
                <w:szCs w:val="21"/>
              </w:rPr>
              <w:t>2</w:t>
            </w:r>
          </w:p>
        </w:tc>
        <w:tc>
          <w:tcPr>
            <w:tcW w:w="1439" w:type="dxa"/>
            <w:shd w:val="clear" w:color="auto" w:fill="auto"/>
            <w:vAlign w:val="center"/>
          </w:tcPr>
          <w:p>
            <w:pPr>
              <w:snapToGrid w:val="0"/>
              <w:jc w:val="center"/>
              <w:rPr>
                <w:color w:val="auto"/>
                <w:szCs w:val="21"/>
              </w:rPr>
            </w:pPr>
            <w:r>
              <w:rPr>
                <w:color w:val="auto"/>
                <w:szCs w:val="21"/>
              </w:rPr>
              <w:t>防水卷材生产线</w:t>
            </w:r>
          </w:p>
          <w:p>
            <w:pPr>
              <w:snapToGrid w:val="0"/>
              <w:jc w:val="center"/>
              <w:rPr>
                <w:color w:val="auto"/>
                <w:szCs w:val="21"/>
              </w:rPr>
            </w:pPr>
            <w:r>
              <w:rPr>
                <w:color w:val="auto"/>
                <w:szCs w:val="21"/>
              </w:rPr>
              <w:t>投料工序</w:t>
            </w:r>
          </w:p>
        </w:tc>
        <w:tc>
          <w:tcPr>
            <w:tcW w:w="1357" w:type="dxa"/>
            <w:shd w:val="clear" w:color="auto" w:fill="auto"/>
            <w:vAlign w:val="center"/>
          </w:tcPr>
          <w:p>
            <w:pPr>
              <w:jc w:val="center"/>
              <w:rPr>
                <w:color w:val="auto"/>
                <w:szCs w:val="21"/>
              </w:rPr>
            </w:pPr>
            <w:r>
              <w:rPr>
                <w:rFonts w:hint="eastAsia"/>
                <w:color w:val="auto"/>
                <w:szCs w:val="21"/>
              </w:rPr>
              <w:t>颗粒物</w:t>
            </w:r>
          </w:p>
        </w:tc>
        <w:tc>
          <w:tcPr>
            <w:tcW w:w="1023" w:type="dxa"/>
            <w:vMerge w:val="restart"/>
            <w:shd w:val="clear" w:color="auto" w:fill="auto"/>
            <w:vAlign w:val="center"/>
          </w:tcPr>
          <w:p>
            <w:pPr>
              <w:jc w:val="center"/>
              <w:rPr>
                <w:color w:val="auto"/>
                <w:szCs w:val="21"/>
              </w:rPr>
            </w:pPr>
            <w:r>
              <w:rPr>
                <w:color w:val="auto"/>
                <w:szCs w:val="21"/>
              </w:rPr>
              <w:t>整室</w:t>
            </w:r>
          </w:p>
          <w:p>
            <w:pPr>
              <w:jc w:val="center"/>
              <w:rPr>
                <w:color w:val="auto"/>
                <w:szCs w:val="21"/>
              </w:rPr>
            </w:pPr>
            <w:r>
              <w:rPr>
                <w:color w:val="auto"/>
                <w:szCs w:val="21"/>
              </w:rPr>
              <w:t>收集</w:t>
            </w:r>
          </w:p>
        </w:tc>
        <w:tc>
          <w:tcPr>
            <w:tcW w:w="709" w:type="dxa"/>
            <w:shd w:val="clear" w:color="auto" w:fill="auto"/>
            <w:vAlign w:val="center"/>
          </w:tcPr>
          <w:p>
            <w:pPr>
              <w:jc w:val="center"/>
              <w:rPr>
                <w:color w:val="auto"/>
                <w:szCs w:val="21"/>
              </w:rPr>
            </w:pPr>
            <w:r>
              <w:rPr>
                <w:color w:val="auto"/>
                <w:szCs w:val="21"/>
              </w:rPr>
              <w:t>95%</w:t>
            </w:r>
          </w:p>
        </w:tc>
        <w:tc>
          <w:tcPr>
            <w:tcW w:w="1418" w:type="dxa"/>
            <w:vMerge w:val="restart"/>
            <w:shd w:val="clear" w:color="auto" w:fill="auto"/>
            <w:vAlign w:val="center"/>
          </w:tcPr>
          <w:p>
            <w:pPr>
              <w:jc w:val="center"/>
              <w:rPr>
                <w:color w:val="auto"/>
                <w:szCs w:val="21"/>
              </w:rPr>
            </w:pPr>
            <w:r>
              <w:rPr>
                <w:color w:val="auto"/>
                <w:szCs w:val="21"/>
              </w:rPr>
              <w:t>旋风除尘+冷凝器+油烟净化器+UV光解+活性炭吸附系统</w:t>
            </w:r>
          </w:p>
        </w:tc>
        <w:tc>
          <w:tcPr>
            <w:tcW w:w="982" w:type="dxa"/>
            <w:vMerge w:val="restart"/>
            <w:shd w:val="clear" w:color="auto" w:fill="auto"/>
            <w:vAlign w:val="center"/>
          </w:tcPr>
          <w:p>
            <w:pPr>
              <w:jc w:val="center"/>
              <w:rPr>
                <w:color w:val="auto"/>
                <w:szCs w:val="21"/>
              </w:rPr>
            </w:pPr>
            <w:r>
              <w:rPr>
                <w:rFonts w:hint="eastAsia"/>
                <w:color w:val="auto"/>
                <w:szCs w:val="21"/>
              </w:rPr>
              <w:t>3</w:t>
            </w:r>
            <w:r>
              <w:rPr>
                <w:color w:val="auto"/>
                <w:szCs w:val="21"/>
              </w:rPr>
              <w:t>0000</w:t>
            </w:r>
          </w:p>
        </w:tc>
        <w:tc>
          <w:tcPr>
            <w:tcW w:w="666" w:type="dxa"/>
            <w:shd w:val="clear" w:color="auto" w:fill="auto"/>
            <w:vAlign w:val="center"/>
          </w:tcPr>
          <w:p>
            <w:pPr>
              <w:jc w:val="center"/>
              <w:rPr>
                <w:color w:val="auto"/>
                <w:szCs w:val="21"/>
              </w:rPr>
            </w:pPr>
            <w:r>
              <w:rPr>
                <w:color w:val="auto"/>
                <w:szCs w:val="21"/>
              </w:rPr>
              <w:t>95%</w:t>
            </w:r>
          </w:p>
        </w:tc>
        <w:tc>
          <w:tcPr>
            <w:tcW w:w="819" w:type="dxa"/>
            <w:vMerge w:val="restart"/>
            <w:shd w:val="clear" w:color="auto" w:fill="auto"/>
            <w:vAlign w:val="center"/>
          </w:tcPr>
          <w:p>
            <w:pPr>
              <w:jc w:val="center"/>
              <w:rPr>
                <w:color w:val="auto"/>
                <w:szCs w:val="21"/>
              </w:rPr>
            </w:pPr>
            <w:r>
              <w:rPr>
                <w:color w:val="auto"/>
                <w:szCs w:val="21"/>
              </w:rPr>
              <w:t>排气筒G1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535" w:type="dxa"/>
            <w:shd w:val="clear" w:color="auto" w:fill="auto"/>
            <w:vAlign w:val="center"/>
          </w:tcPr>
          <w:p>
            <w:pPr>
              <w:jc w:val="center"/>
              <w:rPr>
                <w:color w:val="auto"/>
                <w:szCs w:val="21"/>
              </w:rPr>
            </w:pPr>
            <w:r>
              <w:rPr>
                <w:color w:val="auto"/>
                <w:szCs w:val="21"/>
              </w:rPr>
              <w:t>3</w:t>
            </w:r>
          </w:p>
        </w:tc>
        <w:tc>
          <w:tcPr>
            <w:tcW w:w="1439" w:type="dxa"/>
            <w:shd w:val="clear" w:color="auto" w:fill="auto"/>
            <w:vAlign w:val="center"/>
          </w:tcPr>
          <w:p>
            <w:pPr>
              <w:snapToGrid w:val="0"/>
              <w:jc w:val="center"/>
              <w:rPr>
                <w:color w:val="auto"/>
                <w:szCs w:val="21"/>
              </w:rPr>
            </w:pPr>
            <w:r>
              <w:rPr>
                <w:color w:val="auto"/>
                <w:szCs w:val="21"/>
              </w:rPr>
              <w:t>防水卷材生产线配料、预浸、浸涂、覆膜、冷却工序</w:t>
            </w:r>
          </w:p>
        </w:tc>
        <w:tc>
          <w:tcPr>
            <w:tcW w:w="1357" w:type="dxa"/>
            <w:shd w:val="clear" w:color="auto" w:fill="auto"/>
            <w:vAlign w:val="center"/>
          </w:tcPr>
          <w:p>
            <w:pPr>
              <w:jc w:val="center"/>
              <w:rPr>
                <w:color w:val="auto"/>
                <w:szCs w:val="21"/>
              </w:rPr>
            </w:pPr>
            <w:r>
              <w:rPr>
                <w:color w:val="auto"/>
                <w:szCs w:val="21"/>
              </w:rPr>
              <w:t>苯并[a]芘</w:t>
            </w:r>
            <w:r>
              <w:rPr>
                <w:rFonts w:hint="eastAsia"/>
                <w:color w:val="auto"/>
                <w:szCs w:val="21"/>
              </w:rPr>
              <w:t>、</w:t>
            </w:r>
            <w:r>
              <w:rPr>
                <w:color w:val="auto"/>
                <w:szCs w:val="21"/>
              </w:rPr>
              <w:t>沥青烟、非甲烷总烃</w:t>
            </w:r>
          </w:p>
        </w:tc>
        <w:tc>
          <w:tcPr>
            <w:tcW w:w="1023" w:type="dxa"/>
            <w:vMerge w:val="continue"/>
            <w:shd w:val="clear" w:color="auto" w:fill="auto"/>
            <w:vAlign w:val="center"/>
          </w:tcPr>
          <w:p>
            <w:pPr>
              <w:jc w:val="center"/>
              <w:rPr>
                <w:color w:val="auto"/>
                <w:szCs w:val="21"/>
              </w:rPr>
            </w:pPr>
          </w:p>
        </w:tc>
        <w:tc>
          <w:tcPr>
            <w:tcW w:w="709" w:type="dxa"/>
            <w:shd w:val="clear" w:color="auto" w:fill="auto"/>
            <w:vAlign w:val="center"/>
          </w:tcPr>
          <w:p>
            <w:pPr>
              <w:jc w:val="center"/>
              <w:rPr>
                <w:color w:val="auto"/>
                <w:szCs w:val="21"/>
              </w:rPr>
            </w:pPr>
            <w:r>
              <w:rPr>
                <w:color w:val="auto"/>
                <w:szCs w:val="21"/>
              </w:rPr>
              <w:t>99%</w:t>
            </w:r>
          </w:p>
        </w:tc>
        <w:tc>
          <w:tcPr>
            <w:tcW w:w="1418" w:type="dxa"/>
            <w:vMerge w:val="continue"/>
            <w:shd w:val="clear" w:color="auto" w:fill="auto"/>
            <w:vAlign w:val="center"/>
          </w:tcPr>
          <w:p>
            <w:pPr>
              <w:jc w:val="center"/>
              <w:rPr>
                <w:color w:val="auto"/>
                <w:szCs w:val="21"/>
              </w:rPr>
            </w:pPr>
          </w:p>
        </w:tc>
        <w:tc>
          <w:tcPr>
            <w:tcW w:w="982" w:type="dxa"/>
            <w:vMerge w:val="continue"/>
            <w:shd w:val="clear" w:color="auto" w:fill="auto"/>
            <w:vAlign w:val="center"/>
          </w:tcPr>
          <w:p>
            <w:pPr>
              <w:jc w:val="center"/>
              <w:rPr>
                <w:color w:val="auto"/>
                <w:szCs w:val="21"/>
              </w:rPr>
            </w:pPr>
          </w:p>
        </w:tc>
        <w:tc>
          <w:tcPr>
            <w:tcW w:w="666" w:type="dxa"/>
            <w:shd w:val="clear" w:color="auto" w:fill="auto"/>
            <w:vAlign w:val="center"/>
          </w:tcPr>
          <w:p>
            <w:pPr>
              <w:jc w:val="center"/>
              <w:rPr>
                <w:color w:val="auto"/>
                <w:szCs w:val="21"/>
              </w:rPr>
            </w:pPr>
            <w:r>
              <w:rPr>
                <w:rFonts w:hint="eastAsia"/>
                <w:color w:val="auto"/>
                <w:szCs w:val="21"/>
              </w:rPr>
              <w:t>90</w:t>
            </w:r>
            <w:r>
              <w:rPr>
                <w:color w:val="auto"/>
                <w:szCs w:val="21"/>
              </w:rPr>
              <w:t>%</w:t>
            </w:r>
          </w:p>
        </w:tc>
        <w:tc>
          <w:tcPr>
            <w:tcW w:w="819" w:type="dxa"/>
            <w:vMerge w:val="continue"/>
            <w:shd w:val="clear" w:color="auto" w:fill="auto"/>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535" w:type="dxa"/>
            <w:shd w:val="clear" w:color="auto" w:fill="auto"/>
            <w:vAlign w:val="center"/>
          </w:tcPr>
          <w:p>
            <w:pPr>
              <w:jc w:val="center"/>
              <w:rPr>
                <w:color w:val="auto"/>
                <w:szCs w:val="21"/>
              </w:rPr>
            </w:pPr>
            <w:r>
              <w:rPr>
                <w:color w:val="auto"/>
                <w:szCs w:val="21"/>
              </w:rPr>
              <w:t>4</w:t>
            </w:r>
          </w:p>
        </w:tc>
        <w:tc>
          <w:tcPr>
            <w:tcW w:w="1439" w:type="dxa"/>
            <w:shd w:val="clear" w:color="auto" w:fill="auto"/>
            <w:vAlign w:val="center"/>
          </w:tcPr>
          <w:p>
            <w:pPr>
              <w:snapToGrid w:val="0"/>
              <w:jc w:val="center"/>
              <w:rPr>
                <w:color w:val="auto"/>
                <w:szCs w:val="21"/>
              </w:rPr>
            </w:pPr>
            <w:r>
              <w:rPr>
                <w:color w:val="auto"/>
                <w:szCs w:val="21"/>
              </w:rPr>
              <w:t>防水卷材生产线</w:t>
            </w:r>
          </w:p>
          <w:p>
            <w:pPr>
              <w:snapToGrid w:val="0"/>
              <w:jc w:val="center"/>
              <w:rPr>
                <w:rFonts w:hint="eastAsia" w:eastAsia="宋体"/>
                <w:color w:val="auto"/>
                <w:szCs w:val="21"/>
                <w:lang w:eastAsia="zh-CN"/>
              </w:rPr>
            </w:pPr>
            <w:r>
              <w:rPr>
                <w:rFonts w:hint="eastAsia"/>
                <w:color w:val="auto"/>
                <w:szCs w:val="21"/>
                <w:lang w:eastAsia="zh-CN"/>
              </w:rPr>
              <w:t>导热油炉</w:t>
            </w:r>
          </w:p>
        </w:tc>
        <w:tc>
          <w:tcPr>
            <w:tcW w:w="1357" w:type="dxa"/>
            <w:shd w:val="clear" w:color="auto" w:fill="auto"/>
            <w:vAlign w:val="center"/>
          </w:tcPr>
          <w:p>
            <w:pPr>
              <w:jc w:val="center"/>
              <w:rPr>
                <w:color w:val="auto"/>
                <w:szCs w:val="21"/>
              </w:rPr>
            </w:pPr>
            <w:r>
              <w:rPr>
                <w:color w:val="auto"/>
                <w:szCs w:val="21"/>
              </w:rPr>
              <w:t>颗粒物、SO</w:t>
            </w:r>
            <w:r>
              <w:rPr>
                <w:color w:val="auto"/>
                <w:szCs w:val="21"/>
                <w:vertAlign w:val="subscript"/>
              </w:rPr>
              <w:t>2</w:t>
            </w:r>
            <w:r>
              <w:rPr>
                <w:color w:val="auto"/>
                <w:szCs w:val="21"/>
              </w:rPr>
              <w:t>、NO</w:t>
            </w:r>
            <w:r>
              <w:rPr>
                <w:color w:val="auto"/>
                <w:szCs w:val="21"/>
                <w:vertAlign w:val="subscript"/>
              </w:rPr>
              <w:t>2</w:t>
            </w:r>
          </w:p>
        </w:tc>
        <w:tc>
          <w:tcPr>
            <w:tcW w:w="1023" w:type="dxa"/>
            <w:shd w:val="clear" w:color="auto" w:fill="auto"/>
            <w:vAlign w:val="center"/>
          </w:tcPr>
          <w:p>
            <w:pPr>
              <w:jc w:val="center"/>
              <w:rPr>
                <w:color w:val="auto"/>
                <w:szCs w:val="21"/>
              </w:rPr>
            </w:pPr>
            <w:r>
              <w:rPr>
                <w:color w:val="auto"/>
                <w:szCs w:val="21"/>
              </w:rPr>
              <w:t>管道</w:t>
            </w:r>
          </w:p>
          <w:p>
            <w:pPr>
              <w:jc w:val="center"/>
              <w:rPr>
                <w:color w:val="auto"/>
                <w:szCs w:val="21"/>
              </w:rPr>
            </w:pPr>
            <w:r>
              <w:rPr>
                <w:color w:val="auto"/>
                <w:szCs w:val="21"/>
              </w:rPr>
              <w:t>收集</w:t>
            </w:r>
          </w:p>
        </w:tc>
        <w:tc>
          <w:tcPr>
            <w:tcW w:w="709" w:type="dxa"/>
            <w:shd w:val="clear" w:color="auto" w:fill="auto"/>
            <w:vAlign w:val="center"/>
          </w:tcPr>
          <w:p>
            <w:pPr>
              <w:jc w:val="center"/>
              <w:rPr>
                <w:color w:val="auto"/>
                <w:szCs w:val="21"/>
              </w:rPr>
            </w:pPr>
            <w:r>
              <w:rPr>
                <w:color w:val="auto"/>
                <w:szCs w:val="21"/>
              </w:rPr>
              <w:t>100%</w:t>
            </w:r>
          </w:p>
        </w:tc>
        <w:tc>
          <w:tcPr>
            <w:tcW w:w="1418" w:type="dxa"/>
            <w:shd w:val="clear" w:color="auto" w:fill="auto"/>
            <w:vAlign w:val="center"/>
          </w:tcPr>
          <w:p>
            <w:pPr>
              <w:jc w:val="center"/>
              <w:rPr>
                <w:color w:val="auto"/>
                <w:szCs w:val="21"/>
              </w:rPr>
            </w:pPr>
            <w:r>
              <w:rPr>
                <w:color w:val="auto"/>
                <w:szCs w:val="21"/>
              </w:rPr>
              <w:t>/</w:t>
            </w:r>
          </w:p>
        </w:tc>
        <w:tc>
          <w:tcPr>
            <w:tcW w:w="982" w:type="dxa"/>
            <w:shd w:val="clear" w:color="auto" w:fill="auto"/>
            <w:vAlign w:val="center"/>
          </w:tcPr>
          <w:p>
            <w:pPr>
              <w:jc w:val="center"/>
              <w:rPr>
                <w:color w:val="auto"/>
                <w:szCs w:val="21"/>
              </w:rPr>
            </w:pPr>
            <w:r>
              <w:rPr>
                <w:color w:val="auto"/>
                <w:szCs w:val="21"/>
              </w:rPr>
              <w:t>1033</w:t>
            </w:r>
          </w:p>
        </w:tc>
        <w:tc>
          <w:tcPr>
            <w:tcW w:w="666" w:type="dxa"/>
            <w:shd w:val="clear" w:color="auto" w:fill="auto"/>
            <w:vAlign w:val="center"/>
          </w:tcPr>
          <w:p>
            <w:pPr>
              <w:jc w:val="center"/>
              <w:rPr>
                <w:color w:val="auto"/>
                <w:szCs w:val="21"/>
              </w:rPr>
            </w:pPr>
            <w:r>
              <w:rPr>
                <w:rFonts w:hint="eastAsia"/>
                <w:color w:val="auto"/>
                <w:szCs w:val="21"/>
              </w:rPr>
              <w:t>/</w:t>
            </w:r>
          </w:p>
        </w:tc>
        <w:tc>
          <w:tcPr>
            <w:tcW w:w="819" w:type="dxa"/>
            <w:shd w:val="clear" w:color="auto" w:fill="auto"/>
            <w:vAlign w:val="center"/>
          </w:tcPr>
          <w:p>
            <w:pPr>
              <w:jc w:val="center"/>
              <w:rPr>
                <w:color w:val="auto"/>
                <w:szCs w:val="21"/>
              </w:rPr>
            </w:pPr>
            <w:r>
              <w:rPr>
                <w:color w:val="auto"/>
                <w:szCs w:val="21"/>
              </w:rPr>
              <w:t>排气筒G3</w:t>
            </w:r>
          </w:p>
        </w:tc>
      </w:tr>
    </w:tbl>
    <w:p>
      <w:pPr>
        <w:pStyle w:val="6"/>
        <w:spacing w:line="360" w:lineRule="auto"/>
        <w:ind w:firstLine="1024" w:firstLineChars="427"/>
        <w:rPr>
          <w:color w:val="auto"/>
          <w:kern w:val="2"/>
          <w:sz w:val="24"/>
          <w:szCs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rFonts w:hint="eastAsia"/>
          <w:color w:val="auto"/>
          <w:kern w:val="2"/>
          <w:sz w:val="24"/>
          <w:szCs w:val="24"/>
        </w:rPr>
        <w:t>项目的废气产排情况见下表。</w:t>
      </w:r>
    </w:p>
    <w:p>
      <w:pPr>
        <w:adjustRightInd w:val="0"/>
        <w:snapToGrid w:val="0"/>
        <w:spacing w:before="159" w:beforeLines="50"/>
        <w:jc w:val="center"/>
        <w:rPr>
          <w:b/>
          <w:color w:val="auto"/>
          <w:kern w:val="0"/>
          <w:sz w:val="24"/>
        </w:rPr>
      </w:pPr>
      <w:r>
        <w:rPr>
          <w:b/>
          <w:color w:val="auto"/>
          <w:szCs w:val="21"/>
        </w:rPr>
        <w:t>表</w:t>
      </w:r>
      <w:r>
        <w:rPr>
          <w:rFonts w:hint="eastAsia"/>
          <w:b/>
          <w:color w:val="auto"/>
          <w:szCs w:val="21"/>
        </w:rPr>
        <w:t>4.5-14</w:t>
      </w:r>
      <w:r>
        <w:rPr>
          <w:b/>
          <w:color w:val="auto"/>
          <w:szCs w:val="21"/>
        </w:rPr>
        <w:t xml:space="preserve"> </w:t>
      </w:r>
      <w:r>
        <w:rPr>
          <w:b/>
          <w:color w:val="auto"/>
          <w:kern w:val="0"/>
          <w:szCs w:val="21"/>
        </w:rPr>
        <w:t xml:space="preserve"> </w:t>
      </w:r>
      <w:r>
        <w:rPr>
          <w:rFonts w:hint="eastAsia"/>
          <w:b/>
          <w:color w:val="auto"/>
          <w:kern w:val="0"/>
          <w:szCs w:val="21"/>
        </w:rPr>
        <w:t>项目各污染源</w:t>
      </w:r>
      <w:r>
        <w:rPr>
          <w:b/>
          <w:color w:val="auto"/>
          <w:kern w:val="0"/>
          <w:szCs w:val="21"/>
        </w:rPr>
        <w:t>废气</w:t>
      </w:r>
      <w:r>
        <w:rPr>
          <w:rFonts w:hint="eastAsia"/>
          <w:b/>
          <w:color w:val="auto"/>
          <w:kern w:val="0"/>
          <w:szCs w:val="21"/>
        </w:rPr>
        <w:t>产排情况</w:t>
      </w:r>
      <w:r>
        <w:rPr>
          <w:b/>
          <w:color w:val="auto"/>
          <w:kern w:val="0"/>
          <w:szCs w:val="21"/>
        </w:rPr>
        <w:t>一览表</w:t>
      </w:r>
    </w:p>
    <w:tbl>
      <w:tblPr>
        <w:tblStyle w:val="23"/>
        <w:tblpPr w:leftFromText="180" w:rightFromText="180" w:vertAnchor="text" w:horzAnchor="margin" w:tblpXSpec="center" w:tblpY="191"/>
        <w:tblW w:w="14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1309"/>
        <w:gridCol w:w="883"/>
        <w:gridCol w:w="1298"/>
        <w:gridCol w:w="1069"/>
        <w:gridCol w:w="1059"/>
        <w:gridCol w:w="1029"/>
        <w:gridCol w:w="1458"/>
        <w:gridCol w:w="698"/>
        <w:gridCol w:w="1124"/>
        <w:gridCol w:w="1025"/>
        <w:gridCol w:w="1005"/>
        <w:gridCol w:w="777"/>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1" w:type="dxa"/>
            <w:vMerge w:val="restart"/>
            <w:vAlign w:val="center"/>
          </w:tcPr>
          <w:p>
            <w:pPr>
              <w:adjustRightInd w:val="0"/>
              <w:snapToGrid w:val="0"/>
              <w:jc w:val="center"/>
              <w:rPr>
                <w:color w:val="auto"/>
                <w:szCs w:val="21"/>
              </w:rPr>
            </w:pPr>
            <w:r>
              <w:rPr>
                <w:color w:val="auto"/>
                <w:szCs w:val="21"/>
              </w:rPr>
              <w:t>污染源</w:t>
            </w:r>
          </w:p>
        </w:tc>
        <w:tc>
          <w:tcPr>
            <w:tcW w:w="1309" w:type="dxa"/>
            <w:vMerge w:val="restart"/>
            <w:vAlign w:val="center"/>
          </w:tcPr>
          <w:p>
            <w:pPr>
              <w:adjustRightInd w:val="0"/>
              <w:snapToGrid w:val="0"/>
              <w:jc w:val="center"/>
              <w:rPr>
                <w:color w:val="auto"/>
                <w:szCs w:val="21"/>
              </w:rPr>
            </w:pPr>
            <w:r>
              <w:rPr>
                <w:color w:val="auto"/>
                <w:szCs w:val="21"/>
              </w:rPr>
              <w:t>排气筒参数</w:t>
            </w:r>
          </w:p>
        </w:tc>
        <w:tc>
          <w:tcPr>
            <w:tcW w:w="883" w:type="dxa"/>
            <w:vMerge w:val="restart"/>
            <w:vAlign w:val="center"/>
          </w:tcPr>
          <w:p>
            <w:pPr>
              <w:adjustRightInd w:val="0"/>
              <w:snapToGrid w:val="0"/>
              <w:jc w:val="center"/>
              <w:rPr>
                <w:color w:val="auto"/>
                <w:szCs w:val="21"/>
              </w:rPr>
            </w:pPr>
            <w:r>
              <w:rPr>
                <w:color w:val="auto"/>
                <w:szCs w:val="21"/>
              </w:rPr>
              <w:t>排气量</w:t>
            </w:r>
          </w:p>
          <w:p>
            <w:pPr>
              <w:adjustRightInd w:val="0"/>
              <w:snapToGrid w:val="0"/>
              <w:jc w:val="center"/>
              <w:rPr>
                <w:color w:val="auto"/>
                <w:szCs w:val="21"/>
              </w:rPr>
            </w:pPr>
            <w:r>
              <w:rPr>
                <w:rFonts w:hint="eastAsia"/>
                <w:color w:val="auto"/>
                <w:szCs w:val="21"/>
              </w:rPr>
              <w:t>(</w:t>
            </w:r>
            <w:r>
              <w:rPr>
                <w:color w:val="auto"/>
                <w:szCs w:val="21"/>
                <w:lang w:val="pt-BR"/>
              </w:rPr>
              <w:t>m</w:t>
            </w:r>
            <w:r>
              <w:rPr>
                <w:color w:val="auto"/>
                <w:szCs w:val="21"/>
                <w:vertAlign w:val="superscript"/>
                <w:lang w:val="pt-BR"/>
              </w:rPr>
              <w:t>3</w:t>
            </w:r>
            <w:r>
              <w:rPr>
                <w:color w:val="auto"/>
                <w:szCs w:val="21"/>
                <w:lang w:val="pt-BR"/>
              </w:rPr>
              <w:t>/h</w:t>
            </w:r>
            <w:r>
              <w:rPr>
                <w:rFonts w:hint="eastAsia"/>
                <w:color w:val="auto"/>
                <w:szCs w:val="21"/>
              </w:rPr>
              <w:t>)</w:t>
            </w:r>
          </w:p>
        </w:tc>
        <w:tc>
          <w:tcPr>
            <w:tcW w:w="1298" w:type="dxa"/>
            <w:vMerge w:val="restart"/>
            <w:vAlign w:val="center"/>
          </w:tcPr>
          <w:p>
            <w:pPr>
              <w:adjustRightInd w:val="0"/>
              <w:snapToGrid w:val="0"/>
              <w:jc w:val="center"/>
              <w:rPr>
                <w:color w:val="auto"/>
                <w:szCs w:val="21"/>
              </w:rPr>
            </w:pPr>
            <w:r>
              <w:rPr>
                <w:color w:val="auto"/>
                <w:szCs w:val="21"/>
              </w:rPr>
              <w:t>主要污染物</w:t>
            </w:r>
          </w:p>
        </w:tc>
        <w:tc>
          <w:tcPr>
            <w:tcW w:w="1069" w:type="dxa"/>
            <w:vMerge w:val="restart"/>
            <w:vAlign w:val="center"/>
          </w:tcPr>
          <w:p>
            <w:pPr>
              <w:adjustRightInd w:val="0"/>
              <w:snapToGrid w:val="0"/>
              <w:jc w:val="center"/>
              <w:rPr>
                <w:color w:val="auto"/>
                <w:szCs w:val="21"/>
              </w:rPr>
            </w:pPr>
            <w:r>
              <w:rPr>
                <w:color w:val="auto"/>
                <w:szCs w:val="21"/>
              </w:rPr>
              <w:t>产生浓度</w:t>
            </w:r>
            <w:r>
              <w:rPr>
                <w:rFonts w:hint="eastAsia"/>
                <w:color w:val="auto"/>
                <w:szCs w:val="21"/>
              </w:rPr>
              <w:t>(</w:t>
            </w:r>
            <w:r>
              <w:rPr>
                <w:color w:val="auto"/>
                <w:szCs w:val="21"/>
              </w:rPr>
              <w:t>mg/m</w:t>
            </w:r>
            <w:r>
              <w:rPr>
                <w:color w:val="auto"/>
                <w:szCs w:val="21"/>
                <w:vertAlign w:val="superscript"/>
              </w:rPr>
              <w:t>3</w:t>
            </w:r>
            <w:r>
              <w:rPr>
                <w:rFonts w:hint="eastAsia"/>
                <w:color w:val="auto"/>
                <w:szCs w:val="21"/>
              </w:rPr>
              <w:t>)</w:t>
            </w:r>
          </w:p>
        </w:tc>
        <w:tc>
          <w:tcPr>
            <w:tcW w:w="1059" w:type="dxa"/>
            <w:vMerge w:val="restart"/>
            <w:vAlign w:val="center"/>
          </w:tcPr>
          <w:p>
            <w:pPr>
              <w:adjustRightInd w:val="0"/>
              <w:snapToGrid w:val="0"/>
              <w:jc w:val="center"/>
              <w:rPr>
                <w:color w:val="auto"/>
                <w:szCs w:val="21"/>
              </w:rPr>
            </w:pPr>
            <w:r>
              <w:rPr>
                <w:color w:val="auto"/>
                <w:szCs w:val="21"/>
              </w:rPr>
              <w:t>产生</w:t>
            </w:r>
          </w:p>
          <w:p>
            <w:pPr>
              <w:adjustRightInd w:val="0"/>
              <w:snapToGrid w:val="0"/>
              <w:jc w:val="center"/>
              <w:rPr>
                <w:color w:val="auto"/>
                <w:szCs w:val="21"/>
              </w:rPr>
            </w:pPr>
            <w:r>
              <w:rPr>
                <w:color w:val="auto"/>
                <w:szCs w:val="21"/>
              </w:rPr>
              <w:t>速率</w:t>
            </w:r>
            <w:r>
              <w:rPr>
                <w:rFonts w:hint="eastAsia"/>
                <w:color w:val="auto"/>
                <w:szCs w:val="21"/>
              </w:rPr>
              <w:t>(</w:t>
            </w:r>
            <w:r>
              <w:rPr>
                <w:color w:val="auto"/>
                <w:szCs w:val="21"/>
              </w:rPr>
              <w:t>kg/h</w:t>
            </w:r>
            <w:r>
              <w:rPr>
                <w:rFonts w:hint="eastAsia"/>
                <w:color w:val="auto"/>
                <w:szCs w:val="21"/>
              </w:rPr>
              <w:t>)</w:t>
            </w:r>
          </w:p>
        </w:tc>
        <w:tc>
          <w:tcPr>
            <w:tcW w:w="1029" w:type="dxa"/>
            <w:vMerge w:val="restart"/>
            <w:vAlign w:val="center"/>
          </w:tcPr>
          <w:p>
            <w:pPr>
              <w:adjustRightInd w:val="0"/>
              <w:snapToGrid w:val="0"/>
              <w:jc w:val="center"/>
              <w:rPr>
                <w:color w:val="auto"/>
                <w:szCs w:val="21"/>
              </w:rPr>
            </w:pPr>
            <w:r>
              <w:rPr>
                <w:color w:val="auto"/>
                <w:szCs w:val="21"/>
              </w:rPr>
              <w:t>产生量（t/a）</w:t>
            </w:r>
          </w:p>
        </w:tc>
        <w:tc>
          <w:tcPr>
            <w:tcW w:w="2156" w:type="dxa"/>
            <w:gridSpan w:val="2"/>
            <w:vAlign w:val="center"/>
          </w:tcPr>
          <w:p>
            <w:pPr>
              <w:adjustRightInd w:val="0"/>
              <w:snapToGrid w:val="0"/>
              <w:jc w:val="center"/>
              <w:rPr>
                <w:color w:val="auto"/>
                <w:szCs w:val="21"/>
              </w:rPr>
            </w:pPr>
            <w:r>
              <w:rPr>
                <w:color w:val="auto"/>
                <w:szCs w:val="21"/>
              </w:rPr>
              <w:t>治理措施及处理效率</w:t>
            </w:r>
          </w:p>
        </w:tc>
        <w:tc>
          <w:tcPr>
            <w:tcW w:w="1124" w:type="dxa"/>
            <w:vMerge w:val="restart"/>
            <w:vAlign w:val="center"/>
          </w:tcPr>
          <w:p>
            <w:pPr>
              <w:adjustRightInd w:val="0"/>
              <w:snapToGrid w:val="0"/>
              <w:jc w:val="center"/>
              <w:rPr>
                <w:color w:val="auto"/>
                <w:szCs w:val="21"/>
              </w:rPr>
            </w:pPr>
            <w:r>
              <w:rPr>
                <w:color w:val="auto"/>
                <w:szCs w:val="21"/>
              </w:rPr>
              <w:t>排放</w:t>
            </w:r>
          </w:p>
          <w:p>
            <w:pPr>
              <w:adjustRightInd w:val="0"/>
              <w:snapToGrid w:val="0"/>
              <w:jc w:val="center"/>
              <w:rPr>
                <w:color w:val="auto"/>
                <w:szCs w:val="21"/>
              </w:rPr>
            </w:pPr>
            <w:r>
              <w:rPr>
                <w:color w:val="auto"/>
                <w:szCs w:val="21"/>
              </w:rPr>
              <w:t>浓度</w:t>
            </w:r>
            <w:r>
              <w:rPr>
                <w:rFonts w:hint="eastAsia"/>
                <w:color w:val="auto"/>
                <w:szCs w:val="21"/>
              </w:rPr>
              <w:t>(</w:t>
            </w:r>
            <w:r>
              <w:rPr>
                <w:color w:val="auto"/>
                <w:szCs w:val="21"/>
              </w:rPr>
              <w:t>mg/m</w:t>
            </w:r>
            <w:r>
              <w:rPr>
                <w:color w:val="auto"/>
                <w:szCs w:val="21"/>
                <w:vertAlign w:val="superscript"/>
              </w:rPr>
              <w:t>3</w:t>
            </w:r>
            <w:r>
              <w:rPr>
                <w:rFonts w:hint="eastAsia"/>
                <w:color w:val="auto"/>
                <w:szCs w:val="21"/>
              </w:rPr>
              <w:t>)</w:t>
            </w:r>
          </w:p>
        </w:tc>
        <w:tc>
          <w:tcPr>
            <w:tcW w:w="1025" w:type="dxa"/>
            <w:vMerge w:val="restart"/>
            <w:vAlign w:val="center"/>
          </w:tcPr>
          <w:p>
            <w:pPr>
              <w:adjustRightInd w:val="0"/>
              <w:snapToGrid w:val="0"/>
              <w:jc w:val="center"/>
              <w:rPr>
                <w:color w:val="auto"/>
                <w:szCs w:val="21"/>
              </w:rPr>
            </w:pPr>
            <w:r>
              <w:rPr>
                <w:color w:val="auto"/>
                <w:szCs w:val="21"/>
              </w:rPr>
              <w:t>排放</w:t>
            </w:r>
          </w:p>
          <w:p>
            <w:pPr>
              <w:adjustRightInd w:val="0"/>
              <w:snapToGrid w:val="0"/>
              <w:jc w:val="center"/>
              <w:rPr>
                <w:color w:val="auto"/>
                <w:szCs w:val="21"/>
              </w:rPr>
            </w:pPr>
            <w:r>
              <w:rPr>
                <w:color w:val="auto"/>
                <w:szCs w:val="21"/>
              </w:rPr>
              <w:t>速率</w:t>
            </w:r>
            <w:r>
              <w:rPr>
                <w:rFonts w:hint="eastAsia"/>
                <w:color w:val="auto"/>
                <w:szCs w:val="21"/>
              </w:rPr>
              <w:t>(</w:t>
            </w:r>
            <w:r>
              <w:rPr>
                <w:color w:val="auto"/>
                <w:szCs w:val="21"/>
              </w:rPr>
              <w:t>kg/h</w:t>
            </w:r>
            <w:r>
              <w:rPr>
                <w:rFonts w:hint="eastAsia"/>
                <w:color w:val="auto"/>
                <w:szCs w:val="21"/>
              </w:rPr>
              <w:t>)</w:t>
            </w:r>
          </w:p>
        </w:tc>
        <w:tc>
          <w:tcPr>
            <w:tcW w:w="1005" w:type="dxa"/>
            <w:vMerge w:val="restart"/>
            <w:vAlign w:val="center"/>
          </w:tcPr>
          <w:p>
            <w:pPr>
              <w:adjustRightInd w:val="0"/>
              <w:snapToGrid w:val="0"/>
              <w:jc w:val="center"/>
              <w:rPr>
                <w:color w:val="auto"/>
                <w:szCs w:val="21"/>
              </w:rPr>
            </w:pPr>
            <w:r>
              <w:rPr>
                <w:color w:val="auto"/>
                <w:szCs w:val="21"/>
              </w:rPr>
              <w:t>排放量</w:t>
            </w:r>
            <w:r>
              <w:rPr>
                <w:rFonts w:hint="eastAsia"/>
                <w:color w:val="auto"/>
                <w:szCs w:val="21"/>
              </w:rPr>
              <w:t>(</w:t>
            </w:r>
            <w:r>
              <w:rPr>
                <w:color w:val="auto"/>
                <w:szCs w:val="21"/>
              </w:rPr>
              <w:t>t/a</w:t>
            </w:r>
            <w:r>
              <w:rPr>
                <w:rFonts w:hint="eastAsia"/>
                <w:color w:val="auto"/>
                <w:szCs w:val="21"/>
              </w:rPr>
              <w:t>)</w:t>
            </w:r>
          </w:p>
        </w:tc>
        <w:tc>
          <w:tcPr>
            <w:tcW w:w="1842" w:type="dxa"/>
            <w:gridSpan w:val="2"/>
            <w:vAlign w:val="center"/>
          </w:tcPr>
          <w:p>
            <w:pPr>
              <w:adjustRightInd w:val="0"/>
              <w:snapToGrid w:val="0"/>
              <w:jc w:val="center"/>
              <w:rPr>
                <w:color w:val="auto"/>
                <w:szCs w:val="21"/>
              </w:rPr>
            </w:pPr>
            <w:r>
              <w:rPr>
                <w:color w:val="auto"/>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1" w:type="dxa"/>
            <w:vMerge w:val="continue"/>
            <w:vAlign w:val="center"/>
          </w:tcPr>
          <w:p>
            <w:pPr>
              <w:adjustRightInd w:val="0"/>
              <w:snapToGrid w:val="0"/>
              <w:jc w:val="center"/>
              <w:rPr>
                <w:color w:val="auto"/>
                <w:szCs w:val="21"/>
              </w:rPr>
            </w:pPr>
          </w:p>
        </w:tc>
        <w:tc>
          <w:tcPr>
            <w:tcW w:w="1309" w:type="dxa"/>
            <w:vMerge w:val="continue"/>
            <w:vAlign w:val="center"/>
          </w:tcPr>
          <w:p>
            <w:pPr>
              <w:adjustRightInd w:val="0"/>
              <w:snapToGrid w:val="0"/>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Merge w:val="continue"/>
            <w:vAlign w:val="center"/>
          </w:tcPr>
          <w:p>
            <w:pPr>
              <w:adjustRightInd w:val="0"/>
              <w:snapToGrid w:val="0"/>
              <w:jc w:val="center"/>
              <w:rPr>
                <w:color w:val="auto"/>
                <w:szCs w:val="21"/>
              </w:rPr>
            </w:pPr>
          </w:p>
        </w:tc>
        <w:tc>
          <w:tcPr>
            <w:tcW w:w="1069" w:type="dxa"/>
            <w:vMerge w:val="continue"/>
            <w:vAlign w:val="center"/>
          </w:tcPr>
          <w:p>
            <w:pPr>
              <w:adjustRightInd w:val="0"/>
              <w:snapToGrid w:val="0"/>
              <w:jc w:val="center"/>
              <w:rPr>
                <w:color w:val="auto"/>
                <w:szCs w:val="21"/>
              </w:rPr>
            </w:pPr>
          </w:p>
        </w:tc>
        <w:tc>
          <w:tcPr>
            <w:tcW w:w="1059" w:type="dxa"/>
            <w:vMerge w:val="continue"/>
            <w:vAlign w:val="center"/>
          </w:tcPr>
          <w:p>
            <w:pPr>
              <w:adjustRightInd w:val="0"/>
              <w:snapToGrid w:val="0"/>
              <w:jc w:val="center"/>
              <w:rPr>
                <w:color w:val="auto"/>
                <w:szCs w:val="21"/>
              </w:rPr>
            </w:pPr>
          </w:p>
        </w:tc>
        <w:tc>
          <w:tcPr>
            <w:tcW w:w="1029" w:type="dxa"/>
            <w:vMerge w:val="continue"/>
            <w:vAlign w:val="center"/>
          </w:tcPr>
          <w:p>
            <w:pPr>
              <w:adjustRightInd w:val="0"/>
              <w:snapToGrid w:val="0"/>
              <w:jc w:val="center"/>
              <w:rPr>
                <w:color w:val="auto"/>
                <w:szCs w:val="21"/>
              </w:rPr>
            </w:pPr>
          </w:p>
        </w:tc>
        <w:tc>
          <w:tcPr>
            <w:tcW w:w="1458" w:type="dxa"/>
            <w:vAlign w:val="center"/>
          </w:tcPr>
          <w:p>
            <w:pPr>
              <w:adjustRightInd w:val="0"/>
              <w:snapToGrid w:val="0"/>
              <w:jc w:val="center"/>
              <w:rPr>
                <w:color w:val="auto"/>
                <w:szCs w:val="21"/>
              </w:rPr>
            </w:pPr>
            <w:r>
              <w:rPr>
                <w:color w:val="auto"/>
                <w:szCs w:val="21"/>
              </w:rPr>
              <w:t>治理措施</w:t>
            </w:r>
          </w:p>
        </w:tc>
        <w:tc>
          <w:tcPr>
            <w:tcW w:w="698" w:type="dxa"/>
            <w:vAlign w:val="center"/>
          </w:tcPr>
          <w:p>
            <w:pPr>
              <w:adjustRightInd w:val="0"/>
              <w:snapToGrid w:val="0"/>
              <w:jc w:val="center"/>
              <w:rPr>
                <w:color w:val="auto"/>
                <w:szCs w:val="21"/>
              </w:rPr>
            </w:pPr>
            <w:r>
              <w:rPr>
                <w:color w:val="auto"/>
                <w:szCs w:val="21"/>
              </w:rPr>
              <w:t>效率</w:t>
            </w:r>
            <w:r>
              <w:rPr>
                <w:rFonts w:hint="eastAsia"/>
                <w:color w:val="auto"/>
                <w:szCs w:val="21"/>
              </w:rPr>
              <w:t>(</w:t>
            </w:r>
            <w:r>
              <w:rPr>
                <w:color w:val="auto"/>
                <w:szCs w:val="21"/>
              </w:rPr>
              <w:t>%</w:t>
            </w:r>
            <w:r>
              <w:rPr>
                <w:rFonts w:hint="eastAsia"/>
                <w:color w:val="auto"/>
                <w:szCs w:val="21"/>
              </w:rPr>
              <w:t>)</w:t>
            </w:r>
          </w:p>
        </w:tc>
        <w:tc>
          <w:tcPr>
            <w:tcW w:w="1124" w:type="dxa"/>
            <w:vMerge w:val="continue"/>
            <w:vAlign w:val="center"/>
          </w:tcPr>
          <w:p>
            <w:pPr>
              <w:adjustRightInd w:val="0"/>
              <w:snapToGrid w:val="0"/>
              <w:jc w:val="center"/>
              <w:rPr>
                <w:color w:val="auto"/>
                <w:szCs w:val="21"/>
              </w:rPr>
            </w:pPr>
          </w:p>
        </w:tc>
        <w:tc>
          <w:tcPr>
            <w:tcW w:w="1025" w:type="dxa"/>
            <w:vMerge w:val="continue"/>
            <w:vAlign w:val="center"/>
          </w:tcPr>
          <w:p>
            <w:pPr>
              <w:adjustRightInd w:val="0"/>
              <w:snapToGrid w:val="0"/>
              <w:jc w:val="center"/>
              <w:rPr>
                <w:color w:val="auto"/>
                <w:szCs w:val="21"/>
              </w:rPr>
            </w:pPr>
          </w:p>
        </w:tc>
        <w:tc>
          <w:tcPr>
            <w:tcW w:w="1005" w:type="dxa"/>
            <w:vMerge w:val="continue"/>
            <w:vAlign w:val="center"/>
          </w:tcPr>
          <w:p>
            <w:pPr>
              <w:adjustRightInd w:val="0"/>
              <w:snapToGrid w:val="0"/>
              <w:jc w:val="center"/>
              <w:rPr>
                <w:color w:val="auto"/>
                <w:szCs w:val="21"/>
              </w:rPr>
            </w:pPr>
          </w:p>
        </w:tc>
        <w:tc>
          <w:tcPr>
            <w:tcW w:w="777" w:type="dxa"/>
            <w:vAlign w:val="center"/>
          </w:tcPr>
          <w:p>
            <w:pPr>
              <w:widowControl/>
              <w:jc w:val="center"/>
              <w:rPr>
                <w:color w:val="auto"/>
                <w:kern w:val="0"/>
                <w:szCs w:val="21"/>
              </w:rPr>
            </w:pPr>
            <w:r>
              <w:rPr>
                <w:color w:val="auto"/>
                <w:kern w:val="0"/>
                <w:szCs w:val="21"/>
              </w:rPr>
              <w:t>速率</w:t>
            </w:r>
            <w:r>
              <w:rPr>
                <w:rFonts w:hint="eastAsia"/>
                <w:color w:val="auto"/>
                <w:kern w:val="0"/>
                <w:szCs w:val="21"/>
              </w:rPr>
              <w:t>(</w:t>
            </w:r>
            <w:r>
              <w:rPr>
                <w:color w:val="auto"/>
                <w:kern w:val="0"/>
                <w:szCs w:val="21"/>
              </w:rPr>
              <w:t>kg/h</w:t>
            </w:r>
            <w:r>
              <w:rPr>
                <w:rFonts w:hint="eastAsia"/>
                <w:color w:val="auto"/>
                <w:kern w:val="0"/>
                <w:szCs w:val="21"/>
              </w:rPr>
              <w:t>)</w:t>
            </w:r>
          </w:p>
        </w:tc>
        <w:tc>
          <w:tcPr>
            <w:tcW w:w="1065" w:type="dxa"/>
            <w:vAlign w:val="center"/>
          </w:tcPr>
          <w:p>
            <w:pPr>
              <w:widowControl/>
              <w:jc w:val="center"/>
              <w:rPr>
                <w:color w:val="auto"/>
                <w:kern w:val="0"/>
                <w:szCs w:val="21"/>
              </w:rPr>
            </w:pPr>
            <w:r>
              <w:rPr>
                <w:color w:val="auto"/>
                <w:kern w:val="0"/>
                <w:szCs w:val="21"/>
              </w:rPr>
              <w:t>浓度</w:t>
            </w:r>
            <w:r>
              <w:rPr>
                <w:rFonts w:hint="eastAsia"/>
                <w:color w:val="auto"/>
                <w:kern w:val="0"/>
                <w:szCs w:val="21"/>
              </w:rPr>
              <w:t>(</w:t>
            </w:r>
            <w:r>
              <w:rPr>
                <w:color w:val="auto"/>
                <w:kern w:val="0"/>
                <w:szCs w:val="21"/>
              </w:rPr>
              <w:t>mg/m</w:t>
            </w:r>
            <w:r>
              <w:rPr>
                <w:color w:val="auto"/>
                <w:kern w:val="0"/>
                <w:szCs w:val="21"/>
                <w:vertAlign w:val="superscript"/>
              </w:rPr>
              <w:t>3</w:t>
            </w: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restart"/>
            <w:vAlign w:val="center"/>
          </w:tcPr>
          <w:p>
            <w:pPr>
              <w:snapToGrid w:val="0"/>
              <w:jc w:val="center"/>
              <w:rPr>
                <w:color w:val="auto"/>
                <w:szCs w:val="21"/>
              </w:rPr>
            </w:pPr>
            <w:r>
              <w:rPr>
                <w:color w:val="auto"/>
                <w:szCs w:val="21"/>
              </w:rPr>
              <w:t>卷材生产线</w:t>
            </w:r>
          </w:p>
        </w:tc>
        <w:tc>
          <w:tcPr>
            <w:tcW w:w="1309" w:type="dxa"/>
            <w:vMerge w:val="restart"/>
            <w:vAlign w:val="center"/>
          </w:tcPr>
          <w:p>
            <w:pPr>
              <w:widowControl/>
              <w:jc w:val="center"/>
              <w:rPr>
                <w:color w:val="auto"/>
                <w:szCs w:val="21"/>
              </w:rPr>
            </w:pPr>
            <w:r>
              <w:rPr>
                <w:color w:val="auto"/>
                <w:szCs w:val="21"/>
              </w:rPr>
              <w:t>排气筒G1（高15m；内径0.8m；</w:t>
            </w:r>
            <w:r>
              <w:rPr>
                <w:rFonts w:hint="eastAsia"/>
                <w:color w:val="auto"/>
                <w:szCs w:val="21"/>
                <w:lang w:val="en-US" w:eastAsia="zh-CN"/>
              </w:rPr>
              <w:t>23.6</w:t>
            </w:r>
            <w:r>
              <w:rPr>
                <w:color w:val="auto"/>
                <w:szCs w:val="21"/>
              </w:rPr>
              <w:t>℃）</w:t>
            </w:r>
          </w:p>
        </w:tc>
        <w:tc>
          <w:tcPr>
            <w:tcW w:w="883" w:type="dxa"/>
            <w:vMerge w:val="restart"/>
            <w:vAlign w:val="center"/>
          </w:tcPr>
          <w:p>
            <w:pPr>
              <w:adjustRightInd w:val="0"/>
              <w:snapToGrid w:val="0"/>
              <w:jc w:val="center"/>
              <w:rPr>
                <w:color w:val="auto"/>
                <w:szCs w:val="21"/>
              </w:rPr>
            </w:pPr>
            <w:r>
              <w:rPr>
                <w:color w:val="auto"/>
                <w:szCs w:val="21"/>
              </w:rPr>
              <w:t>30000</w:t>
            </w:r>
          </w:p>
        </w:tc>
        <w:tc>
          <w:tcPr>
            <w:tcW w:w="1298" w:type="dxa"/>
            <w:vAlign w:val="center"/>
          </w:tcPr>
          <w:p>
            <w:pPr>
              <w:jc w:val="center"/>
              <w:rPr>
                <w:color w:val="auto"/>
                <w:szCs w:val="21"/>
              </w:rPr>
            </w:pPr>
            <w:r>
              <w:rPr>
                <w:color w:val="auto"/>
                <w:szCs w:val="21"/>
              </w:rPr>
              <w:t>颗粒物</w:t>
            </w:r>
          </w:p>
        </w:tc>
        <w:tc>
          <w:tcPr>
            <w:tcW w:w="1069" w:type="dxa"/>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19.8732</w:t>
            </w:r>
          </w:p>
        </w:tc>
        <w:tc>
          <w:tcPr>
            <w:tcW w:w="1059" w:type="dxa"/>
            <w:vAlign w:val="center"/>
          </w:tcPr>
          <w:p>
            <w:pPr>
              <w:jc w:val="center"/>
              <w:rPr>
                <w:rFonts w:hint="eastAsia" w:eastAsia="宋体"/>
                <w:color w:val="auto"/>
                <w:szCs w:val="21"/>
                <w:lang w:val="en-US" w:eastAsia="zh-CN"/>
              </w:rPr>
            </w:pPr>
            <w:r>
              <w:rPr>
                <w:rFonts w:hint="eastAsia"/>
                <w:color w:val="auto"/>
                <w:szCs w:val="21"/>
                <w:lang w:val="en-US" w:eastAsia="zh-CN"/>
              </w:rPr>
              <w:t>0.5962</w:t>
            </w:r>
          </w:p>
        </w:tc>
        <w:tc>
          <w:tcPr>
            <w:tcW w:w="1029" w:type="dxa"/>
            <w:vAlign w:val="center"/>
          </w:tcPr>
          <w:p>
            <w:pPr>
              <w:jc w:val="center"/>
              <w:rPr>
                <w:color w:val="auto"/>
                <w:szCs w:val="21"/>
              </w:rPr>
            </w:pPr>
            <w:r>
              <w:rPr>
                <w:rFonts w:hint="eastAsia"/>
                <w:color w:val="auto"/>
                <w:szCs w:val="21"/>
              </w:rPr>
              <w:t>4.</w:t>
            </w:r>
            <w:r>
              <w:rPr>
                <w:rFonts w:hint="eastAsia"/>
                <w:color w:val="auto"/>
                <w:szCs w:val="21"/>
                <w:lang w:val="en-US" w:eastAsia="zh-CN"/>
              </w:rPr>
              <w:t>7219</w:t>
            </w:r>
          </w:p>
        </w:tc>
        <w:tc>
          <w:tcPr>
            <w:tcW w:w="1458" w:type="dxa"/>
            <w:vMerge w:val="restart"/>
            <w:vAlign w:val="center"/>
          </w:tcPr>
          <w:p>
            <w:pPr>
              <w:jc w:val="center"/>
              <w:rPr>
                <w:color w:val="auto"/>
                <w:szCs w:val="21"/>
              </w:rPr>
            </w:pPr>
            <w:r>
              <w:rPr>
                <w:color w:val="auto"/>
                <w:szCs w:val="21"/>
              </w:rPr>
              <w:t>旋风除尘+冷凝器+油烟净化器+UV光解+活性炭吸附</w:t>
            </w:r>
          </w:p>
        </w:tc>
        <w:tc>
          <w:tcPr>
            <w:tcW w:w="698" w:type="dxa"/>
            <w:vAlign w:val="center"/>
          </w:tcPr>
          <w:p>
            <w:pPr>
              <w:jc w:val="center"/>
              <w:rPr>
                <w:color w:val="auto"/>
                <w:szCs w:val="21"/>
              </w:rPr>
            </w:pPr>
            <w:r>
              <w:rPr>
                <w:color w:val="auto"/>
                <w:szCs w:val="21"/>
              </w:rPr>
              <w:t>95</w:t>
            </w:r>
          </w:p>
        </w:tc>
        <w:tc>
          <w:tcPr>
            <w:tcW w:w="1124" w:type="dxa"/>
            <w:vAlign w:val="center"/>
          </w:tcPr>
          <w:p>
            <w:pPr>
              <w:jc w:val="center"/>
              <w:rPr>
                <w:rFonts w:hint="eastAsia" w:eastAsia="宋体"/>
                <w:color w:val="auto"/>
                <w:szCs w:val="21"/>
                <w:lang w:val="en-US" w:eastAsia="zh-CN"/>
              </w:rPr>
            </w:pPr>
            <w:r>
              <w:rPr>
                <w:rFonts w:hint="eastAsia"/>
                <w:color w:val="auto"/>
                <w:szCs w:val="21"/>
                <w:lang w:val="en-US" w:eastAsia="zh-CN"/>
              </w:rPr>
              <w:t>0.9937</w:t>
            </w:r>
          </w:p>
        </w:tc>
        <w:tc>
          <w:tcPr>
            <w:tcW w:w="1025" w:type="dxa"/>
            <w:vAlign w:val="center"/>
          </w:tcPr>
          <w:p>
            <w:pPr>
              <w:jc w:val="center"/>
              <w:rPr>
                <w:rFonts w:hint="eastAsia" w:eastAsia="宋体"/>
                <w:color w:val="auto"/>
                <w:szCs w:val="21"/>
                <w:lang w:val="en-US" w:eastAsia="zh-CN"/>
              </w:rPr>
            </w:pPr>
            <w:r>
              <w:rPr>
                <w:rFonts w:hint="eastAsia"/>
                <w:color w:val="auto"/>
                <w:szCs w:val="21"/>
                <w:lang w:val="en-US" w:eastAsia="zh-CN"/>
              </w:rPr>
              <w:t>0.0298</w:t>
            </w:r>
          </w:p>
        </w:tc>
        <w:tc>
          <w:tcPr>
            <w:tcW w:w="1005" w:type="dxa"/>
            <w:vAlign w:val="center"/>
          </w:tcPr>
          <w:p>
            <w:pPr>
              <w:jc w:val="center"/>
              <w:rPr>
                <w:rFonts w:hint="eastAsia" w:eastAsia="宋体"/>
                <w:color w:val="auto"/>
                <w:szCs w:val="21"/>
                <w:lang w:eastAsia="zh-CN"/>
              </w:rPr>
            </w:pPr>
            <w:r>
              <w:rPr>
                <w:rFonts w:hint="eastAsia"/>
                <w:color w:val="auto"/>
                <w:szCs w:val="21"/>
                <w:lang w:val="en-US" w:eastAsia="zh-CN"/>
              </w:rPr>
              <w:t>0.2361</w:t>
            </w:r>
          </w:p>
        </w:tc>
        <w:tc>
          <w:tcPr>
            <w:tcW w:w="777" w:type="dxa"/>
            <w:vAlign w:val="center"/>
          </w:tcPr>
          <w:p>
            <w:pPr>
              <w:snapToGrid w:val="0"/>
              <w:jc w:val="center"/>
              <w:rPr>
                <w:rFonts w:hint="eastAsia" w:eastAsia="宋体"/>
                <w:color w:val="auto"/>
                <w:szCs w:val="21"/>
                <w:lang w:eastAsia="zh-CN"/>
              </w:rPr>
            </w:pPr>
            <w:r>
              <w:rPr>
                <w:rFonts w:hint="eastAsia"/>
                <w:color w:val="auto"/>
                <w:szCs w:val="21"/>
                <w:lang w:val="en-US" w:eastAsia="zh-CN"/>
              </w:rPr>
              <w:t>1.45</w:t>
            </w:r>
          </w:p>
        </w:tc>
        <w:tc>
          <w:tcPr>
            <w:tcW w:w="1065" w:type="dxa"/>
            <w:vAlign w:val="center"/>
          </w:tcPr>
          <w:p>
            <w:pPr>
              <w:snapToGrid w:val="0"/>
              <w:jc w:val="center"/>
              <w:rPr>
                <w:color w:val="auto"/>
                <w:szCs w:val="21"/>
              </w:rPr>
            </w:pPr>
            <w:r>
              <w:rPr>
                <w:color w:val="auto"/>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color w:val="auto"/>
                <w:szCs w:val="21"/>
              </w:rPr>
              <w:t>苯并[a]芘</w:t>
            </w:r>
          </w:p>
        </w:tc>
        <w:tc>
          <w:tcPr>
            <w:tcW w:w="1069" w:type="dxa"/>
            <w:vAlign w:val="center"/>
          </w:tcPr>
          <w:p>
            <w:pPr>
              <w:jc w:val="center"/>
              <w:rPr>
                <w:color w:val="auto"/>
                <w:kern w:val="0"/>
                <w:szCs w:val="21"/>
              </w:rPr>
            </w:pPr>
            <w:r>
              <w:rPr>
                <w:rFonts w:hint="eastAsia"/>
                <w:color w:val="auto"/>
                <w:kern w:val="0"/>
                <w:szCs w:val="21"/>
              </w:rPr>
              <w:t>0.00167</w:t>
            </w:r>
          </w:p>
        </w:tc>
        <w:tc>
          <w:tcPr>
            <w:tcW w:w="1059" w:type="dxa"/>
            <w:vAlign w:val="center"/>
          </w:tcPr>
          <w:p>
            <w:pPr>
              <w:jc w:val="center"/>
              <w:rPr>
                <w:color w:val="auto"/>
                <w:szCs w:val="21"/>
              </w:rPr>
            </w:pPr>
            <w:r>
              <w:rPr>
                <w:rFonts w:hint="eastAsia"/>
                <w:color w:val="auto"/>
                <w:szCs w:val="21"/>
              </w:rPr>
              <w:t>0.0001</w:t>
            </w:r>
          </w:p>
        </w:tc>
        <w:tc>
          <w:tcPr>
            <w:tcW w:w="1029" w:type="dxa"/>
            <w:vAlign w:val="center"/>
          </w:tcPr>
          <w:p>
            <w:pPr>
              <w:jc w:val="center"/>
              <w:rPr>
                <w:color w:val="auto"/>
                <w:szCs w:val="21"/>
              </w:rPr>
            </w:pPr>
            <w:r>
              <w:rPr>
                <w:rFonts w:hint="eastAsia"/>
                <w:color w:val="auto"/>
                <w:szCs w:val="21"/>
              </w:rPr>
              <w:t>0.000396</w:t>
            </w:r>
          </w:p>
        </w:tc>
        <w:tc>
          <w:tcPr>
            <w:tcW w:w="1458" w:type="dxa"/>
            <w:vMerge w:val="continue"/>
            <w:vAlign w:val="center"/>
          </w:tcPr>
          <w:p>
            <w:pPr>
              <w:jc w:val="center"/>
              <w:rPr>
                <w:color w:val="auto"/>
                <w:szCs w:val="21"/>
              </w:rPr>
            </w:pPr>
          </w:p>
        </w:tc>
        <w:tc>
          <w:tcPr>
            <w:tcW w:w="698" w:type="dxa"/>
            <w:vAlign w:val="center"/>
          </w:tcPr>
          <w:p>
            <w:pPr>
              <w:jc w:val="center"/>
              <w:rPr>
                <w:color w:val="auto"/>
                <w:szCs w:val="21"/>
              </w:rPr>
            </w:pPr>
            <w:r>
              <w:rPr>
                <w:rFonts w:hint="eastAsia"/>
                <w:color w:val="auto"/>
                <w:szCs w:val="21"/>
              </w:rPr>
              <w:t>90</w:t>
            </w:r>
          </w:p>
        </w:tc>
        <w:tc>
          <w:tcPr>
            <w:tcW w:w="1124" w:type="dxa"/>
            <w:vAlign w:val="center"/>
          </w:tcPr>
          <w:p>
            <w:pPr>
              <w:widowControl/>
              <w:jc w:val="center"/>
              <w:textAlignment w:val="center"/>
              <w:rPr>
                <w:color w:val="auto"/>
                <w:kern w:val="0"/>
                <w:szCs w:val="21"/>
                <w:lang w:bidi="ar"/>
              </w:rPr>
            </w:pPr>
            <w:r>
              <w:rPr>
                <w:rFonts w:hint="eastAsia"/>
                <w:color w:val="auto"/>
                <w:kern w:val="0"/>
                <w:szCs w:val="21"/>
                <w:lang w:bidi="ar"/>
              </w:rPr>
              <w:t>0.000167</w:t>
            </w:r>
          </w:p>
        </w:tc>
        <w:tc>
          <w:tcPr>
            <w:tcW w:w="1025" w:type="dxa"/>
            <w:vAlign w:val="center"/>
          </w:tcPr>
          <w:p>
            <w:pPr>
              <w:widowControl/>
              <w:jc w:val="center"/>
              <w:textAlignment w:val="center"/>
              <w:rPr>
                <w:color w:val="auto"/>
                <w:kern w:val="0"/>
                <w:szCs w:val="21"/>
                <w:lang w:bidi="ar"/>
              </w:rPr>
            </w:pPr>
            <w:r>
              <w:rPr>
                <w:rFonts w:hint="eastAsia"/>
                <w:color w:val="auto"/>
                <w:kern w:val="0"/>
                <w:szCs w:val="21"/>
                <w:lang w:bidi="ar"/>
              </w:rPr>
              <w:t>0.000005</w:t>
            </w:r>
          </w:p>
        </w:tc>
        <w:tc>
          <w:tcPr>
            <w:tcW w:w="1005" w:type="dxa"/>
            <w:vAlign w:val="center"/>
          </w:tcPr>
          <w:p>
            <w:pPr>
              <w:jc w:val="center"/>
              <w:rPr>
                <w:color w:val="auto"/>
                <w:szCs w:val="21"/>
              </w:rPr>
            </w:pPr>
            <w:r>
              <w:rPr>
                <w:rFonts w:hint="eastAsia"/>
                <w:color w:val="auto"/>
                <w:szCs w:val="21"/>
              </w:rPr>
              <w:t>0.000040</w:t>
            </w:r>
          </w:p>
        </w:tc>
        <w:tc>
          <w:tcPr>
            <w:tcW w:w="777" w:type="dxa"/>
            <w:vAlign w:val="center"/>
          </w:tcPr>
          <w:p>
            <w:pPr>
              <w:snapToGrid w:val="0"/>
              <w:jc w:val="center"/>
              <w:rPr>
                <w:color w:val="auto"/>
                <w:szCs w:val="21"/>
              </w:rPr>
            </w:pPr>
            <w:r>
              <w:rPr>
                <w:color w:val="auto"/>
                <w:szCs w:val="21"/>
              </w:rPr>
              <w:t>0.000</w:t>
            </w:r>
            <w:r>
              <w:rPr>
                <w:rFonts w:hint="eastAsia"/>
                <w:color w:val="auto"/>
                <w:szCs w:val="21"/>
                <w:lang w:val="en-US" w:eastAsia="zh-CN"/>
              </w:rPr>
              <w:t>02</w:t>
            </w:r>
          </w:p>
        </w:tc>
        <w:tc>
          <w:tcPr>
            <w:tcW w:w="1065" w:type="dxa"/>
            <w:vAlign w:val="center"/>
          </w:tcPr>
          <w:p>
            <w:pPr>
              <w:snapToGrid w:val="0"/>
              <w:jc w:val="center"/>
              <w:rPr>
                <w:color w:val="auto"/>
                <w:szCs w:val="21"/>
              </w:rPr>
            </w:pPr>
            <w:r>
              <w:rPr>
                <w:color w:val="auto"/>
                <w:szCs w:val="21"/>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color w:val="auto"/>
                <w:szCs w:val="21"/>
              </w:rPr>
              <w:t>沥青烟</w:t>
            </w:r>
          </w:p>
        </w:tc>
        <w:tc>
          <w:tcPr>
            <w:tcW w:w="1069" w:type="dxa"/>
            <w:vAlign w:val="center"/>
          </w:tcPr>
          <w:p>
            <w:pPr>
              <w:jc w:val="center"/>
              <w:rPr>
                <w:color w:val="auto"/>
                <w:kern w:val="0"/>
                <w:szCs w:val="21"/>
              </w:rPr>
            </w:pPr>
            <w:r>
              <w:rPr>
                <w:rFonts w:hint="eastAsia"/>
                <w:color w:val="auto"/>
                <w:kern w:val="0"/>
                <w:szCs w:val="21"/>
              </w:rPr>
              <w:t>9.375</w:t>
            </w:r>
          </w:p>
        </w:tc>
        <w:tc>
          <w:tcPr>
            <w:tcW w:w="1059" w:type="dxa"/>
            <w:vAlign w:val="center"/>
          </w:tcPr>
          <w:p>
            <w:pPr>
              <w:jc w:val="center"/>
              <w:rPr>
                <w:color w:val="auto"/>
                <w:szCs w:val="21"/>
              </w:rPr>
            </w:pPr>
            <w:r>
              <w:rPr>
                <w:rFonts w:hint="eastAsia"/>
                <w:color w:val="auto"/>
                <w:szCs w:val="21"/>
              </w:rPr>
              <w:t>0.2813</w:t>
            </w:r>
          </w:p>
        </w:tc>
        <w:tc>
          <w:tcPr>
            <w:tcW w:w="1029" w:type="dxa"/>
            <w:vAlign w:val="center"/>
          </w:tcPr>
          <w:p>
            <w:pPr>
              <w:jc w:val="center"/>
              <w:rPr>
                <w:color w:val="auto"/>
                <w:szCs w:val="21"/>
              </w:rPr>
            </w:pPr>
            <w:r>
              <w:rPr>
                <w:rFonts w:hint="eastAsia"/>
                <w:color w:val="auto"/>
                <w:szCs w:val="21"/>
              </w:rPr>
              <w:t>2.2275</w:t>
            </w:r>
          </w:p>
        </w:tc>
        <w:tc>
          <w:tcPr>
            <w:tcW w:w="1458" w:type="dxa"/>
            <w:vMerge w:val="continue"/>
            <w:vAlign w:val="center"/>
          </w:tcPr>
          <w:p>
            <w:pPr>
              <w:jc w:val="center"/>
              <w:rPr>
                <w:color w:val="auto"/>
                <w:szCs w:val="21"/>
              </w:rPr>
            </w:pPr>
          </w:p>
        </w:tc>
        <w:tc>
          <w:tcPr>
            <w:tcW w:w="698" w:type="dxa"/>
            <w:vAlign w:val="center"/>
          </w:tcPr>
          <w:p>
            <w:pPr>
              <w:jc w:val="center"/>
              <w:rPr>
                <w:color w:val="auto"/>
                <w:szCs w:val="21"/>
              </w:rPr>
            </w:pPr>
            <w:r>
              <w:rPr>
                <w:rFonts w:hint="eastAsia"/>
                <w:color w:val="auto"/>
                <w:szCs w:val="21"/>
              </w:rPr>
              <w:t>90</w:t>
            </w:r>
          </w:p>
        </w:tc>
        <w:tc>
          <w:tcPr>
            <w:tcW w:w="1124" w:type="dxa"/>
            <w:vAlign w:val="center"/>
          </w:tcPr>
          <w:p>
            <w:pPr>
              <w:widowControl/>
              <w:jc w:val="center"/>
              <w:textAlignment w:val="center"/>
              <w:rPr>
                <w:color w:val="auto"/>
                <w:kern w:val="0"/>
                <w:szCs w:val="21"/>
              </w:rPr>
            </w:pPr>
            <w:r>
              <w:rPr>
                <w:rFonts w:hint="eastAsia"/>
                <w:color w:val="auto"/>
                <w:kern w:val="0"/>
                <w:szCs w:val="21"/>
              </w:rPr>
              <w:t>0.9375</w:t>
            </w:r>
          </w:p>
        </w:tc>
        <w:tc>
          <w:tcPr>
            <w:tcW w:w="1025" w:type="dxa"/>
            <w:vAlign w:val="center"/>
          </w:tcPr>
          <w:p>
            <w:pPr>
              <w:widowControl/>
              <w:jc w:val="center"/>
              <w:textAlignment w:val="center"/>
              <w:rPr>
                <w:color w:val="auto"/>
                <w:szCs w:val="21"/>
              </w:rPr>
            </w:pPr>
            <w:r>
              <w:rPr>
                <w:rFonts w:hint="eastAsia"/>
                <w:color w:val="auto"/>
                <w:szCs w:val="21"/>
              </w:rPr>
              <w:t>0.0281</w:t>
            </w:r>
          </w:p>
        </w:tc>
        <w:tc>
          <w:tcPr>
            <w:tcW w:w="1005" w:type="dxa"/>
            <w:vAlign w:val="center"/>
          </w:tcPr>
          <w:p>
            <w:pPr>
              <w:jc w:val="center"/>
              <w:rPr>
                <w:color w:val="auto"/>
                <w:szCs w:val="21"/>
              </w:rPr>
            </w:pPr>
            <w:r>
              <w:rPr>
                <w:rFonts w:hint="eastAsia"/>
                <w:color w:val="auto"/>
                <w:szCs w:val="21"/>
              </w:rPr>
              <w:t>0.2228</w:t>
            </w:r>
          </w:p>
        </w:tc>
        <w:tc>
          <w:tcPr>
            <w:tcW w:w="777" w:type="dxa"/>
            <w:vAlign w:val="center"/>
          </w:tcPr>
          <w:p>
            <w:pPr>
              <w:snapToGrid w:val="0"/>
              <w:jc w:val="center"/>
              <w:rPr>
                <w:color w:val="auto"/>
                <w:szCs w:val="21"/>
              </w:rPr>
            </w:pPr>
            <w:r>
              <w:rPr>
                <w:color w:val="auto"/>
                <w:szCs w:val="21"/>
              </w:rPr>
              <w:t>0.</w:t>
            </w:r>
            <w:r>
              <w:rPr>
                <w:rFonts w:hint="eastAsia"/>
                <w:color w:val="auto"/>
                <w:szCs w:val="21"/>
                <w:lang w:val="en-US" w:eastAsia="zh-CN"/>
              </w:rPr>
              <w:t>075</w:t>
            </w:r>
          </w:p>
        </w:tc>
        <w:tc>
          <w:tcPr>
            <w:tcW w:w="1065" w:type="dxa"/>
            <w:vAlign w:val="center"/>
          </w:tcPr>
          <w:p>
            <w:pPr>
              <w:snapToGrid w:val="0"/>
              <w:jc w:val="center"/>
              <w:rPr>
                <w:color w:val="auto"/>
                <w:szCs w:val="21"/>
              </w:rPr>
            </w:pPr>
            <w:r>
              <w:rPr>
                <w:color w:val="auto"/>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color w:val="auto"/>
                <w:szCs w:val="21"/>
              </w:rPr>
              <w:t>非甲烷总烃</w:t>
            </w:r>
          </w:p>
        </w:tc>
        <w:tc>
          <w:tcPr>
            <w:tcW w:w="1069" w:type="dxa"/>
            <w:vAlign w:val="center"/>
          </w:tcPr>
          <w:p>
            <w:pPr>
              <w:widowControl/>
              <w:jc w:val="center"/>
              <w:rPr>
                <w:color w:val="auto"/>
                <w:kern w:val="0"/>
                <w:szCs w:val="21"/>
              </w:rPr>
            </w:pPr>
            <w:r>
              <w:rPr>
                <w:rFonts w:hint="eastAsia"/>
                <w:color w:val="auto"/>
                <w:kern w:val="0"/>
                <w:szCs w:val="21"/>
              </w:rPr>
              <w:t>0.04167</w:t>
            </w:r>
          </w:p>
        </w:tc>
        <w:tc>
          <w:tcPr>
            <w:tcW w:w="1059" w:type="dxa"/>
            <w:vAlign w:val="center"/>
          </w:tcPr>
          <w:p>
            <w:pPr>
              <w:jc w:val="center"/>
              <w:rPr>
                <w:color w:val="auto"/>
                <w:szCs w:val="21"/>
              </w:rPr>
            </w:pPr>
            <w:r>
              <w:rPr>
                <w:rFonts w:hint="eastAsia"/>
                <w:color w:val="auto"/>
                <w:szCs w:val="21"/>
              </w:rPr>
              <w:t>0.0013</w:t>
            </w:r>
          </w:p>
        </w:tc>
        <w:tc>
          <w:tcPr>
            <w:tcW w:w="1029" w:type="dxa"/>
            <w:vAlign w:val="center"/>
          </w:tcPr>
          <w:p>
            <w:pPr>
              <w:jc w:val="center"/>
              <w:rPr>
                <w:color w:val="auto"/>
                <w:szCs w:val="21"/>
              </w:rPr>
            </w:pPr>
            <w:r>
              <w:rPr>
                <w:rFonts w:hint="eastAsia"/>
                <w:color w:val="auto"/>
                <w:szCs w:val="21"/>
              </w:rPr>
              <w:t>0.0099</w:t>
            </w:r>
          </w:p>
        </w:tc>
        <w:tc>
          <w:tcPr>
            <w:tcW w:w="1458" w:type="dxa"/>
            <w:vMerge w:val="continue"/>
            <w:vAlign w:val="center"/>
          </w:tcPr>
          <w:p>
            <w:pPr>
              <w:jc w:val="center"/>
              <w:rPr>
                <w:color w:val="auto"/>
                <w:szCs w:val="21"/>
              </w:rPr>
            </w:pPr>
          </w:p>
        </w:tc>
        <w:tc>
          <w:tcPr>
            <w:tcW w:w="698" w:type="dxa"/>
            <w:vAlign w:val="center"/>
          </w:tcPr>
          <w:p>
            <w:pPr>
              <w:jc w:val="center"/>
              <w:rPr>
                <w:color w:val="auto"/>
                <w:szCs w:val="21"/>
              </w:rPr>
            </w:pPr>
            <w:r>
              <w:rPr>
                <w:rFonts w:hint="eastAsia"/>
                <w:color w:val="auto"/>
                <w:szCs w:val="21"/>
              </w:rPr>
              <w:t>90</w:t>
            </w:r>
          </w:p>
        </w:tc>
        <w:tc>
          <w:tcPr>
            <w:tcW w:w="1124" w:type="dxa"/>
            <w:vAlign w:val="center"/>
          </w:tcPr>
          <w:p>
            <w:pPr>
              <w:jc w:val="center"/>
              <w:rPr>
                <w:color w:val="auto"/>
                <w:szCs w:val="21"/>
              </w:rPr>
            </w:pPr>
            <w:r>
              <w:rPr>
                <w:rFonts w:hint="eastAsia"/>
                <w:color w:val="auto"/>
                <w:szCs w:val="21"/>
              </w:rPr>
              <w:t>0.0042</w:t>
            </w:r>
          </w:p>
        </w:tc>
        <w:tc>
          <w:tcPr>
            <w:tcW w:w="1025" w:type="dxa"/>
            <w:vAlign w:val="center"/>
          </w:tcPr>
          <w:p>
            <w:pPr>
              <w:jc w:val="center"/>
              <w:rPr>
                <w:color w:val="auto"/>
                <w:szCs w:val="21"/>
              </w:rPr>
            </w:pPr>
            <w:r>
              <w:rPr>
                <w:rFonts w:hint="eastAsia"/>
                <w:color w:val="auto"/>
                <w:szCs w:val="21"/>
              </w:rPr>
              <w:t>0.0001</w:t>
            </w:r>
          </w:p>
        </w:tc>
        <w:tc>
          <w:tcPr>
            <w:tcW w:w="1005" w:type="dxa"/>
            <w:vAlign w:val="center"/>
          </w:tcPr>
          <w:p>
            <w:pPr>
              <w:jc w:val="center"/>
              <w:rPr>
                <w:color w:val="auto"/>
                <w:szCs w:val="21"/>
              </w:rPr>
            </w:pPr>
            <w:r>
              <w:rPr>
                <w:rFonts w:hint="eastAsia"/>
                <w:color w:val="auto"/>
                <w:szCs w:val="21"/>
              </w:rPr>
              <w:t>0.0010</w:t>
            </w:r>
          </w:p>
        </w:tc>
        <w:tc>
          <w:tcPr>
            <w:tcW w:w="777" w:type="dxa"/>
            <w:vAlign w:val="center"/>
          </w:tcPr>
          <w:p>
            <w:pPr>
              <w:snapToGrid w:val="0"/>
              <w:jc w:val="center"/>
              <w:rPr>
                <w:rFonts w:hint="eastAsia" w:eastAsia="宋体"/>
                <w:color w:val="auto"/>
                <w:szCs w:val="21"/>
                <w:lang w:eastAsia="zh-CN"/>
              </w:rPr>
            </w:pPr>
            <w:r>
              <w:rPr>
                <w:rFonts w:hint="eastAsia"/>
                <w:color w:val="auto"/>
                <w:szCs w:val="21"/>
                <w:lang w:val="en-US" w:eastAsia="zh-CN"/>
              </w:rPr>
              <w:t>2.1</w:t>
            </w:r>
          </w:p>
        </w:tc>
        <w:tc>
          <w:tcPr>
            <w:tcW w:w="1065" w:type="dxa"/>
            <w:vAlign w:val="center"/>
          </w:tcPr>
          <w:p>
            <w:pPr>
              <w:snapToGrid w:val="0"/>
              <w:jc w:val="center"/>
              <w:rPr>
                <w:color w:val="auto"/>
                <w:szCs w:val="21"/>
              </w:rPr>
            </w:pPr>
            <w:r>
              <w:rPr>
                <w:color w:val="auto"/>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Align w:val="center"/>
          </w:tcPr>
          <w:p>
            <w:pPr>
              <w:snapToGrid w:val="0"/>
              <w:jc w:val="center"/>
              <w:rPr>
                <w:color w:val="auto"/>
                <w:szCs w:val="21"/>
              </w:rPr>
            </w:pPr>
            <w:r>
              <w:rPr>
                <w:color w:val="auto"/>
                <w:szCs w:val="21"/>
              </w:rPr>
              <w:t>湿式破碎线</w:t>
            </w:r>
          </w:p>
        </w:tc>
        <w:tc>
          <w:tcPr>
            <w:tcW w:w="1309" w:type="dxa"/>
            <w:vAlign w:val="center"/>
          </w:tcPr>
          <w:p>
            <w:pPr>
              <w:widowControl/>
              <w:jc w:val="center"/>
              <w:rPr>
                <w:color w:val="auto"/>
                <w:szCs w:val="21"/>
              </w:rPr>
            </w:pPr>
            <w:r>
              <w:rPr>
                <w:color w:val="auto"/>
                <w:szCs w:val="21"/>
              </w:rPr>
              <w:t>排气筒G2（高15m；内径0.8m；</w:t>
            </w:r>
            <w:r>
              <w:rPr>
                <w:rFonts w:hint="eastAsia"/>
                <w:color w:val="auto"/>
                <w:szCs w:val="21"/>
                <w:lang w:val="en-US" w:eastAsia="zh-CN"/>
              </w:rPr>
              <w:t>22.6</w:t>
            </w:r>
            <w:r>
              <w:rPr>
                <w:color w:val="auto"/>
                <w:szCs w:val="21"/>
              </w:rPr>
              <w:t>℃）</w:t>
            </w:r>
          </w:p>
        </w:tc>
        <w:tc>
          <w:tcPr>
            <w:tcW w:w="883" w:type="dxa"/>
            <w:vAlign w:val="center"/>
          </w:tcPr>
          <w:p>
            <w:pPr>
              <w:adjustRightInd w:val="0"/>
              <w:snapToGrid w:val="0"/>
              <w:jc w:val="center"/>
              <w:rPr>
                <w:color w:val="auto"/>
                <w:szCs w:val="21"/>
              </w:rPr>
            </w:pPr>
            <w:r>
              <w:rPr>
                <w:color w:val="auto"/>
                <w:szCs w:val="21"/>
              </w:rPr>
              <w:t>15000</w:t>
            </w:r>
          </w:p>
        </w:tc>
        <w:tc>
          <w:tcPr>
            <w:tcW w:w="1298" w:type="dxa"/>
            <w:vAlign w:val="center"/>
          </w:tcPr>
          <w:p>
            <w:pPr>
              <w:jc w:val="center"/>
              <w:rPr>
                <w:color w:val="auto"/>
                <w:szCs w:val="21"/>
              </w:rPr>
            </w:pPr>
            <w:r>
              <w:rPr>
                <w:color w:val="auto"/>
                <w:szCs w:val="21"/>
              </w:rPr>
              <w:t>颗粒物</w:t>
            </w:r>
          </w:p>
        </w:tc>
        <w:tc>
          <w:tcPr>
            <w:tcW w:w="1069" w:type="dxa"/>
            <w:vAlign w:val="center"/>
          </w:tcPr>
          <w:p>
            <w:pPr>
              <w:widowControl/>
              <w:jc w:val="center"/>
              <w:rPr>
                <w:color w:val="auto"/>
                <w:kern w:val="0"/>
                <w:szCs w:val="21"/>
              </w:rPr>
            </w:pPr>
            <w:r>
              <w:rPr>
                <w:color w:val="auto"/>
                <w:kern w:val="0"/>
                <w:szCs w:val="21"/>
              </w:rPr>
              <w:t>47.7273</w:t>
            </w:r>
          </w:p>
        </w:tc>
        <w:tc>
          <w:tcPr>
            <w:tcW w:w="1059" w:type="dxa"/>
            <w:vAlign w:val="center"/>
          </w:tcPr>
          <w:p>
            <w:pPr>
              <w:jc w:val="center"/>
              <w:rPr>
                <w:color w:val="auto"/>
                <w:szCs w:val="21"/>
              </w:rPr>
            </w:pPr>
            <w:r>
              <w:rPr>
                <w:color w:val="auto"/>
                <w:szCs w:val="21"/>
              </w:rPr>
              <w:t>0.7159</w:t>
            </w:r>
          </w:p>
        </w:tc>
        <w:tc>
          <w:tcPr>
            <w:tcW w:w="1029" w:type="dxa"/>
            <w:vAlign w:val="center"/>
          </w:tcPr>
          <w:p>
            <w:pPr>
              <w:jc w:val="center"/>
              <w:rPr>
                <w:color w:val="auto"/>
                <w:szCs w:val="21"/>
              </w:rPr>
            </w:pPr>
            <w:r>
              <w:rPr>
                <w:color w:val="auto"/>
                <w:szCs w:val="21"/>
              </w:rPr>
              <w:t>1.89</w:t>
            </w:r>
          </w:p>
        </w:tc>
        <w:tc>
          <w:tcPr>
            <w:tcW w:w="1458" w:type="dxa"/>
            <w:vAlign w:val="center"/>
          </w:tcPr>
          <w:p>
            <w:pPr>
              <w:jc w:val="center"/>
              <w:rPr>
                <w:color w:val="auto"/>
                <w:szCs w:val="21"/>
              </w:rPr>
            </w:pPr>
            <w:r>
              <w:rPr>
                <w:color w:val="auto"/>
                <w:szCs w:val="21"/>
              </w:rPr>
              <w:t>旋风布袋除尘器</w:t>
            </w:r>
          </w:p>
        </w:tc>
        <w:tc>
          <w:tcPr>
            <w:tcW w:w="698" w:type="dxa"/>
            <w:vAlign w:val="center"/>
          </w:tcPr>
          <w:p>
            <w:pPr>
              <w:jc w:val="center"/>
              <w:rPr>
                <w:color w:val="auto"/>
                <w:szCs w:val="21"/>
              </w:rPr>
            </w:pPr>
            <w:r>
              <w:rPr>
                <w:color w:val="auto"/>
                <w:szCs w:val="21"/>
              </w:rPr>
              <w:t>95</w:t>
            </w:r>
          </w:p>
        </w:tc>
        <w:tc>
          <w:tcPr>
            <w:tcW w:w="1124" w:type="dxa"/>
            <w:vAlign w:val="center"/>
          </w:tcPr>
          <w:p>
            <w:pPr>
              <w:jc w:val="center"/>
              <w:rPr>
                <w:color w:val="auto"/>
                <w:szCs w:val="21"/>
              </w:rPr>
            </w:pPr>
            <w:r>
              <w:rPr>
                <w:color w:val="auto"/>
                <w:szCs w:val="21"/>
              </w:rPr>
              <w:t>2.3864</w:t>
            </w:r>
          </w:p>
        </w:tc>
        <w:tc>
          <w:tcPr>
            <w:tcW w:w="1025" w:type="dxa"/>
            <w:vAlign w:val="center"/>
          </w:tcPr>
          <w:p>
            <w:pPr>
              <w:jc w:val="center"/>
              <w:rPr>
                <w:color w:val="auto"/>
                <w:szCs w:val="21"/>
              </w:rPr>
            </w:pPr>
            <w:r>
              <w:rPr>
                <w:color w:val="auto"/>
                <w:szCs w:val="21"/>
              </w:rPr>
              <w:t>0.0358</w:t>
            </w:r>
          </w:p>
        </w:tc>
        <w:tc>
          <w:tcPr>
            <w:tcW w:w="1005" w:type="dxa"/>
            <w:vAlign w:val="center"/>
          </w:tcPr>
          <w:p>
            <w:pPr>
              <w:jc w:val="center"/>
              <w:rPr>
                <w:color w:val="auto"/>
                <w:szCs w:val="21"/>
              </w:rPr>
            </w:pPr>
            <w:r>
              <w:rPr>
                <w:color w:val="auto"/>
                <w:szCs w:val="21"/>
              </w:rPr>
              <w:t>0.0945</w:t>
            </w:r>
          </w:p>
        </w:tc>
        <w:tc>
          <w:tcPr>
            <w:tcW w:w="777" w:type="dxa"/>
            <w:vAlign w:val="center"/>
          </w:tcPr>
          <w:p>
            <w:pPr>
              <w:snapToGrid w:val="0"/>
              <w:jc w:val="center"/>
              <w:rPr>
                <w:color w:val="auto"/>
                <w:szCs w:val="21"/>
              </w:rPr>
            </w:pPr>
            <w:r>
              <w:rPr>
                <w:color w:val="auto"/>
                <w:szCs w:val="21"/>
              </w:rPr>
              <w:t>1.45</w:t>
            </w:r>
          </w:p>
        </w:tc>
        <w:tc>
          <w:tcPr>
            <w:tcW w:w="1065" w:type="dxa"/>
            <w:vAlign w:val="center"/>
          </w:tcPr>
          <w:p>
            <w:pPr>
              <w:snapToGrid w:val="0"/>
              <w:jc w:val="center"/>
              <w:rPr>
                <w:color w:val="auto"/>
                <w:szCs w:val="21"/>
              </w:rPr>
            </w:pPr>
            <w:r>
              <w:rPr>
                <w:color w:val="auto"/>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restart"/>
            <w:vAlign w:val="center"/>
          </w:tcPr>
          <w:p>
            <w:pPr>
              <w:snapToGrid w:val="0"/>
              <w:jc w:val="center"/>
              <w:rPr>
                <w:color w:val="auto"/>
                <w:szCs w:val="21"/>
              </w:rPr>
            </w:pPr>
            <w:r>
              <w:rPr>
                <w:rFonts w:hint="eastAsia"/>
                <w:color w:val="auto"/>
                <w:szCs w:val="21"/>
              </w:rPr>
              <w:t>导热油炉</w:t>
            </w:r>
          </w:p>
        </w:tc>
        <w:tc>
          <w:tcPr>
            <w:tcW w:w="1309" w:type="dxa"/>
            <w:vMerge w:val="restart"/>
            <w:vAlign w:val="center"/>
          </w:tcPr>
          <w:p>
            <w:pPr>
              <w:widowControl/>
              <w:jc w:val="center"/>
              <w:rPr>
                <w:color w:val="auto"/>
                <w:szCs w:val="21"/>
              </w:rPr>
            </w:pPr>
            <w:r>
              <w:rPr>
                <w:color w:val="auto"/>
                <w:szCs w:val="21"/>
              </w:rPr>
              <w:t>排气筒G3（高15m；内径0.4m；120℃）</w:t>
            </w:r>
          </w:p>
        </w:tc>
        <w:tc>
          <w:tcPr>
            <w:tcW w:w="883" w:type="dxa"/>
            <w:vMerge w:val="restart"/>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1892.4885</w:t>
            </w:r>
          </w:p>
        </w:tc>
        <w:tc>
          <w:tcPr>
            <w:tcW w:w="1298" w:type="dxa"/>
            <w:vAlign w:val="center"/>
          </w:tcPr>
          <w:p>
            <w:pPr>
              <w:jc w:val="center"/>
              <w:textAlignment w:val="baseline"/>
              <w:rPr>
                <w:rFonts w:hint="eastAsia" w:eastAsia="宋体"/>
                <w:color w:val="auto"/>
                <w:kern w:val="0"/>
                <w:szCs w:val="21"/>
                <w:lang w:eastAsia="zh-CN"/>
              </w:rPr>
            </w:pPr>
            <w:r>
              <w:rPr>
                <w:rFonts w:hint="eastAsia"/>
                <w:color w:val="auto"/>
                <w:kern w:val="0"/>
                <w:szCs w:val="21"/>
                <w:lang w:eastAsia="zh-CN"/>
              </w:rPr>
              <w:t>颗粒物</w:t>
            </w:r>
          </w:p>
        </w:tc>
        <w:tc>
          <w:tcPr>
            <w:tcW w:w="1069" w:type="dxa"/>
            <w:vAlign w:val="center"/>
          </w:tcPr>
          <w:p>
            <w:pPr>
              <w:widowControl/>
              <w:jc w:val="center"/>
              <w:rPr>
                <w:color w:val="auto"/>
                <w:kern w:val="0"/>
                <w:szCs w:val="21"/>
              </w:rPr>
            </w:pPr>
            <w:r>
              <w:rPr>
                <w:rFonts w:hint="eastAsia" w:eastAsia="宋体"/>
                <w:color w:val="auto"/>
                <w:kern w:val="0"/>
                <w:szCs w:val="21"/>
                <w:lang w:val="en-US" w:eastAsia="zh-CN" w:bidi="ar"/>
              </w:rPr>
              <w:t>17.4912</w:t>
            </w:r>
          </w:p>
        </w:tc>
        <w:tc>
          <w:tcPr>
            <w:tcW w:w="1059" w:type="dxa"/>
            <w:vAlign w:val="center"/>
          </w:tcPr>
          <w:p>
            <w:pPr>
              <w:jc w:val="center"/>
              <w:rPr>
                <w:color w:val="auto"/>
                <w:szCs w:val="21"/>
              </w:rPr>
            </w:pPr>
            <w:r>
              <w:rPr>
                <w:color w:val="auto"/>
                <w:szCs w:val="21"/>
              </w:rPr>
              <w:t>0.0</w:t>
            </w:r>
            <w:r>
              <w:rPr>
                <w:rFonts w:hint="eastAsia"/>
                <w:color w:val="auto"/>
                <w:szCs w:val="21"/>
                <w:lang w:val="en-US" w:eastAsia="zh-CN"/>
              </w:rPr>
              <w:t>333</w:t>
            </w:r>
          </w:p>
        </w:tc>
        <w:tc>
          <w:tcPr>
            <w:tcW w:w="1029" w:type="dxa"/>
            <w:vAlign w:val="center"/>
          </w:tcPr>
          <w:p>
            <w:pPr>
              <w:jc w:val="center"/>
              <w:rPr>
                <w:rFonts w:hint="eastAsia" w:eastAsia="宋体"/>
                <w:color w:val="auto"/>
                <w:szCs w:val="21"/>
                <w:lang w:eastAsia="zh-CN"/>
              </w:rPr>
            </w:pPr>
            <w:r>
              <w:rPr>
                <w:rFonts w:hint="eastAsia"/>
                <w:color w:val="auto"/>
                <w:szCs w:val="21"/>
                <w:lang w:val="en-US" w:eastAsia="zh-CN"/>
              </w:rPr>
              <w:t>0.3146</w:t>
            </w:r>
          </w:p>
        </w:tc>
        <w:tc>
          <w:tcPr>
            <w:tcW w:w="1458" w:type="dxa"/>
            <w:vMerge w:val="restart"/>
            <w:vAlign w:val="center"/>
          </w:tcPr>
          <w:p>
            <w:pPr>
              <w:jc w:val="center"/>
              <w:rPr>
                <w:color w:val="auto"/>
                <w:szCs w:val="21"/>
              </w:rPr>
            </w:pPr>
            <w:r>
              <w:rPr>
                <w:color w:val="auto"/>
                <w:szCs w:val="21"/>
              </w:rPr>
              <w:t>收集排放</w:t>
            </w:r>
          </w:p>
        </w:tc>
        <w:tc>
          <w:tcPr>
            <w:tcW w:w="698" w:type="dxa"/>
            <w:vAlign w:val="center"/>
          </w:tcPr>
          <w:p>
            <w:pPr>
              <w:jc w:val="center"/>
              <w:rPr>
                <w:color w:val="auto"/>
                <w:szCs w:val="21"/>
              </w:rPr>
            </w:pPr>
            <w:r>
              <w:rPr>
                <w:color w:val="auto"/>
                <w:szCs w:val="21"/>
              </w:rPr>
              <w:t>0</w:t>
            </w:r>
          </w:p>
        </w:tc>
        <w:tc>
          <w:tcPr>
            <w:tcW w:w="1124" w:type="dxa"/>
            <w:vAlign w:val="center"/>
          </w:tcPr>
          <w:p>
            <w:pPr>
              <w:widowControl/>
              <w:jc w:val="center"/>
              <w:rPr>
                <w:color w:val="auto"/>
                <w:kern w:val="0"/>
                <w:szCs w:val="21"/>
              </w:rPr>
            </w:pPr>
            <w:r>
              <w:rPr>
                <w:rFonts w:hint="eastAsia" w:eastAsia="宋体"/>
                <w:color w:val="auto"/>
                <w:kern w:val="0"/>
                <w:szCs w:val="21"/>
                <w:lang w:val="en-US" w:eastAsia="zh-CN" w:bidi="ar"/>
              </w:rPr>
              <w:t>17.4912</w:t>
            </w:r>
          </w:p>
        </w:tc>
        <w:tc>
          <w:tcPr>
            <w:tcW w:w="1025" w:type="dxa"/>
            <w:vAlign w:val="center"/>
          </w:tcPr>
          <w:p>
            <w:pPr>
              <w:jc w:val="center"/>
              <w:rPr>
                <w:color w:val="auto"/>
                <w:szCs w:val="21"/>
              </w:rPr>
            </w:pPr>
            <w:r>
              <w:rPr>
                <w:color w:val="auto"/>
                <w:szCs w:val="21"/>
              </w:rPr>
              <w:t>0.0</w:t>
            </w:r>
            <w:r>
              <w:rPr>
                <w:rFonts w:hint="eastAsia"/>
                <w:color w:val="auto"/>
                <w:szCs w:val="21"/>
                <w:lang w:val="en-US" w:eastAsia="zh-CN"/>
              </w:rPr>
              <w:t>333</w:t>
            </w:r>
          </w:p>
        </w:tc>
        <w:tc>
          <w:tcPr>
            <w:tcW w:w="1005" w:type="dxa"/>
            <w:vAlign w:val="center"/>
          </w:tcPr>
          <w:p>
            <w:pPr>
              <w:jc w:val="center"/>
              <w:rPr>
                <w:color w:val="auto"/>
                <w:szCs w:val="21"/>
              </w:rPr>
            </w:pPr>
            <w:r>
              <w:rPr>
                <w:rFonts w:hint="eastAsia"/>
                <w:color w:val="auto"/>
                <w:szCs w:val="21"/>
                <w:lang w:val="en-US" w:eastAsia="zh-CN"/>
              </w:rPr>
              <w:t>0.3146</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textAlignment w:val="baseline"/>
              <w:rPr>
                <w:color w:val="auto"/>
                <w:kern w:val="0"/>
                <w:szCs w:val="21"/>
              </w:rPr>
            </w:pPr>
            <w:r>
              <w:rPr>
                <w:color w:val="auto"/>
                <w:kern w:val="0"/>
                <w:szCs w:val="21"/>
              </w:rPr>
              <w:t>SO</w:t>
            </w:r>
            <w:r>
              <w:rPr>
                <w:color w:val="auto"/>
                <w:kern w:val="0"/>
                <w:szCs w:val="21"/>
                <w:vertAlign w:val="subscript"/>
              </w:rPr>
              <w:t>2</w:t>
            </w:r>
          </w:p>
        </w:tc>
        <w:tc>
          <w:tcPr>
            <w:tcW w:w="1069" w:type="dxa"/>
            <w:vAlign w:val="center"/>
          </w:tcPr>
          <w:p>
            <w:pPr>
              <w:jc w:val="center"/>
              <w:rPr>
                <w:color w:val="auto"/>
                <w:szCs w:val="21"/>
              </w:rPr>
            </w:pPr>
            <w:r>
              <w:rPr>
                <w:color w:val="auto"/>
                <w:szCs w:val="21"/>
              </w:rPr>
              <w:t>1</w:t>
            </w:r>
            <w:r>
              <w:rPr>
                <w:rFonts w:hint="eastAsia"/>
                <w:color w:val="auto"/>
                <w:szCs w:val="21"/>
                <w:lang w:val="en-US" w:eastAsia="zh-CN"/>
              </w:rPr>
              <w:t>2.2316</w:t>
            </w:r>
          </w:p>
        </w:tc>
        <w:tc>
          <w:tcPr>
            <w:tcW w:w="1059" w:type="dxa"/>
            <w:vAlign w:val="center"/>
          </w:tcPr>
          <w:p>
            <w:pPr>
              <w:jc w:val="center"/>
              <w:rPr>
                <w:color w:val="auto"/>
                <w:szCs w:val="21"/>
              </w:rPr>
            </w:pPr>
            <w:r>
              <w:rPr>
                <w:color w:val="auto"/>
                <w:szCs w:val="21"/>
              </w:rPr>
              <w:t>0.0</w:t>
            </w:r>
            <w:r>
              <w:rPr>
                <w:rFonts w:hint="eastAsia"/>
                <w:color w:val="auto"/>
                <w:szCs w:val="21"/>
                <w:lang w:val="en-US" w:eastAsia="zh-CN"/>
              </w:rPr>
              <w:t>278</w:t>
            </w:r>
          </w:p>
        </w:tc>
        <w:tc>
          <w:tcPr>
            <w:tcW w:w="1029" w:type="dxa"/>
            <w:vAlign w:val="center"/>
          </w:tcPr>
          <w:p>
            <w:pPr>
              <w:jc w:val="center"/>
              <w:rPr>
                <w:color w:val="auto"/>
                <w:szCs w:val="21"/>
              </w:rPr>
            </w:pPr>
            <w:r>
              <w:rPr>
                <w:color w:val="auto"/>
                <w:szCs w:val="21"/>
              </w:rPr>
              <w:t>0.</w:t>
            </w:r>
            <w:r>
              <w:rPr>
                <w:rFonts w:hint="eastAsia"/>
                <w:color w:val="auto"/>
                <w:szCs w:val="21"/>
                <w:lang w:val="en-US" w:eastAsia="zh-CN"/>
              </w:rPr>
              <w:t>2</w:t>
            </w:r>
            <w:r>
              <w:rPr>
                <w:color w:val="auto"/>
                <w:szCs w:val="21"/>
              </w:rPr>
              <w:t>2</w:t>
            </w:r>
          </w:p>
        </w:tc>
        <w:tc>
          <w:tcPr>
            <w:tcW w:w="1458" w:type="dxa"/>
            <w:vMerge w:val="continue"/>
            <w:vAlign w:val="center"/>
          </w:tcPr>
          <w:p>
            <w:pPr>
              <w:jc w:val="center"/>
              <w:rPr>
                <w:color w:val="auto"/>
                <w:szCs w:val="21"/>
              </w:rPr>
            </w:pPr>
          </w:p>
        </w:tc>
        <w:tc>
          <w:tcPr>
            <w:tcW w:w="698" w:type="dxa"/>
            <w:vAlign w:val="center"/>
          </w:tcPr>
          <w:p>
            <w:pPr>
              <w:jc w:val="center"/>
              <w:rPr>
                <w:color w:val="auto"/>
                <w:szCs w:val="21"/>
              </w:rPr>
            </w:pPr>
            <w:r>
              <w:rPr>
                <w:color w:val="auto"/>
                <w:szCs w:val="21"/>
              </w:rPr>
              <w:t>0</w:t>
            </w:r>
          </w:p>
        </w:tc>
        <w:tc>
          <w:tcPr>
            <w:tcW w:w="1124" w:type="dxa"/>
            <w:vAlign w:val="center"/>
          </w:tcPr>
          <w:p>
            <w:pPr>
              <w:jc w:val="center"/>
              <w:rPr>
                <w:color w:val="auto"/>
                <w:szCs w:val="21"/>
              </w:rPr>
            </w:pPr>
            <w:r>
              <w:rPr>
                <w:color w:val="auto"/>
                <w:szCs w:val="21"/>
              </w:rPr>
              <w:t>1</w:t>
            </w:r>
            <w:r>
              <w:rPr>
                <w:rFonts w:hint="eastAsia"/>
                <w:color w:val="auto"/>
                <w:szCs w:val="21"/>
                <w:lang w:val="en-US" w:eastAsia="zh-CN"/>
              </w:rPr>
              <w:t>2.2316</w:t>
            </w:r>
          </w:p>
        </w:tc>
        <w:tc>
          <w:tcPr>
            <w:tcW w:w="1025" w:type="dxa"/>
            <w:vAlign w:val="center"/>
          </w:tcPr>
          <w:p>
            <w:pPr>
              <w:jc w:val="center"/>
              <w:rPr>
                <w:color w:val="auto"/>
                <w:szCs w:val="21"/>
              </w:rPr>
            </w:pPr>
            <w:r>
              <w:rPr>
                <w:color w:val="auto"/>
                <w:szCs w:val="21"/>
              </w:rPr>
              <w:t>0.0</w:t>
            </w:r>
            <w:r>
              <w:rPr>
                <w:rFonts w:hint="eastAsia"/>
                <w:color w:val="auto"/>
                <w:szCs w:val="21"/>
                <w:lang w:val="en-US" w:eastAsia="zh-CN"/>
              </w:rPr>
              <w:t>278</w:t>
            </w:r>
          </w:p>
        </w:tc>
        <w:tc>
          <w:tcPr>
            <w:tcW w:w="1005" w:type="dxa"/>
            <w:vAlign w:val="center"/>
          </w:tcPr>
          <w:p>
            <w:pPr>
              <w:jc w:val="center"/>
              <w:rPr>
                <w:color w:val="auto"/>
                <w:szCs w:val="21"/>
              </w:rPr>
            </w:pPr>
            <w:r>
              <w:rPr>
                <w:color w:val="auto"/>
                <w:szCs w:val="21"/>
              </w:rPr>
              <w:t>0.</w:t>
            </w:r>
            <w:r>
              <w:rPr>
                <w:rFonts w:hint="eastAsia"/>
                <w:color w:val="auto"/>
                <w:szCs w:val="21"/>
                <w:lang w:val="en-US" w:eastAsia="zh-CN"/>
              </w:rPr>
              <w:t>2</w:t>
            </w:r>
            <w:r>
              <w:rPr>
                <w:color w:val="auto"/>
                <w:szCs w:val="21"/>
              </w:rPr>
              <w:t>2</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textAlignment w:val="baseline"/>
              <w:rPr>
                <w:color w:val="auto"/>
                <w:kern w:val="0"/>
                <w:szCs w:val="21"/>
              </w:rPr>
            </w:pPr>
            <w:r>
              <w:rPr>
                <w:color w:val="auto"/>
                <w:kern w:val="0"/>
                <w:szCs w:val="21"/>
              </w:rPr>
              <w:t>NOx</w:t>
            </w:r>
          </w:p>
        </w:tc>
        <w:tc>
          <w:tcPr>
            <w:tcW w:w="1069" w:type="dxa"/>
            <w:vAlign w:val="center"/>
          </w:tcPr>
          <w:p>
            <w:pPr>
              <w:widowControl/>
              <w:jc w:val="center"/>
              <w:rPr>
                <w:rFonts w:hint="eastAsia" w:eastAsia="宋体"/>
                <w:color w:val="auto"/>
                <w:kern w:val="0"/>
                <w:szCs w:val="21"/>
                <w:lang w:eastAsia="zh-CN"/>
              </w:rPr>
            </w:pPr>
            <w:r>
              <w:rPr>
                <w:rFonts w:hint="eastAsia"/>
                <w:color w:val="auto"/>
                <w:kern w:val="0"/>
                <w:szCs w:val="21"/>
                <w:lang w:val="en-US" w:eastAsia="zh-CN"/>
              </w:rPr>
              <w:t>114.4265</w:t>
            </w:r>
          </w:p>
        </w:tc>
        <w:tc>
          <w:tcPr>
            <w:tcW w:w="1059" w:type="dxa"/>
            <w:vAlign w:val="center"/>
          </w:tcPr>
          <w:p>
            <w:pPr>
              <w:jc w:val="center"/>
              <w:rPr>
                <w:color w:val="auto"/>
                <w:szCs w:val="21"/>
              </w:rPr>
            </w:pPr>
            <w:r>
              <w:rPr>
                <w:color w:val="auto"/>
                <w:szCs w:val="21"/>
              </w:rPr>
              <w:t>0.</w:t>
            </w:r>
            <w:r>
              <w:rPr>
                <w:rFonts w:hint="eastAsia"/>
                <w:color w:val="auto"/>
                <w:szCs w:val="21"/>
                <w:lang w:val="en-US" w:eastAsia="zh-CN"/>
              </w:rPr>
              <w:t>2599</w:t>
            </w:r>
          </w:p>
        </w:tc>
        <w:tc>
          <w:tcPr>
            <w:tcW w:w="1029" w:type="dxa"/>
            <w:vAlign w:val="center"/>
          </w:tcPr>
          <w:p>
            <w:pPr>
              <w:jc w:val="center"/>
              <w:rPr>
                <w:rFonts w:hint="eastAsia"/>
                <w:color w:val="auto"/>
                <w:szCs w:val="21"/>
                <w:lang w:eastAsia="zh-CN"/>
              </w:rPr>
            </w:pPr>
            <w:r>
              <w:rPr>
                <w:rFonts w:hint="eastAsia"/>
                <w:color w:val="auto"/>
                <w:szCs w:val="21"/>
                <w:lang w:val="en-US" w:eastAsia="zh-CN"/>
              </w:rPr>
              <w:t>2.0581</w:t>
            </w:r>
          </w:p>
        </w:tc>
        <w:tc>
          <w:tcPr>
            <w:tcW w:w="1458" w:type="dxa"/>
            <w:vMerge w:val="continue"/>
            <w:vAlign w:val="center"/>
          </w:tcPr>
          <w:p>
            <w:pPr>
              <w:jc w:val="center"/>
              <w:rPr>
                <w:color w:val="auto"/>
                <w:szCs w:val="21"/>
              </w:rPr>
            </w:pPr>
          </w:p>
        </w:tc>
        <w:tc>
          <w:tcPr>
            <w:tcW w:w="698" w:type="dxa"/>
            <w:vAlign w:val="center"/>
          </w:tcPr>
          <w:p>
            <w:pPr>
              <w:jc w:val="center"/>
              <w:rPr>
                <w:color w:val="auto"/>
                <w:szCs w:val="21"/>
              </w:rPr>
            </w:pPr>
            <w:r>
              <w:rPr>
                <w:color w:val="auto"/>
                <w:szCs w:val="21"/>
              </w:rPr>
              <w:t>0</w:t>
            </w:r>
          </w:p>
        </w:tc>
        <w:tc>
          <w:tcPr>
            <w:tcW w:w="1124" w:type="dxa"/>
            <w:vAlign w:val="center"/>
          </w:tcPr>
          <w:p>
            <w:pPr>
              <w:widowControl/>
              <w:jc w:val="center"/>
              <w:rPr>
                <w:color w:val="auto"/>
                <w:kern w:val="0"/>
                <w:szCs w:val="21"/>
              </w:rPr>
            </w:pPr>
            <w:r>
              <w:rPr>
                <w:rFonts w:hint="eastAsia"/>
                <w:color w:val="auto"/>
                <w:kern w:val="0"/>
                <w:szCs w:val="21"/>
                <w:lang w:val="en-US" w:eastAsia="zh-CN"/>
              </w:rPr>
              <w:t>114.4265</w:t>
            </w:r>
          </w:p>
        </w:tc>
        <w:tc>
          <w:tcPr>
            <w:tcW w:w="1025" w:type="dxa"/>
            <w:vAlign w:val="center"/>
          </w:tcPr>
          <w:p>
            <w:pPr>
              <w:jc w:val="center"/>
              <w:rPr>
                <w:color w:val="auto"/>
                <w:szCs w:val="21"/>
              </w:rPr>
            </w:pPr>
            <w:r>
              <w:rPr>
                <w:color w:val="auto"/>
                <w:szCs w:val="21"/>
              </w:rPr>
              <w:t>0.</w:t>
            </w:r>
            <w:r>
              <w:rPr>
                <w:rFonts w:hint="eastAsia"/>
                <w:color w:val="auto"/>
                <w:szCs w:val="21"/>
                <w:lang w:val="en-US" w:eastAsia="zh-CN"/>
              </w:rPr>
              <w:t>2599</w:t>
            </w:r>
          </w:p>
        </w:tc>
        <w:tc>
          <w:tcPr>
            <w:tcW w:w="1005" w:type="dxa"/>
            <w:vAlign w:val="center"/>
          </w:tcPr>
          <w:p>
            <w:pPr>
              <w:jc w:val="center"/>
              <w:rPr>
                <w:color w:val="auto"/>
                <w:szCs w:val="21"/>
              </w:rPr>
            </w:pPr>
            <w:r>
              <w:rPr>
                <w:rFonts w:hint="eastAsia"/>
                <w:color w:val="auto"/>
                <w:szCs w:val="21"/>
                <w:lang w:val="en-US" w:eastAsia="zh-CN"/>
              </w:rPr>
              <w:t>2.0581</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restart"/>
            <w:vAlign w:val="center"/>
          </w:tcPr>
          <w:p>
            <w:pPr>
              <w:snapToGrid w:val="0"/>
              <w:jc w:val="center"/>
              <w:rPr>
                <w:color w:val="auto"/>
                <w:szCs w:val="21"/>
              </w:rPr>
            </w:pPr>
            <w:r>
              <w:rPr>
                <w:color w:val="auto"/>
                <w:szCs w:val="21"/>
              </w:rPr>
              <w:t>项目车间</w:t>
            </w:r>
          </w:p>
        </w:tc>
        <w:tc>
          <w:tcPr>
            <w:tcW w:w="1309" w:type="dxa"/>
            <w:vMerge w:val="restart"/>
            <w:vAlign w:val="center"/>
          </w:tcPr>
          <w:p>
            <w:pPr>
              <w:widowControl/>
              <w:jc w:val="center"/>
              <w:rPr>
                <w:color w:val="auto"/>
                <w:szCs w:val="21"/>
                <w:vertAlign w:val="superscript"/>
              </w:rPr>
            </w:pPr>
            <w:r>
              <w:rPr>
                <w:color w:val="auto"/>
                <w:szCs w:val="21"/>
              </w:rPr>
              <w:t>面积12108m</w:t>
            </w:r>
            <w:r>
              <w:rPr>
                <w:color w:val="auto"/>
                <w:szCs w:val="21"/>
                <w:vertAlign w:val="superscript"/>
              </w:rPr>
              <w:t>2</w:t>
            </w:r>
          </w:p>
          <w:p>
            <w:pPr>
              <w:widowControl/>
              <w:jc w:val="center"/>
              <w:rPr>
                <w:color w:val="auto"/>
                <w:szCs w:val="21"/>
                <w:vertAlign w:val="superscript"/>
              </w:rPr>
            </w:pPr>
            <w:r>
              <w:rPr>
                <w:color w:val="auto"/>
                <w:szCs w:val="21"/>
              </w:rPr>
              <w:t>面源高度4m</w:t>
            </w:r>
          </w:p>
        </w:tc>
        <w:tc>
          <w:tcPr>
            <w:tcW w:w="883" w:type="dxa"/>
            <w:vMerge w:val="restart"/>
            <w:vAlign w:val="center"/>
          </w:tcPr>
          <w:p>
            <w:pPr>
              <w:jc w:val="center"/>
              <w:rPr>
                <w:color w:val="auto"/>
                <w:szCs w:val="21"/>
              </w:rPr>
            </w:pPr>
            <w:r>
              <w:rPr>
                <w:color w:val="auto"/>
                <w:szCs w:val="21"/>
              </w:rPr>
              <w:t>/</w:t>
            </w:r>
          </w:p>
        </w:tc>
        <w:tc>
          <w:tcPr>
            <w:tcW w:w="1298" w:type="dxa"/>
            <w:vAlign w:val="center"/>
          </w:tcPr>
          <w:p>
            <w:pPr>
              <w:jc w:val="center"/>
              <w:rPr>
                <w:color w:val="auto"/>
                <w:szCs w:val="21"/>
              </w:rPr>
            </w:pPr>
            <w:r>
              <w:rPr>
                <w:color w:val="auto"/>
                <w:szCs w:val="21"/>
              </w:rPr>
              <w:t>颗粒物</w:t>
            </w:r>
          </w:p>
        </w:tc>
        <w:tc>
          <w:tcPr>
            <w:tcW w:w="1069" w:type="dxa"/>
            <w:vAlign w:val="center"/>
          </w:tcPr>
          <w:p>
            <w:pPr>
              <w:jc w:val="center"/>
              <w:rPr>
                <w:color w:val="auto"/>
                <w:szCs w:val="21"/>
              </w:rPr>
            </w:pPr>
            <w:r>
              <w:rPr>
                <w:color w:val="auto"/>
                <w:szCs w:val="21"/>
              </w:rPr>
              <w:t>/　</w:t>
            </w:r>
          </w:p>
        </w:tc>
        <w:tc>
          <w:tcPr>
            <w:tcW w:w="1059" w:type="dxa"/>
            <w:vAlign w:val="center"/>
          </w:tcPr>
          <w:p>
            <w:pPr>
              <w:widowControl/>
              <w:jc w:val="center"/>
              <w:rPr>
                <w:color w:val="auto"/>
                <w:kern w:val="0"/>
                <w:szCs w:val="21"/>
              </w:rPr>
            </w:pPr>
            <w:r>
              <w:rPr>
                <w:rFonts w:hint="eastAsia"/>
                <w:color w:val="auto"/>
                <w:kern w:val="0"/>
                <w:szCs w:val="21"/>
              </w:rPr>
              <w:t>0.1109</w:t>
            </w:r>
          </w:p>
        </w:tc>
        <w:tc>
          <w:tcPr>
            <w:tcW w:w="1029" w:type="dxa"/>
            <w:vAlign w:val="center"/>
          </w:tcPr>
          <w:p>
            <w:pPr>
              <w:jc w:val="center"/>
              <w:rPr>
                <w:color w:val="auto"/>
                <w:szCs w:val="21"/>
              </w:rPr>
            </w:pPr>
            <w:r>
              <w:rPr>
                <w:rFonts w:hint="eastAsia"/>
                <w:color w:val="auto"/>
                <w:szCs w:val="21"/>
              </w:rPr>
              <w:t>0.4585</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rFonts w:hint="eastAsia"/>
                <w:color w:val="auto"/>
                <w:szCs w:val="21"/>
              </w:rPr>
              <w:t>5.58E-02</w:t>
            </w:r>
          </w:p>
        </w:tc>
        <w:tc>
          <w:tcPr>
            <w:tcW w:w="1025" w:type="dxa"/>
            <w:vAlign w:val="center"/>
          </w:tcPr>
          <w:p>
            <w:pPr>
              <w:widowControl/>
              <w:jc w:val="center"/>
              <w:rPr>
                <w:color w:val="auto"/>
                <w:kern w:val="0"/>
                <w:szCs w:val="21"/>
              </w:rPr>
            </w:pPr>
            <w:r>
              <w:rPr>
                <w:rFonts w:hint="eastAsia"/>
                <w:color w:val="auto"/>
                <w:kern w:val="0"/>
                <w:szCs w:val="21"/>
              </w:rPr>
              <w:t>0.1109</w:t>
            </w:r>
          </w:p>
        </w:tc>
        <w:tc>
          <w:tcPr>
            <w:tcW w:w="1005" w:type="dxa"/>
            <w:vAlign w:val="center"/>
          </w:tcPr>
          <w:p>
            <w:pPr>
              <w:jc w:val="center"/>
              <w:rPr>
                <w:color w:val="auto"/>
                <w:szCs w:val="21"/>
              </w:rPr>
            </w:pPr>
            <w:r>
              <w:rPr>
                <w:rFonts w:hint="eastAsia"/>
                <w:color w:val="auto"/>
                <w:szCs w:val="21"/>
              </w:rPr>
              <w:t>0.4585</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jc w:val="center"/>
              <w:rPr>
                <w:color w:val="auto"/>
                <w:szCs w:val="21"/>
              </w:rPr>
            </w:pPr>
          </w:p>
        </w:tc>
        <w:tc>
          <w:tcPr>
            <w:tcW w:w="1298" w:type="dxa"/>
            <w:vAlign w:val="center"/>
          </w:tcPr>
          <w:p>
            <w:pPr>
              <w:jc w:val="center"/>
              <w:rPr>
                <w:color w:val="auto"/>
                <w:szCs w:val="21"/>
              </w:rPr>
            </w:pPr>
            <w:r>
              <w:rPr>
                <w:color w:val="auto"/>
                <w:szCs w:val="21"/>
              </w:rPr>
              <w:t>苯并[a]芘</w:t>
            </w:r>
          </w:p>
        </w:tc>
        <w:tc>
          <w:tcPr>
            <w:tcW w:w="1069" w:type="dxa"/>
            <w:vAlign w:val="center"/>
          </w:tcPr>
          <w:p>
            <w:pPr>
              <w:jc w:val="center"/>
              <w:rPr>
                <w:color w:val="auto"/>
                <w:szCs w:val="21"/>
              </w:rPr>
            </w:pPr>
            <w:r>
              <w:rPr>
                <w:color w:val="auto"/>
                <w:szCs w:val="21"/>
              </w:rPr>
              <w:t>　/</w:t>
            </w:r>
          </w:p>
        </w:tc>
        <w:tc>
          <w:tcPr>
            <w:tcW w:w="1059" w:type="dxa"/>
            <w:vAlign w:val="center"/>
          </w:tcPr>
          <w:p>
            <w:pPr>
              <w:widowControl/>
              <w:jc w:val="center"/>
              <w:textAlignment w:val="center"/>
              <w:rPr>
                <w:color w:val="auto"/>
                <w:kern w:val="0"/>
                <w:szCs w:val="21"/>
              </w:rPr>
            </w:pPr>
            <w:r>
              <w:rPr>
                <w:color w:val="auto"/>
                <w:kern w:val="0"/>
                <w:szCs w:val="21"/>
                <w:lang w:bidi="ar"/>
              </w:rPr>
              <w:t xml:space="preserve">0.000001 </w:t>
            </w:r>
          </w:p>
        </w:tc>
        <w:tc>
          <w:tcPr>
            <w:tcW w:w="1029" w:type="dxa"/>
            <w:vAlign w:val="center"/>
          </w:tcPr>
          <w:p>
            <w:pPr>
              <w:widowControl/>
              <w:jc w:val="center"/>
              <w:textAlignment w:val="center"/>
              <w:rPr>
                <w:color w:val="auto"/>
                <w:szCs w:val="21"/>
              </w:rPr>
            </w:pPr>
            <w:r>
              <w:rPr>
                <w:color w:val="auto"/>
                <w:kern w:val="0"/>
                <w:szCs w:val="21"/>
                <w:lang w:bidi="ar"/>
              </w:rPr>
              <w:t>0.00000</w:t>
            </w:r>
            <w:r>
              <w:rPr>
                <w:rFonts w:hint="eastAsia"/>
                <w:color w:val="auto"/>
                <w:kern w:val="0"/>
                <w:szCs w:val="21"/>
                <w:lang w:bidi="ar"/>
              </w:rPr>
              <w:t>4</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rFonts w:hint="eastAsia"/>
                <w:color w:val="auto"/>
                <w:szCs w:val="21"/>
              </w:rPr>
              <w:t>5.01E-07</w:t>
            </w:r>
          </w:p>
        </w:tc>
        <w:tc>
          <w:tcPr>
            <w:tcW w:w="1025" w:type="dxa"/>
            <w:vAlign w:val="center"/>
          </w:tcPr>
          <w:p>
            <w:pPr>
              <w:widowControl/>
              <w:jc w:val="center"/>
              <w:textAlignment w:val="center"/>
              <w:rPr>
                <w:color w:val="auto"/>
                <w:kern w:val="0"/>
                <w:szCs w:val="21"/>
              </w:rPr>
            </w:pPr>
            <w:r>
              <w:rPr>
                <w:color w:val="auto"/>
                <w:kern w:val="0"/>
                <w:szCs w:val="21"/>
                <w:lang w:bidi="ar"/>
              </w:rPr>
              <w:t xml:space="preserve">0.000001 </w:t>
            </w:r>
          </w:p>
        </w:tc>
        <w:tc>
          <w:tcPr>
            <w:tcW w:w="1005" w:type="dxa"/>
            <w:vAlign w:val="center"/>
          </w:tcPr>
          <w:p>
            <w:pPr>
              <w:widowControl/>
              <w:jc w:val="center"/>
              <w:textAlignment w:val="center"/>
              <w:rPr>
                <w:color w:val="auto"/>
                <w:szCs w:val="21"/>
              </w:rPr>
            </w:pPr>
            <w:r>
              <w:rPr>
                <w:color w:val="auto"/>
                <w:kern w:val="0"/>
                <w:szCs w:val="21"/>
                <w:lang w:bidi="ar"/>
              </w:rPr>
              <w:t>0.00000</w:t>
            </w:r>
            <w:r>
              <w:rPr>
                <w:rFonts w:hint="eastAsia"/>
                <w:color w:val="auto"/>
                <w:kern w:val="0"/>
                <w:szCs w:val="21"/>
                <w:lang w:bidi="ar"/>
              </w:rPr>
              <w:t>4</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0.000008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color w:val="auto"/>
                <w:szCs w:val="21"/>
              </w:rPr>
              <w:t>沥青烟</w:t>
            </w:r>
          </w:p>
        </w:tc>
        <w:tc>
          <w:tcPr>
            <w:tcW w:w="1069" w:type="dxa"/>
            <w:vAlign w:val="center"/>
          </w:tcPr>
          <w:p>
            <w:pPr>
              <w:jc w:val="center"/>
              <w:rPr>
                <w:color w:val="auto"/>
                <w:szCs w:val="21"/>
              </w:rPr>
            </w:pPr>
            <w:r>
              <w:rPr>
                <w:color w:val="auto"/>
                <w:szCs w:val="21"/>
              </w:rPr>
              <w:t>　/</w:t>
            </w:r>
          </w:p>
        </w:tc>
        <w:tc>
          <w:tcPr>
            <w:tcW w:w="1059" w:type="dxa"/>
            <w:vAlign w:val="center"/>
          </w:tcPr>
          <w:p>
            <w:pPr>
              <w:widowControl/>
              <w:jc w:val="center"/>
              <w:rPr>
                <w:color w:val="auto"/>
                <w:kern w:val="0"/>
                <w:szCs w:val="21"/>
              </w:rPr>
            </w:pPr>
            <w:r>
              <w:rPr>
                <w:color w:val="auto"/>
                <w:kern w:val="0"/>
                <w:szCs w:val="21"/>
              </w:rPr>
              <w:t>0.00</w:t>
            </w:r>
            <w:r>
              <w:rPr>
                <w:rFonts w:hint="eastAsia"/>
                <w:color w:val="auto"/>
                <w:kern w:val="0"/>
                <w:szCs w:val="21"/>
              </w:rPr>
              <w:t>28</w:t>
            </w:r>
          </w:p>
        </w:tc>
        <w:tc>
          <w:tcPr>
            <w:tcW w:w="1029" w:type="dxa"/>
            <w:vAlign w:val="center"/>
          </w:tcPr>
          <w:p>
            <w:pPr>
              <w:jc w:val="center"/>
              <w:rPr>
                <w:color w:val="auto"/>
                <w:szCs w:val="21"/>
              </w:rPr>
            </w:pPr>
            <w:r>
              <w:rPr>
                <w:rFonts w:hint="eastAsia"/>
                <w:color w:val="auto"/>
                <w:szCs w:val="21"/>
              </w:rPr>
              <w:t>0.0225</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color w:val="auto"/>
                <w:szCs w:val="21"/>
              </w:rPr>
              <w:t>/</w:t>
            </w:r>
          </w:p>
        </w:tc>
        <w:tc>
          <w:tcPr>
            <w:tcW w:w="1025" w:type="dxa"/>
            <w:vAlign w:val="center"/>
          </w:tcPr>
          <w:p>
            <w:pPr>
              <w:widowControl/>
              <w:jc w:val="center"/>
              <w:rPr>
                <w:color w:val="auto"/>
                <w:kern w:val="0"/>
                <w:szCs w:val="21"/>
              </w:rPr>
            </w:pPr>
            <w:r>
              <w:rPr>
                <w:color w:val="auto"/>
                <w:kern w:val="0"/>
                <w:szCs w:val="21"/>
              </w:rPr>
              <w:t>0.00</w:t>
            </w:r>
            <w:r>
              <w:rPr>
                <w:rFonts w:hint="eastAsia"/>
                <w:color w:val="auto"/>
                <w:kern w:val="0"/>
                <w:szCs w:val="21"/>
              </w:rPr>
              <w:t>28</w:t>
            </w:r>
          </w:p>
        </w:tc>
        <w:tc>
          <w:tcPr>
            <w:tcW w:w="1005" w:type="dxa"/>
            <w:vAlign w:val="center"/>
          </w:tcPr>
          <w:p>
            <w:pPr>
              <w:jc w:val="center"/>
              <w:rPr>
                <w:color w:val="auto"/>
                <w:szCs w:val="21"/>
              </w:rPr>
            </w:pPr>
            <w:r>
              <w:rPr>
                <w:rFonts w:hint="eastAsia"/>
                <w:color w:val="auto"/>
                <w:szCs w:val="21"/>
              </w:rPr>
              <w:t>0.0225</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color w:val="auto"/>
                <w:szCs w:val="21"/>
              </w:rPr>
              <w:t>非甲烷总烃</w:t>
            </w:r>
          </w:p>
        </w:tc>
        <w:tc>
          <w:tcPr>
            <w:tcW w:w="1069" w:type="dxa"/>
            <w:vAlign w:val="center"/>
          </w:tcPr>
          <w:p>
            <w:pPr>
              <w:jc w:val="center"/>
              <w:rPr>
                <w:color w:val="auto"/>
                <w:szCs w:val="21"/>
              </w:rPr>
            </w:pPr>
            <w:r>
              <w:rPr>
                <w:color w:val="auto"/>
                <w:szCs w:val="21"/>
              </w:rPr>
              <w:t>　/</w:t>
            </w:r>
          </w:p>
        </w:tc>
        <w:tc>
          <w:tcPr>
            <w:tcW w:w="1059" w:type="dxa"/>
            <w:vAlign w:val="center"/>
          </w:tcPr>
          <w:p>
            <w:pPr>
              <w:jc w:val="center"/>
              <w:rPr>
                <w:color w:val="auto"/>
                <w:szCs w:val="21"/>
              </w:rPr>
            </w:pPr>
            <w:r>
              <w:rPr>
                <w:color w:val="auto"/>
                <w:szCs w:val="21"/>
              </w:rPr>
              <w:t>0.0057</w:t>
            </w:r>
          </w:p>
        </w:tc>
        <w:tc>
          <w:tcPr>
            <w:tcW w:w="1029" w:type="dxa"/>
            <w:vAlign w:val="center"/>
          </w:tcPr>
          <w:p>
            <w:pPr>
              <w:jc w:val="center"/>
              <w:rPr>
                <w:color w:val="auto"/>
                <w:szCs w:val="21"/>
              </w:rPr>
            </w:pPr>
            <w:r>
              <w:rPr>
                <w:color w:val="auto"/>
                <w:szCs w:val="21"/>
              </w:rPr>
              <w:t>0.045</w:t>
            </w:r>
            <w:r>
              <w:rPr>
                <w:rFonts w:hint="eastAsia"/>
                <w:color w:val="auto"/>
                <w:szCs w:val="21"/>
              </w:rPr>
              <w:t>2</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rFonts w:hint="eastAsia"/>
                <w:color w:val="auto"/>
                <w:szCs w:val="21"/>
              </w:rPr>
              <w:t>4.25E-03</w:t>
            </w:r>
          </w:p>
        </w:tc>
        <w:tc>
          <w:tcPr>
            <w:tcW w:w="1025" w:type="dxa"/>
            <w:vAlign w:val="center"/>
          </w:tcPr>
          <w:p>
            <w:pPr>
              <w:jc w:val="center"/>
              <w:rPr>
                <w:color w:val="auto"/>
                <w:szCs w:val="21"/>
              </w:rPr>
            </w:pPr>
            <w:r>
              <w:rPr>
                <w:color w:val="auto"/>
                <w:szCs w:val="21"/>
              </w:rPr>
              <w:t>0.0057</w:t>
            </w:r>
          </w:p>
        </w:tc>
        <w:tc>
          <w:tcPr>
            <w:tcW w:w="1005" w:type="dxa"/>
            <w:vAlign w:val="center"/>
          </w:tcPr>
          <w:p>
            <w:pPr>
              <w:jc w:val="center"/>
              <w:rPr>
                <w:color w:val="auto"/>
                <w:szCs w:val="21"/>
              </w:rPr>
            </w:pPr>
            <w:r>
              <w:rPr>
                <w:color w:val="auto"/>
                <w:szCs w:val="21"/>
              </w:rPr>
              <w:t>0.045</w:t>
            </w:r>
            <w:r>
              <w:rPr>
                <w:rFonts w:hint="eastAsia"/>
                <w:color w:val="auto"/>
                <w:szCs w:val="21"/>
              </w:rPr>
              <w:t>2</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bCs/>
                <w:color w:val="auto"/>
                <w:szCs w:val="21"/>
              </w:rPr>
              <w:t>NO</w:t>
            </w:r>
            <w:r>
              <w:rPr>
                <w:bCs/>
                <w:color w:val="auto"/>
                <w:szCs w:val="21"/>
                <w:vertAlign w:val="subscript"/>
              </w:rPr>
              <w:t>x</w:t>
            </w:r>
          </w:p>
        </w:tc>
        <w:tc>
          <w:tcPr>
            <w:tcW w:w="1069" w:type="dxa"/>
            <w:vAlign w:val="center"/>
          </w:tcPr>
          <w:p>
            <w:pPr>
              <w:jc w:val="center"/>
              <w:rPr>
                <w:color w:val="auto"/>
                <w:szCs w:val="21"/>
              </w:rPr>
            </w:pPr>
            <w:r>
              <w:rPr>
                <w:color w:val="auto"/>
                <w:szCs w:val="21"/>
              </w:rPr>
              <w:t>　/</w:t>
            </w:r>
          </w:p>
        </w:tc>
        <w:tc>
          <w:tcPr>
            <w:tcW w:w="1059" w:type="dxa"/>
            <w:vAlign w:val="center"/>
          </w:tcPr>
          <w:p>
            <w:pPr>
              <w:jc w:val="center"/>
              <w:rPr>
                <w:color w:val="auto"/>
                <w:szCs w:val="21"/>
              </w:rPr>
            </w:pPr>
            <w:r>
              <w:rPr>
                <w:color w:val="auto"/>
                <w:szCs w:val="21"/>
              </w:rPr>
              <w:t>0.2396</w:t>
            </w:r>
          </w:p>
        </w:tc>
        <w:tc>
          <w:tcPr>
            <w:tcW w:w="1029" w:type="dxa"/>
            <w:vAlign w:val="center"/>
          </w:tcPr>
          <w:p>
            <w:pPr>
              <w:jc w:val="center"/>
              <w:rPr>
                <w:color w:val="auto"/>
                <w:szCs w:val="21"/>
              </w:rPr>
            </w:pPr>
            <w:r>
              <w:rPr>
                <w:color w:val="auto"/>
                <w:kern w:val="0"/>
                <w:szCs w:val="21"/>
                <w:lang w:bidi="ar"/>
              </w:rPr>
              <w:t xml:space="preserve">0.3162 </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color w:val="auto"/>
                <w:szCs w:val="21"/>
              </w:rPr>
              <w:t>/</w:t>
            </w:r>
          </w:p>
        </w:tc>
        <w:tc>
          <w:tcPr>
            <w:tcW w:w="1025" w:type="dxa"/>
            <w:vAlign w:val="center"/>
          </w:tcPr>
          <w:p>
            <w:pPr>
              <w:jc w:val="center"/>
              <w:rPr>
                <w:color w:val="auto"/>
                <w:szCs w:val="21"/>
              </w:rPr>
            </w:pPr>
            <w:r>
              <w:rPr>
                <w:color w:val="auto"/>
                <w:szCs w:val="21"/>
              </w:rPr>
              <w:t>0.2396</w:t>
            </w:r>
          </w:p>
        </w:tc>
        <w:tc>
          <w:tcPr>
            <w:tcW w:w="1005" w:type="dxa"/>
            <w:vAlign w:val="center"/>
          </w:tcPr>
          <w:p>
            <w:pPr>
              <w:jc w:val="center"/>
              <w:rPr>
                <w:color w:val="auto"/>
                <w:szCs w:val="21"/>
              </w:rPr>
            </w:pPr>
            <w:r>
              <w:rPr>
                <w:color w:val="auto"/>
                <w:kern w:val="0"/>
                <w:szCs w:val="21"/>
                <w:lang w:bidi="ar"/>
              </w:rPr>
              <w:t xml:space="preserve">0.3162 </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bCs/>
                <w:color w:val="auto"/>
                <w:szCs w:val="21"/>
              </w:rPr>
              <w:t>CO</w:t>
            </w:r>
          </w:p>
        </w:tc>
        <w:tc>
          <w:tcPr>
            <w:tcW w:w="1069" w:type="dxa"/>
            <w:vAlign w:val="center"/>
          </w:tcPr>
          <w:p>
            <w:pPr>
              <w:jc w:val="center"/>
              <w:rPr>
                <w:color w:val="auto"/>
                <w:szCs w:val="21"/>
              </w:rPr>
            </w:pPr>
            <w:r>
              <w:rPr>
                <w:color w:val="auto"/>
                <w:szCs w:val="21"/>
              </w:rPr>
              <w:t>　/</w:t>
            </w:r>
          </w:p>
        </w:tc>
        <w:tc>
          <w:tcPr>
            <w:tcW w:w="1059" w:type="dxa"/>
            <w:vAlign w:val="center"/>
          </w:tcPr>
          <w:p>
            <w:pPr>
              <w:jc w:val="center"/>
              <w:rPr>
                <w:color w:val="auto"/>
                <w:szCs w:val="21"/>
              </w:rPr>
            </w:pPr>
            <w:r>
              <w:rPr>
                <w:color w:val="auto"/>
                <w:szCs w:val="21"/>
              </w:rPr>
              <w:t>0.0067</w:t>
            </w:r>
          </w:p>
        </w:tc>
        <w:tc>
          <w:tcPr>
            <w:tcW w:w="1029" w:type="dxa"/>
            <w:vAlign w:val="center"/>
          </w:tcPr>
          <w:p>
            <w:pPr>
              <w:jc w:val="center"/>
              <w:rPr>
                <w:color w:val="auto"/>
                <w:szCs w:val="21"/>
              </w:rPr>
            </w:pPr>
            <w:r>
              <w:rPr>
                <w:color w:val="auto"/>
                <w:kern w:val="0"/>
                <w:szCs w:val="21"/>
                <w:lang w:bidi="ar"/>
              </w:rPr>
              <w:t xml:space="preserve">0.0088 </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rFonts w:hint="eastAsia"/>
                <w:color w:val="auto"/>
                <w:szCs w:val="21"/>
              </w:rPr>
              <w:t>3.35E-03</w:t>
            </w:r>
          </w:p>
        </w:tc>
        <w:tc>
          <w:tcPr>
            <w:tcW w:w="1025" w:type="dxa"/>
            <w:vAlign w:val="center"/>
          </w:tcPr>
          <w:p>
            <w:pPr>
              <w:jc w:val="center"/>
              <w:rPr>
                <w:color w:val="auto"/>
                <w:szCs w:val="21"/>
              </w:rPr>
            </w:pPr>
            <w:r>
              <w:rPr>
                <w:color w:val="auto"/>
                <w:szCs w:val="21"/>
              </w:rPr>
              <w:t>0.0067</w:t>
            </w:r>
          </w:p>
        </w:tc>
        <w:tc>
          <w:tcPr>
            <w:tcW w:w="1005" w:type="dxa"/>
            <w:vAlign w:val="center"/>
          </w:tcPr>
          <w:p>
            <w:pPr>
              <w:jc w:val="center"/>
              <w:rPr>
                <w:color w:val="auto"/>
                <w:szCs w:val="21"/>
              </w:rPr>
            </w:pPr>
            <w:r>
              <w:rPr>
                <w:color w:val="auto"/>
                <w:kern w:val="0"/>
                <w:szCs w:val="21"/>
                <w:lang w:bidi="ar"/>
              </w:rPr>
              <w:t xml:space="preserve">0.0088 </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8</w:t>
            </w:r>
            <w:r>
              <w:rPr>
                <w:rFonts w:hint="eastAsia"/>
                <w:color w:val="auto"/>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1" w:type="dxa"/>
            <w:vMerge w:val="continue"/>
            <w:vAlign w:val="center"/>
          </w:tcPr>
          <w:p>
            <w:pPr>
              <w:snapToGrid w:val="0"/>
              <w:jc w:val="center"/>
              <w:rPr>
                <w:color w:val="auto"/>
                <w:szCs w:val="21"/>
              </w:rPr>
            </w:pPr>
          </w:p>
        </w:tc>
        <w:tc>
          <w:tcPr>
            <w:tcW w:w="1309" w:type="dxa"/>
            <w:vMerge w:val="continue"/>
            <w:vAlign w:val="center"/>
          </w:tcPr>
          <w:p>
            <w:pPr>
              <w:widowControl/>
              <w:jc w:val="center"/>
              <w:rPr>
                <w:color w:val="auto"/>
                <w:szCs w:val="21"/>
              </w:rPr>
            </w:pPr>
          </w:p>
        </w:tc>
        <w:tc>
          <w:tcPr>
            <w:tcW w:w="883" w:type="dxa"/>
            <w:vMerge w:val="continue"/>
            <w:vAlign w:val="center"/>
          </w:tcPr>
          <w:p>
            <w:pPr>
              <w:adjustRightInd w:val="0"/>
              <w:snapToGrid w:val="0"/>
              <w:jc w:val="center"/>
              <w:rPr>
                <w:color w:val="auto"/>
                <w:szCs w:val="21"/>
              </w:rPr>
            </w:pPr>
          </w:p>
        </w:tc>
        <w:tc>
          <w:tcPr>
            <w:tcW w:w="1298" w:type="dxa"/>
            <w:vAlign w:val="center"/>
          </w:tcPr>
          <w:p>
            <w:pPr>
              <w:jc w:val="center"/>
              <w:rPr>
                <w:color w:val="auto"/>
                <w:szCs w:val="21"/>
              </w:rPr>
            </w:pPr>
            <w:r>
              <w:rPr>
                <w:bCs/>
                <w:color w:val="auto"/>
                <w:szCs w:val="21"/>
              </w:rPr>
              <w:t>HC</w:t>
            </w:r>
          </w:p>
        </w:tc>
        <w:tc>
          <w:tcPr>
            <w:tcW w:w="1069" w:type="dxa"/>
            <w:vAlign w:val="center"/>
          </w:tcPr>
          <w:p>
            <w:pPr>
              <w:jc w:val="center"/>
              <w:rPr>
                <w:color w:val="auto"/>
                <w:szCs w:val="21"/>
              </w:rPr>
            </w:pPr>
            <w:r>
              <w:rPr>
                <w:color w:val="auto"/>
                <w:szCs w:val="21"/>
              </w:rPr>
              <w:t>　/</w:t>
            </w:r>
          </w:p>
        </w:tc>
        <w:tc>
          <w:tcPr>
            <w:tcW w:w="1059" w:type="dxa"/>
            <w:vAlign w:val="center"/>
          </w:tcPr>
          <w:p>
            <w:pPr>
              <w:jc w:val="center"/>
              <w:rPr>
                <w:color w:val="auto"/>
                <w:szCs w:val="21"/>
              </w:rPr>
            </w:pPr>
            <w:r>
              <w:rPr>
                <w:color w:val="auto"/>
                <w:szCs w:val="21"/>
              </w:rPr>
              <w:t>0.0100</w:t>
            </w:r>
          </w:p>
        </w:tc>
        <w:tc>
          <w:tcPr>
            <w:tcW w:w="1029" w:type="dxa"/>
            <w:vAlign w:val="center"/>
          </w:tcPr>
          <w:p>
            <w:pPr>
              <w:jc w:val="center"/>
              <w:rPr>
                <w:color w:val="auto"/>
                <w:szCs w:val="21"/>
              </w:rPr>
            </w:pPr>
            <w:r>
              <w:rPr>
                <w:color w:val="auto"/>
                <w:kern w:val="0"/>
                <w:szCs w:val="21"/>
                <w:lang w:bidi="ar"/>
              </w:rPr>
              <w:t xml:space="preserve">0.0132 </w:t>
            </w:r>
          </w:p>
        </w:tc>
        <w:tc>
          <w:tcPr>
            <w:tcW w:w="1458" w:type="dxa"/>
            <w:vAlign w:val="center"/>
          </w:tcPr>
          <w:p>
            <w:pPr>
              <w:jc w:val="center"/>
              <w:rPr>
                <w:color w:val="auto"/>
                <w:szCs w:val="21"/>
              </w:rPr>
            </w:pPr>
            <w:r>
              <w:rPr>
                <w:color w:val="auto"/>
                <w:szCs w:val="21"/>
              </w:rPr>
              <w:t>/</w:t>
            </w:r>
          </w:p>
        </w:tc>
        <w:tc>
          <w:tcPr>
            <w:tcW w:w="698" w:type="dxa"/>
            <w:vAlign w:val="center"/>
          </w:tcPr>
          <w:p>
            <w:pPr>
              <w:jc w:val="center"/>
              <w:rPr>
                <w:color w:val="auto"/>
                <w:szCs w:val="21"/>
              </w:rPr>
            </w:pPr>
            <w:r>
              <w:rPr>
                <w:color w:val="auto"/>
                <w:szCs w:val="21"/>
              </w:rPr>
              <w:t>/</w:t>
            </w:r>
          </w:p>
        </w:tc>
        <w:tc>
          <w:tcPr>
            <w:tcW w:w="1124" w:type="dxa"/>
            <w:vAlign w:val="center"/>
          </w:tcPr>
          <w:p>
            <w:pPr>
              <w:jc w:val="center"/>
              <w:rPr>
                <w:color w:val="auto"/>
                <w:szCs w:val="21"/>
              </w:rPr>
            </w:pPr>
            <w:r>
              <w:rPr>
                <w:color w:val="auto"/>
                <w:szCs w:val="21"/>
              </w:rPr>
              <w:t>/</w:t>
            </w:r>
          </w:p>
        </w:tc>
        <w:tc>
          <w:tcPr>
            <w:tcW w:w="1025" w:type="dxa"/>
            <w:vAlign w:val="center"/>
          </w:tcPr>
          <w:p>
            <w:pPr>
              <w:jc w:val="center"/>
              <w:rPr>
                <w:color w:val="auto"/>
                <w:szCs w:val="21"/>
              </w:rPr>
            </w:pPr>
            <w:r>
              <w:rPr>
                <w:color w:val="auto"/>
                <w:szCs w:val="21"/>
              </w:rPr>
              <w:t>0.0100</w:t>
            </w:r>
          </w:p>
        </w:tc>
        <w:tc>
          <w:tcPr>
            <w:tcW w:w="1005" w:type="dxa"/>
            <w:vAlign w:val="center"/>
          </w:tcPr>
          <w:p>
            <w:pPr>
              <w:jc w:val="center"/>
              <w:rPr>
                <w:color w:val="auto"/>
                <w:szCs w:val="21"/>
              </w:rPr>
            </w:pPr>
            <w:r>
              <w:rPr>
                <w:color w:val="auto"/>
                <w:kern w:val="0"/>
                <w:szCs w:val="21"/>
                <w:lang w:bidi="ar"/>
              </w:rPr>
              <w:t xml:space="preserve">0.0132 </w:t>
            </w:r>
          </w:p>
        </w:tc>
        <w:tc>
          <w:tcPr>
            <w:tcW w:w="777" w:type="dxa"/>
            <w:vAlign w:val="center"/>
          </w:tcPr>
          <w:p>
            <w:pPr>
              <w:jc w:val="center"/>
              <w:rPr>
                <w:color w:val="auto"/>
                <w:szCs w:val="21"/>
              </w:rPr>
            </w:pPr>
            <w:r>
              <w:rPr>
                <w:color w:val="auto"/>
                <w:szCs w:val="21"/>
              </w:rPr>
              <w:t>/</w:t>
            </w:r>
          </w:p>
        </w:tc>
        <w:tc>
          <w:tcPr>
            <w:tcW w:w="1065" w:type="dxa"/>
            <w:vAlign w:val="center"/>
          </w:tcPr>
          <w:p>
            <w:pPr>
              <w:snapToGrid w:val="0"/>
              <w:jc w:val="center"/>
              <w:rPr>
                <w:color w:val="auto"/>
                <w:szCs w:val="21"/>
              </w:rPr>
            </w:pPr>
            <w:r>
              <w:rPr>
                <w:color w:val="auto"/>
                <w:szCs w:val="21"/>
              </w:rPr>
              <w:t>/</w:t>
            </w:r>
          </w:p>
        </w:tc>
      </w:tr>
    </w:tbl>
    <w:p>
      <w:pPr>
        <w:pStyle w:val="32"/>
        <w:rPr>
          <w:color w:val="auto"/>
          <w:sz w:val="21"/>
          <w:szCs w:val="21"/>
        </w:rPr>
      </w:pPr>
      <w:r>
        <w:rPr>
          <w:rFonts w:hint="eastAsia"/>
          <w:color w:val="auto"/>
          <w:sz w:val="21"/>
          <w:szCs w:val="21"/>
        </w:rPr>
        <w:t>注：①面源无组织排放高度取车间平均高度。</w:t>
      </w:r>
    </w:p>
    <w:p>
      <w:pPr>
        <w:pStyle w:val="32"/>
        <w:ind w:firstLine="420" w:firstLineChars="200"/>
        <w:rPr>
          <w:color w:val="auto"/>
          <w:sz w:val="21"/>
          <w:szCs w:val="21"/>
        </w:rPr>
        <w:sectPr>
          <w:pgSz w:w="16838" w:h="11906" w:orient="landscape"/>
          <w:pgMar w:top="1167" w:right="1417" w:bottom="968" w:left="1417" w:header="850" w:footer="992" w:gutter="0"/>
          <w:pgBorders>
            <w:top w:val="none" w:sz="0" w:space="0"/>
            <w:left w:val="none" w:sz="0" w:space="0"/>
            <w:bottom w:val="none" w:sz="0" w:space="0"/>
            <w:right w:val="none" w:sz="0" w:space="0"/>
          </w:pgBorders>
          <w:cols w:space="0" w:num="1"/>
          <w:docGrid w:type="lines" w:linePitch="318" w:charSpace="0"/>
        </w:sectPr>
      </w:pPr>
      <w:r>
        <w:rPr>
          <w:rFonts w:hint="eastAsia"/>
          <w:color w:val="auto"/>
          <w:sz w:val="21"/>
          <w:szCs w:val="21"/>
        </w:rPr>
        <w:t>②</w:t>
      </w:r>
      <w:r>
        <w:rPr>
          <w:color w:val="auto"/>
          <w:sz w:val="21"/>
          <w:szCs w:val="21"/>
        </w:rPr>
        <w:t>无组织排放浓度使用《环境影响评价技术导则 大气环境》（HJ2.2-2018）推荐模式中的AER</w:t>
      </w:r>
      <w:r>
        <w:rPr>
          <w:rFonts w:hint="eastAsia"/>
          <w:color w:val="auto"/>
          <w:sz w:val="21"/>
          <w:szCs w:val="21"/>
          <w:lang w:val="en-US" w:eastAsia="zh-CN"/>
        </w:rPr>
        <w:t xml:space="preserve"> </w:t>
      </w:r>
      <w:r>
        <w:rPr>
          <w:color w:val="auto"/>
          <w:sz w:val="21"/>
          <w:szCs w:val="21"/>
        </w:rPr>
        <w:t>SCREEN估算得出。</w:t>
      </w:r>
    </w:p>
    <w:p>
      <w:pPr>
        <w:pStyle w:val="32"/>
        <w:spacing w:line="360" w:lineRule="auto"/>
        <w:ind w:firstLine="480" w:firstLineChars="200"/>
        <w:rPr>
          <w:color w:val="auto"/>
        </w:rPr>
      </w:pPr>
      <w:r>
        <w:rPr>
          <w:color w:val="auto"/>
        </w:rPr>
        <w:t>3、噪声源强分析</w:t>
      </w:r>
    </w:p>
    <w:p>
      <w:pPr>
        <w:pStyle w:val="32"/>
        <w:spacing w:line="360" w:lineRule="auto"/>
        <w:ind w:firstLine="480"/>
        <w:rPr>
          <w:color w:val="auto"/>
          <w:kern w:val="18"/>
        </w:rPr>
      </w:pPr>
      <w:r>
        <w:rPr>
          <w:color w:val="auto"/>
        </w:rPr>
        <w:t>项目在生产过程中，产生的噪声主要来源于</w:t>
      </w:r>
      <w:r>
        <w:rPr>
          <w:rFonts w:hint="eastAsia"/>
          <w:color w:val="auto"/>
        </w:rPr>
        <w:t>各</w:t>
      </w:r>
      <w:r>
        <w:rPr>
          <w:color w:val="auto"/>
        </w:rPr>
        <w:t>机械设备，根据厂家提供的资料及类比同类型企业，项目各机械设备产生的噪声值范围为</w:t>
      </w:r>
      <w:r>
        <w:rPr>
          <w:rFonts w:hint="eastAsia"/>
          <w:color w:val="auto"/>
        </w:rPr>
        <w:t>5</w:t>
      </w:r>
      <w:r>
        <w:rPr>
          <w:color w:val="auto"/>
        </w:rPr>
        <w:t>0~</w:t>
      </w:r>
      <w:r>
        <w:rPr>
          <w:rFonts w:hint="eastAsia"/>
          <w:color w:val="auto"/>
        </w:rPr>
        <w:t>8</w:t>
      </w:r>
      <w:r>
        <w:rPr>
          <w:color w:val="auto"/>
        </w:rPr>
        <w:t>0dB（A），</w:t>
      </w:r>
      <w:r>
        <w:rPr>
          <w:color w:val="auto"/>
          <w:kern w:val="18"/>
        </w:rPr>
        <w:t>项目设备噪声情况具体见下表。</w:t>
      </w:r>
    </w:p>
    <w:p>
      <w:pPr>
        <w:tabs>
          <w:tab w:val="left" w:pos="1081"/>
        </w:tabs>
        <w:adjustRightInd w:val="0"/>
        <w:spacing w:line="480" w:lineRule="exact"/>
        <w:jc w:val="center"/>
        <w:rPr>
          <w:b/>
          <w:color w:val="auto"/>
          <w:szCs w:val="21"/>
        </w:rPr>
      </w:pPr>
      <w:r>
        <w:rPr>
          <w:b/>
          <w:color w:val="auto"/>
          <w:szCs w:val="21"/>
        </w:rPr>
        <w:t>表</w:t>
      </w:r>
      <w:r>
        <w:rPr>
          <w:rFonts w:hint="eastAsia"/>
          <w:b/>
          <w:color w:val="auto"/>
          <w:szCs w:val="21"/>
        </w:rPr>
        <w:t>4.5-15</w:t>
      </w:r>
      <w:r>
        <w:rPr>
          <w:b/>
          <w:color w:val="auto"/>
          <w:szCs w:val="21"/>
        </w:rPr>
        <w:t xml:space="preserve"> </w:t>
      </w:r>
      <w:r>
        <w:rPr>
          <w:rFonts w:hint="eastAsia"/>
          <w:b/>
          <w:color w:val="auto"/>
          <w:szCs w:val="21"/>
        </w:rPr>
        <w:t xml:space="preserve"> </w:t>
      </w:r>
      <w:r>
        <w:rPr>
          <w:b/>
          <w:color w:val="auto"/>
          <w:szCs w:val="21"/>
        </w:rPr>
        <w:t>项目设备噪声情况一览表</w:t>
      </w:r>
      <w:r>
        <w:rPr>
          <w:rFonts w:hint="eastAsia"/>
          <w:b/>
          <w:color w:val="auto"/>
          <w:szCs w:val="21"/>
        </w:rPr>
        <w:t>（单位：</w:t>
      </w:r>
      <w:r>
        <w:rPr>
          <w:b/>
          <w:color w:val="auto"/>
          <w:szCs w:val="21"/>
        </w:rPr>
        <w:t>dB（A）</w:t>
      </w:r>
      <w:r>
        <w:rPr>
          <w:rFonts w:hint="eastAsia"/>
          <w:b/>
          <w:color w:val="auto"/>
          <w:szCs w:val="21"/>
        </w:rPr>
        <w:t>）</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0"/>
        <w:gridCol w:w="3029"/>
        <w:gridCol w:w="1579"/>
        <w:gridCol w:w="1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生产线</w:t>
            </w:r>
          </w:p>
        </w:tc>
        <w:tc>
          <w:tcPr>
            <w:tcW w:w="30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设备名称</w:t>
            </w:r>
          </w:p>
        </w:tc>
        <w:tc>
          <w:tcPr>
            <w:tcW w:w="157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数量</w:t>
            </w:r>
          </w:p>
        </w:tc>
        <w:tc>
          <w:tcPr>
            <w:tcW w:w="192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距声源外1m声级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restart"/>
            <w:tcBorders>
              <w:left w:val="single" w:color="auto" w:sz="4" w:space="0"/>
              <w:right w:val="single" w:color="auto" w:sz="4" w:space="0"/>
            </w:tcBorders>
            <w:vAlign w:val="center"/>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湿式破碎生产线</w:t>
            </w: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一级破碎机</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皮带输送机</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自控制柜</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二级破碎机（粉碎机）</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24台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自控制柜</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分选摇床</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80台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脱水机（甩干机）</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渣浆泵</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20台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清水泵</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分渣桶</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24台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ascii="Times New Roman" w:hAnsi="Times New Roman" w:cs="Times New Roman"/>
                <w:color w:val="auto"/>
              </w:rPr>
            </w:pPr>
            <w:r>
              <w:rPr>
                <w:rFonts w:ascii="Times New Roman" w:hAnsi="Times New Roman" w:cs="Times New Roman"/>
                <w:color w:val="auto"/>
              </w:rPr>
              <w:t>总控制柜</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8台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压滤机</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rFonts w:hint="eastAsia"/>
                <w:color w:val="auto"/>
                <w:szCs w:val="21"/>
                <w:lang w:val="en-US" w:eastAsia="zh-CN"/>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tcPr>
          <w:p>
            <w:pPr>
              <w:pStyle w:val="50"/>
              <w:spacing w:line="300" w:lineRule="auto"/>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烘干设备</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rFonts w:hint="eastAsia"/>
                <w:color w:val="auto"/>
                <w:szCs w:val="21"/>
                <w:lang w:val="en-US" w:eastAsia="zh-CN"/>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tcPr>
          <w:p>
            <w:pPr>
              <w:pStyle w:val="50"/>
              <w:spacing w:line="300" w:lineRule="auto"/>
              <w:jc w:val="center"/>
              <w:rPr>
                <w:rFonts w:ascii="Times New Roman" w:hAnsi="Times New Roman" w:cs="Times New Roman"/>
                <w:color w:val="auto"/>
              </w:rPr>
            </w:pPr>
          </w:p>
        </w:tc>
        <w:tc>
          <w:tcPr>
            <w:tcW w:w="30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铲车</w:t>
            </w:r>
          </w:p>
        </w:tc>
        <w:tc>
          <w:tcPr>
            <w:tcW w:w="1579" w:type="dxa"/>
            <w:tcBorders>
              <w:top w:val="single" w:color="auto" w:sz="4" w:space="0"/>
              <w:left w:val="single" w:color="auto" w:sz="4" w:space="0"/>
              <w:bottom w:val="single" w:color="auto" w:sz="4" w:space="0"/>
              <w:right w:val="single" w:color="auto" w:sz="4" w:space="0"/>
            </w:tcBorders>
          </w:tcPr>
          <w:p>
            <w:pPr>
              <w:spacing w:line="300" w:lineRule="auto"/>
              <w:ind w:left="-63" w:leftChars="-30" w:right="-63" w:rightChars="-30"/>
              <w:jc w:val="center"/>
              <w:rPr>
                <w:color w:val="auto"/>
                <w:szCs w:val="21"/>
              </w:rPr>
            </w:pPr>
            <w:r>
              <w:rPr>
                <w:color w:val="auto"/>
                <w:szCs w:val="21"/>
              </w:rPr>
              <w:t>3台</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90" w:type="dxa"/>
            <w:vMerge w:val="restart"/>
            <w:tcBorders>
              <w:top w:val="single" w:color="auto" w:sz="4" w:space="0"/>
              <w:left w:val="single" w:color="auto" w:sz="4" w:space="0"/>
              <w:right w:val="single" w:color="auto" w:sz="4" w:space="0"/>
            </w:tcBorders>
            <w:vAlign w:val="center"/>
          </w:tcPr>
          <w:p>
            <w:pPr>
              <w:adjustRightInd w:val="0"/>
              <w:snapToGrid w:val="0"/>
              <w:spacing w:line="300" w:lineRule="auto"/>
              <w:jc w:val="center"/>
              <w:rPr>
                <w:color w:val="auto"/>
                <w:szCs w:val="21"/>
              </w:rPr>
            </w:pPr>
            <w:r>
              <w:rPr>
                <w:color w:val="auto"/>
                <w:szCs w:val="21"/>
              </w:rPr>
              <w:t>防水卷材生产线</w:t>
            </w: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胎体展开装置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胎体搭接装置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胎体储存装置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胎体烘干装置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自动纠偏装置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2套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张力控制系统</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预浸装置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浸涂装置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覆膜装置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悬浮冷却装置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滚筒式冷却装置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成品贮存装置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弹跳缓冲装置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szCs w:val="21"/>
              </w:rPr>
            </w:pPr>
            <w:r>
              <w:rPr>
                <w:bCs/>
                <w:color w:val="auto"/>
                <w:szCs w:val="21"/>
              </w:rPr>
              <w:t>2套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传动部分</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全自动打卷机</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操作平台</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配套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改性沥青搅拌罐</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3套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物料提升机</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胶体磨</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电气控制</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配套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管线阀门</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配套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混合料泵</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2套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过滤器</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2套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沥清卸料加温池</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沥青储存罐</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沥青加温盘管及输装置</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软化油罐</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rFonts w:hint="eastAsia"/>
                <w:color w:val="auto"/>
                <w:szCs w:val="21"/>
              </w:rPr>
              <w:t>导热油炉</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石粉料仓</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石粉上料蛟龙</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石粉输送蛟龙</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胶粉上料蛟龙</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胶粉输送蛟龙</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1套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990" w:type="dxa"/>
            <w:vMerge w:val="continue"/>
            <w:tcBorders>
              <w:left w:val="single" w:color="auto" w:sz="4" w:space="0"/>
              <w:right w:val="single" w:color="auto" w:sz="4" w:space="0"/>
            </w:tcBorders>
            <w:vAlign w:val="center"/>
          </w:tcPr>
          <w:p>
            <w:pPr>
              <w:adjustRightInd w:val="0"/>
              <w:snapToGrid w:val="0"/>
              <w:spacing w:line="300" w:lineRule="auto"/>
              <w:jc w:val="center"/>
              <w:rPr>
                <w:color w:val="auto"/>
                <w:szCs w:val="21"/>
              </w:rPr>
            </w:pPr>
          </w:p>
        </w:tc>
        <w:tc>
          <w:tcPr>
            <w:tcW w:w="302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液下下料蛟龙</w:t>
            </w:r>
          </w:p>
        </w:tc>
        <w:tc>
          <w:tcPr>
            <w:tcW w:w="157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5套</w:t>
            </w:r>
          </w:p>
        </w:tc>
        <w:tc>
          <w:tcPr>
            <w:tcW w:w="1924"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szCs w:val="21"/>
              </w:rPr>
            </w:pPr>
            <w:r>
              <w:rPr>
                <w:color w:val="auto"/>
                <w:kern w:val="0"/>
                <w:szCs w:val="21"/>
                <w:lang w:bidi="ar"/>
              </w:rPr>
              <w:t>60</w:t>
            </w:r>
          </w:p>
        </w:tc>
      </w:tr>
    </w:tbl>
    <w:p>
      <w:pPr>
        <w:pStyle w:val="32"/>
        <w:spacing w:line="360" w:lineRule="auto"/>
        <w:ind w:firstLine="480" w:firstLineChars="200"/>
        <w:rPr>
          <w:color w:val="auto"/>
        </w:rPr>
      </w:pPr>
      <w:r>
        <w:rPr>
          <w:color w:val="auto"/>
        </w:rPr>
        <w:t>4、一般固体废物源强分析</w:t>
      </w:r>
    </w:p>
    <w:p>
      <w:pPr>
        <w:pStyle w:val="32"/>
        <w:spacing w:line="360" w:lineRule="auto"/>
        <w:ind w:firstLine="480" w:firstLineChars="200"/>
        <w:rPr>
          <w:color w:val="auto"/>
        </w:rPr>
      </w:pPr>
      <w:r>
        <w:rPr>
          <w:color w:val="auto"/>
        </w:rPr>
        <w:t>本项目产生的固体废物主要如下：</w:t>
      </w:r>
    </w:p>
    <w:p>
      <w:pPr>
        <w:pStyle w:val="32"/>
        <w:spacing w:line="360" w:lineRule="auto"/>
        <w:ind w:firstLine="480" w:firstLineChars="200"/>
        <w:rPr>
          <w:color w:val="auto"/>
        </w:rPr>
      </w:pPr>
      <w:r>
        <w:rPr>
          <w:rFonts w:hint="eastAsia"/>
          <w:color w:val="auto"/>
        </w:rPr>
        <w:t>（1）</w:t>
      </w:r>
      <w:r>
        <w:rPr>
          <w:color w:val="auto"/>
        </w:rPr>
        <w:t>员工生活垃圾</w:t>
      </w:r>
    </w:p>
    <w:p>
      <w:pPr>
        <w:pStyle w:val="32"/>
        <w:spacing w:line="360" w:lineRule="auto"/>
        <w:ind w:firstLine="480" w:firstLineChars="200"/>
        <w:rPr>
          <w:color w:val="auto"/>
        </w:rPr>
      </w:pPr>
      <w:r>
        <w:rPr>
          <w:color w:val="auto"/>
        </w:rPr>
        <w:t>项目</w:t>
      </w:r>
      <w:r>
        <w:rPr>
          <w:rFonts w:hint="eastAsia"/>
          <w:color w:val="auto"/>
        </w:rPr>
        <w:t>迁</w:t>
      </w:r>
      <w:r>
        <w:rPr>
          <w:color w:val="auto"/>
        </w:rPr>
        <w:t>建后</w:t>
      </w:r>
      <w:r>
        <w:rPr>
          <w:rFonts w:hint="eastAsia"/>
          <w:color w:val="auto"/>
        </w:rPr>
        <w:t>有</w:t>
      </w:r>
      <w:r>
        <w:rPr>
          <w:color w:val="auto"/>
        </w:rPr>
        <w:t>员工</w:t>
      </w:r>
      <w:r>
        <w:rPr>
          <w:rFonts w:hint="eastAsia"/>
          <w:color w:val="auto"/>
        </w:rPr>
        <w:t>60</w:t>
      </w:r>
      <w:r>
        <w:rPr>
          <w:color w:val="auto"/>
        </w:rPr>
        <w:t>人，参照《第一次全国污染源普查城镇生活源产排污系数手册》的产污系数，本项目所在区属于“二区3类”地区，居民产生生活垃圾平均按0.51kg/人·计算，则本项目员工每日共产生生活垃圾30.6kg，按一年工作330d，则生活垃圾产生量约为10.098t/a，交由当地市政环卫部门处理。</w:t>
      </w:r>
    </w:p>
    <w:p>
      <w:pPr>
        <w:widowControl/>
        <w:tabs>
          <w:tab w:val="left" w:pos="3600"/>
          <w:tab w:val="left" w:pos="6845"/>
        </w:tabs>
        <w:adjustRightInd w:val="0"/>
        <w:snapToGrid w:val="0"/>
        <w:spacing w:line="360" w:lineRule="auto"/>
        <w:ind w:firstLine="480" w:firstLineChars="200"/>
        <w:rPr>
          <w:color w:val="auto"/>
          <w:kern w:val="0"/>
          <w:sz w:val="24"/>
        </w:rPr>
      </w:pPr>
      <w:r>
        <w:rPr>
          <w:color w:val="auto"/>
          <w:kern w:val="0"/>
          <w:sz w:val="24"/>
        </w:rPr>
        <w:t>（2）废塑料膜</w:t>
      </w:r>
    </w:p>
    <w:p>
      <w:pPr>
        <w:pStyle w:val="2"/>
        <w:spacing w:line="360" w:lineRule="auto"/>
        <w:ind w:left="0" w:leftChars="0" w:firstLine="480"/>
        <w:rPr>
          <w:rFonts w:ascii="Times New Roman"/>
          <w:color w:val="auto"/>
          <w:sz w:val="24"/>
        </w:rPr>
      </w:pPr>
      <w:r>
        <w:rPr>
          <w:rFonts w:ascii="Times New Roman"/>
          <w:color w:val="auto"/>
          <w:sz w:val="24"/>
        </w:rPr>
        <w:t>项目在检查工序中将覆盖在覆铜板上的塑料膜撕下，形成废塑料膜</w:t>
      </w:r>
      <w:r>
        <w:rPr>
          <w:rFonts w:hint="eastAsia" w:ascii="Times New Roman"/>
          <w:color w:val="auto"/>
          <w:sz w:val="24"/>
          <w:lang w:eastAsia="zh-CN"/>
        </w:rPr>
        <w:t>。</w:t>
      </w:r>
      <w:r>
        <w:rPr>
          <w:rFonts w:hint="eastAsia" w:ascii="Times New Roman"/>
          <w:color w:val="auto"/>
          <w:sz w:val="24"/>
          <w:lang w:val="en-US" w:eastAsia="zh-CN"/>
        </w:rPr>
        <w:t>由上文可知，现有项目的废树脂粉中塑料膜含量为0.47%，若本项目与原项目一样将含塑料膜的覆铜板直接破碎，则废树脂粉中塑料膜含量与现有项目相当。本项目年处理覆铜板3万t/a，处理量为现有项目的10倍，则</w:t>
      </w:r>
      <w:r>
        <w:rPr>
          <w:rFonts w:ascii="Times New Roman"/>
          <w:color w:val="auto"/>
          <w:sz w:val="24"/>
        </w:rPr>
        <w:t>覆盖在覆铜板上的塑料膜</w:t>
      </w:r>
      <w:r>
        <w:rPr>
          <w:rFonts w:hint="eastAsia" w:ascii="Times New Roman"/>
          <w:color w:val="auto"/>
          <w:sz w:val="24"/>
          <w:lang w:val="en-US" w:eastAsia="zh-CN"/>
        </w:rPr>
        <w:t>的量亦为原项目的10倍。故本项目产生的废塑料膜</w:t>
      </w:r>
      <w:r>
        <w:rPr>
          <w:rFonts w:ascii="Times New Roman"/>
          <w:color w:val="auto"/>
          <w:sz w:val="24"/>
        </w:rPr>
        <w:t>产生量</w:t>
      </w:r>
      <w:r>
        <w:rPr>
          <w:rFonts w:hint="eastAsia" w:ascii="Times New Roman"/>
          <w:color w:val="auto"/>
          <w:sz w:val="24"/>
          <w:lang w:val="en-US" w:eastAsia="zh-CN"/>
        </w:rPr>
        <w:t>约30</w:t>
      </w:r>
      <w:r>
        <w:rPr>
          <w:rFonts w:ascii="Times New Roman"/>
          <w:color w:val="auto"/>
          <w:sz w:val="24"/>
        </w:rPr>
        <w:t>t/a，项目拟将其收集后外售给回收单位。</w:t>
      </w:r>
    </w:p>
    <w:p>
      <w:pPr>
        <w:widowControl/>
        <w:tabs>
          <w:tab w:val="left" w:pos="3600"/>
          <w:tab w:val="left" w:pos="6845"/>
        </w:tabs>
        <w:adjustRightInd w:val="0"/>
        <w:snapToGrid w:val="0"/>
        <w:spacing w:line="360" w:lineRule="auto"/>
        <w:ind w:firstLine="480" w:firstLineChars="200"/>
        <w:rPr>
          <w:color w:val="auto"/>
          <w:kern w:val="0"/>
          <w:sz w:val="24"/>
        </w:rPr>
      </w:pPr>
      <w:r>
        <w:rPr>
          <w:color w:val="auto"/>
          <w:kern w:val="0"/>
          <w:sz w:val="24"/>
        </w:rPr>
        <w:t>（3）包装废弃物</w:t>
      </w:r>
    </w:p>
    <w:p>
      <w:pPr>
        <w:pStyle w:val="32"/>
        <w:spacing w:line="360" w:lineRule="auto"/>
        <w:ind w:firstLine="480" w:firstLineChars="200"/>
        <w:rPr>
          <w:color w:val="auto"/>
        </w:rPr>
      </w:pPr>
      <w:r>
        <w:rPr>
          <w:rFonts w:hint="eastAsia"/>
          <w:color w:val="auto"/>
        </w:rPr>
        <w:t>项目的滑石粉、SBS颗粒、SBR颗粒等原料使用蛇皮袋等进行包装，项目使用这些原料后，这些材料的包装袋将成为包装废弃物，据建设单位提供的资料，项目迁改扩建后，将产生包装废弃物5t/a，项目拟将其收集后外售给回收单位。</w:t>
      </w:r>
    </w:p>
    <w:p>
      <w:pPr>
        <w:pStyle w:val="32"/>
        <w:spacing w:line="360" w:lineRule="auto"/>
        <w:ind w:firstLine="480" w:firstLineChars="200"/>
        <w:rPr>
          <w:color w:val="auto"/>
        </w:rPr>
      </w:pPr>
      <w:r>
        <w:rPr>
          <w:rFonts w:hint="eastAsia"/>
          <w:color w:val="auto"/>
        </w:rPr>
        <w:t>（4）更换的布袋</w:t>
      </w:r>
    </w:p>
    <w:p>
      <w:pPr>
        <w:pStyle w:val="32"/>
        <w:spacing w:line="360" w:lineRule="auto"/>
        <w:ind w:firstLine="480" w:firstLineChars="200"/>
        <w:rPr>
          <w:color w:val="auto"/>
        </w:rPr>
      </w:pPr>
      <w:r>
        <w:rPr>
          <w:rFonts w:hint="eastAsia"/>
          <w:color w:val="auto"/>
        </w:rPr>
        <w:t>旋风布袋除尘器中的布袋需要定期更换，从除尘器上取下时布袋粘有较多的铜粉和废树脂粉，为使物料尽最大可能利用，同时减少废物产生量。项目拟将其放入湿式破碎生产线中的沉淀池中进行充分的清洗，清洗后粘附的铜粉和废树脂粉已被转移至沉淀池中，铜粉将作为产品外售，废树脂粉将被作为原料用于卷材的生产。更换的布袋晾干后外售给回收单位。根据建设单位提供的资料，更换的布袋约0.02t/a。</w:t>
      </w:r>
    </w:p>
    <w:p>
      <w:pPr>
        <w:pStyle w:val="32"/>
        <w:spacing w:line="360" w:lineRule="auto"/>
        <w:ind w:firstLine="480" w:firstLineChars="200"/>
        <w:rPr>
          <w:color w:val="auto"/>
        </w:rPr>
      </w:pPr>
      <w:r>
        <w:rPr>
          <w:rFonts w:hint="eastAsia"/>
          <w:color w:val="auto"/>
        </w:rPr>
        <w:t>（5）化粪池污泥</w:t>
      </w:r>
    </w:p>
    <w:p>
      <w:pPr>
        <w:pStyle w:val="14"/>
        <w:spacing w:line="360" w:lineRule="auto"/>
        <w:ind w:firstLineChars="200"/>
        <w:rPr>
          <w:color w:val="auto"/>
        </w:rPr>
      </w:pPr>
      <w:r>
        <w:rPr>
          <w:color w:val="auto"/>
        </w:rPr>
        <w:t>本项目的生活污水主要由三级化粪池处理，大量悬浮在水中的有机、无机污染物和病菌、病毒、寄生虫卵等在处理过程中沉淀分离出来形成污泥。污泥产生量与污水水质其处理深度有关，每处理1kg的BOD</w:t>
      </w:r>
      <w:r>
        <w:rPr>
          <w:color w:val="auto"/>
          <w:vertAlign w:val="subscript"/>
        </w:rPr>
        <w:t>5</w:t>
      </w:r>
      <w:r>
        <w:rPr>
          <w:color w:val="auto"/>
        </w:rPr>
        <w:t>产生0.3~0.6kg污泥。本项目生活污水中BOD</w:t>
      </w:r>
      <w:r>
        <w:rPr>
          <w:color w:val="auto"/>
          <w:vertAlign w:val="subscript"/>
        </w:rPr>
        <w:t>5</w:t>
      </w:r>
      <w:r>
        <w:rPr>
          <w:color w:val="auto"/>
        </w:rPr>
        <w:t>的处理量为</w:t>
      </w:r>
      <w:r>
        <w:rPr>
          <w:rFonts w:hint="eastAsia"/>
          <w:color w:val="auto"/>
        </w:rPr>
        <w:t>0.1426</w:t>
      </w:r>
      <w:r>
        <w:rPr>
          <w:color w:val="auto"/>
        </w:rPr>
        <w:t>t/a，污泥产生系数以0.6算，则污泥量约为</w:t>
      </w:r>
      <w:r>
        <w:rPr>
          <w:rFonts w:hint="eastAsia"/>
          <w:color w:val="auto"/>
        </w:rPr>
        <w:t>0.08556</w:t>
      </w:r>
      <w:r>
        <w:rPr>
          <w:color w:val="auto"/>
        </w:rPr>
        <w:t>t/a。项目拟定期委托专业处理公司使用吸粪车对其进行清理并外运。</w:t>
      </w:r>
    </w:p>
    <w:p>
      <w:pPr>
        <w:pStyle w:val="32"/>
        <w:spacing w:line="360" w:lineRule="auto"/>
        <w:ind w:firstLine="480" w:firstLineChars="200"/>
        <w:rPr>
          <w:color w:val="auto"/>
        </w:rPr>
      </w:pPr>
      <w:r>
        <w:rPr>
          <w:color w:val="auto"/>
        </w:rPr>
        <w:t>6、危险废物源强分析</w:t>
      </w:r>
    </w:p>
    <w:p>
      <w:pPr>
        <w:pStyle w:val="32"/>
        <w:spacing w:line="360" w:lineRule="auto"/>
        <w:ind w:firstLine="480" w:firstLineChars="200"/>
        <w:rPr>
          <w:color w:val="auto"/>
        </w:rPr>
      </w:pPr>
      <w:r>
        <w:rPr>
          <w:color w:val="auto"/>
        </w:rPr>
        <w:t>（1）含油抹布和手套</w:t>
      </w:r>
    </w:p>
    <w:p>
      <w:pPr>
        <w:snapToGrid w:val="0"/>
        <w:spacing w:line="360" w:lineRule="auto"/>
        <w:ind w:firstLine="480" w:firstLineChars="200"/>
        <w:rPr>
          <w:color w:val="auto"/>
          <w:sz w:val="24"/>
        </w:rPr>
      </w:pPr>
      <w:r>
        <w:rPr>
          <w:color w:val="auto"/>
          <w:sz w:val="24"/>
        </w:rPr>
        <w:t>本项目各种机械设备在使用过程中均需用到抹布粘上润滑油擦拭保养，此过程会产生含油废弃抹布，员工工作穿戴的手套也会因粘有油污和破损被遗弃。沾上</w:t>
      </w:r>
      <w:r>
        <w:rPr>
          <w:rFonts w:hint="eastAsia"/>
          <w:color w:val="auto"/>
          <w:sz w:val="24"/>
        </w:rPr>
        <w:t>润滑油</w:t>
      </w:r>
      <w:r>
        <w:rPr>
          <w:color w:val="auto"/>
          <w:sz w:val="24"/>
        </w:rPr>
        <w:t>等油污后含油废抹布和手套产生量约为0.015t/a。含油废弃抹布属危险废物，废物类别为HW49，废物代码900-041-49，建设单位应将其独立收集，尽可能避免其混入生活垃圾中，放于危险废物仓库，定期交给有资质单位进行处理。</w:t>
      </w:r>
    </w:p>
    <w:p>
      <w:pPr>
        <w:pStyle w:val="32"/>
        <w:spacing w:line="360" w:lineRule="auto"/>
        <w:ind w:firstLine="480" w:firstLineChars="200"/>
        <w:rPr>
          <w:color w:val="auto"/>
        </w:rPr>
      </w:pPr>
      <w:r>
        <w:rPr>
          <w:color w:val="auto"/>
        </w:rPr>
        <w:t>（2）</w:t>
      </w:r>
      <w:r>
        <w:rPr>
          <w:rFonts w:hint="eastAsia"/>
          <w:color w:val="auto"/>
        </w:rPr>
        <w:t>废矿物油</w:t>
      </w:r>
    </w:p>
    <w:p>
      <w:pPr>
        <w:pStyle w:val="32"/>
        <w:spacing w:line="360" w:lineRule="auto"/>
        <w:ind w:firstLine="480"/>
        <w:rPr>
          <w:color w:val="auto"/>
          <w:kern w:val="2"/>
        </w:rPr>
      </w:pPr>
      <w:r>
        <w:rPr>
          <w:color w:val="auto"/>
          <w:kern w:val="2"/>
        </w:rPr>
        <w:t>项目在生产过程中需要使用</w:t>
      </w:r>
      <w:r>
        <w:rPr>
          <w:rFonts w:hint="eastAsia"/>
          <w:color w:val="auto"/>
          <w:kern w:val="2"/>
        </w:rPr>
        <w:t>润滑油</w:t>
      </w:r>
      <w:r>
        <w:rPr>
          <w:color w:val="auto"/>
          <w:kern w:val="2"/>
        </w:rPr>
        <w:t>对机械设备进行维护，此过程中会产生</w:t>
      </w:r>
      <w:r>
        <w:rPr>
          <w:rFonts w:hint="eastAsia"/>
          <w:color w:val="auto"/>
          <w:kern w:val="2"/>
        </w:rPr>
        <w:t>废矿物油</w:t>
      </w:r>
      <w:r>
        <w:rPr>
          <w:color w:val="auto"/>
          <w:kern w:val="2"/>
        </w:rPr>
        <w:t>。项目设备的</w:t>
      </w:r>
      <w:r>
        <w:rPr>
          <w:rFonts w:hint="eastAsia"/>
          <w:color w:val="auto"/>
        </w:rPr>
        <w:t>润滑油</w:t>
      </w:r>
      <w:r>
        <w:rPr>
          <w:color w:val="auto"/>
        </w:rPr>
        <w:t>需每个季度更换1次，每次更换量为19kg，预计</w:t>
      </w:r>
      <w:r>
        <w:rPr>
          <w:rFonts w:hint="eastAsia"/>
          <w:color w:val="auto"/>
        </w:rPr>
        <w:t>废矿物油</w:t>
      </w:r>
      <w:r>
        <w:rPr>
          <w:color w:val="auto"/>
          <w:kern w:val="2"/>
        </w:rPr>
        <w:t>产生量为0.076t/a。</w:t>
      </w:r>
      <w:r>
        <w:rPr>
          <w:rFonts w:hint="eastAsia"/>
          <w:color w:val="auto"/>
          <w:kern w:val="2"/>
        </w:rPr>
        <w:t>此外，项目每年需更换导热油1t/a。则项目合计产生废矿物油1.076t/a。</w:t>
      </w:r>
    </w:p>
    <w:p>
      <w:pPr>
        <w:pStyle w:val="32"/>
        <w:spacing w:line="360" w:lineRule="auto"/>
        <w:rPr>
          <w:color w:val="auto"/>
          <w:kern w:val="2"/>
        </w:rPr>
      </w:pPr>
      <w:r>
        <w:rPr>
          <w:rFonts w:hint="eastAsia"/>
          <w:color w:val="auto"/>
          <w:kern w:val="2"/>
        </w:rPr>
        <w:t>废矿物油</w:t>
      </w:r>
      <w:r>
        <w:rPr>
          <w:color w:val="auto"/>
          <w:kern w:val="2"/>
        </w:rPr>
        <w:t>属于危险废物，类别为HW08，废物代码900-249-08。应暂存于危废暂存间，定期交由有资质的单位进行处理。</w:t>
      </w:r>
    </w:p>
    <w:p>
      <w:pPr>
        <w:pStyle w:val="32"/>
        <w:spacing w:line="360" w:lineRule="auto"/>
        <w:ind w:firstLine="480" w:firstLineChars="200"/>
        <w:jc w:val="both"/>
        <w:rPr>
          <w:color w:val="auto"/>
        </w:rPr>
      </w:pPr>
      <w:r>
        <w:rPr>
          <w:color w:val="auto"/>
        </w:rPr>
        <w:t>（3）空</w:t>
      </w:r>
      <w:r>
        <w:rPr>
          <w:rFonts w:hint="eastAsia"/>
          <w:color w:val="auto"/>
        </w:rPr>
        <w:t>油</w:t>
      </w:r>
      <w:r>
        <w:rPr>
          <w:color w:val="auto"/>
        </w:rPr>
        <w:t>桶</w:t>
      </w:r>
    </w:p>
    <w:p>
      <w:pPr>
        <w:pStyle w:val="32"/>
        <w:spacing w:line="360" w:lineRule="auto"/>
        <w:ind w:firstLine="480"/>
        <w:jc w:val="both"/>
        <w:rPr>
          <w:color w:val="auto"/>
        </w:rPr>
      </w:pPr>
      <w:r>
        <w:rPr>
          <w:color w:val="auto"/>
        </w:rPr>
        <w:t>本项目的</w:t>
      </w:r>
      <w:r>
        <w:rPr>
          <w:rFonts w:hint="eastAsia"/>
          <w:color w:val="auto"/>
        </w:rPr>
        <w:t>润滑油</w:t>
      </w:r>
      <w:r>
        <w:rPr>
          <w:color w:val="auto"/>
        </w:rPr>
        <w:t>使用量为0.08t/a，</w:t>
      </w:r>
      <w:r>
        <w:rPr>
          <w:rFonts w:hint="eastAsia"/>
          <w:color w:val="auto"/>
        </w:rPr>
        <w:t>项目的导热油使用量为1t/a，润滑油和导热油均</w:t>
      </w:r>
      <w:r>
        <w:rPr>
          <w:color w:val="auto"/>
        </w:rPr>
        <w:t>使用聚乙烯桶盛装，净含量为40kg/桶，共产生空</w:t>
      </w:r>
      <w:r>
        <w:rPr>
          <w:rFonts w:hint="eastAsia"/>
          <w:color w:val="auto"/>
        </w:rPr>
        <w:t>油</w:t>
      </w:r>
      <w:r>
        <w:rPr>
          <w:color w:val="auto"/>
        </w:rPr>
        <w:t>桶2</w:t>
      </w:r>
      <w:r>
        <w:rPr>
          <w:rFonts w:hint="eastAsia"/>
          <w:color w:val="auto"/>
        </w:rPr>
        <w:t>7</w:t>
      </w:r>
      <w:r>
        <w:rPr>
          <w:color w:val="auto"/>
        </w:rPr>
        <w:t>个，每个按1kg计算，则项目产生的</w:t>
      </w:r>
      <w:r>
        <w:rPr>
          <w:rFonts w:hint="eastAsia"/>
          <w:color w:val="auto"/>
        </w:rPr>
        <w:t>空油桶</w:t>
      </w:r>
      <w:r>
        <w:rPr>
          <w:color w:val="auto"/>
        </w:rPr>
        <w:t>0.0</w:t>
      </w:r>
      <w:r>
        <w:rPr>
          <w:rFonts w:hint="eastAsia"/>
          <w:color w:val="auto"/>
        </w:rPr>
        <w:t>27</w:t>
      </w:r>
      <w:r>
        <w:rPr>
          <w:color w:val="auto"/>
        </w:rPr>
        <w:t>t/a。</w:t>
      </w:r>
      <w:r>
        <w:rPr>
          <w:rFonts w:hint="eastAsia"/>
          <w:color w:val="auto"/>
        </w:rPr>
        <w:t>空油桶</w:t>
      </w:r>
      <w:r>
        <w:rPr>
          <w:color w:val="auto"/>
        </w:rPr>
        <w:t>属危险废物，废物类别为HW49，废物代码900-041-49，建设单位应妥善收集，存放于危险废物暂存间，定期交有资质单位处理。</w:t>
      </w:r>
    </w:p>
    <w:p>
      <w:pPr>
        <w:pStyle w:val="2"/>
        <w:ind w:left="0" w:leftChars="0" w:firstLine="480" w:firstLineChars="0"/>
        <w:rPr>
          <w:rFonts w:ascii="Times New Roman"/>
          <w:color w:val="auto"/>
          <w:sz w:val="24"/>
        </w:rPr>
      </w:pPr>
      <w:r>
        <w:rPr>
          <w:rFonts w:hint="eastAsia" w:ascii="Times New Roman"/>
          <w:color w:val="auto"/>
          <w:sz w:val="24"/>
        </w:rPr>
        <w:t>（4）废UV灯管</w:t>
      </w:r>
    </w:p>
    <w:p>
      <w:pPr>
        <w:pStyle w:val="32"/>
        <w:spacing w:line="360" w:lineRule="auto"/>
        <w:ind w:firstLine="480"/>
        <w:rPr>
          <w:color w:val="auto"/>
        </w:rPr>
      </w:pPr>
      <w:r>
        <w:rPr>
          <w:color w:val="auto"/>
        </w:rPr>
        <w:t>项目使用</w:t>
      </w:r>
      <w:r>
        <w:rPr>
          <w:color w:val="auto"/>
          <w:kern w:val="2"/>
        </w:rPr>
        <w:t>UV光解</w:t>
      </w:r>
      <w:r>
        <w:rPr>
          <w:rFonts w:hint="eastAsia"/>
          <w:color w:val="auto"/>
          <w:kern w:val="2"/>
        </w:rPr>
        <w:t>对废气进行处理，</w:t>
      </w:r>
      <w:r>
        <w:rPr>
          <w:color w:val="auto"/>
          <w:kern w:val="2"/>
        </w:rPr>
        <w:t>使用过程中UV灯管需要定期更换，会产生废UV灯管。</w:t>
      </w:r>
      <w:r>
        <w:rPr>
          <w:color w:val="auto"/>
        </w:rPr>
        <w:t>属危险废物，</w:t>
      </w:r>
      <w:r>
        <w:rPr>
          <w:color w:val="auto"/>
          <w:kern w:val="2"/>
        </w:rPr>
        <w:t>产生量约0.005t/a，</w:t>
      </w:r>
      <w:r>
        <w:rPr>
          <w:color w:val="auto"/>
        </w:rPr>
        <w:t>废物类别为HW29，废物代码900-023-29，建设单位应将其独立收集，妥善存放于危险废物暂存间，定期交有资质单位处理。</w:t>
      </w:r>
    </w:p>
    <w:p>
      <w:pPr>
        <w:pStyle w:val="32"/>
        <w:spacing w:line="360" w:lineRule="auto"/>
        <w:ind w:firstLine="480"/>
        <w:rPr>
          <w:color w:val="auto"/>
        </w:rPr>
      </w:pPr>
      <w:r>
        <w:rPr>
          <w:rFonts w:hint="eastAsia"/>
          <w:color w:val="auto"/>
        </w:rPr>
        <w:t>（5）废活性炭</w:t>
      </w:r>
    </w:p>
    <w:p>
      <w:pPr>
        <w:pStyle w:val="32"/>
        <w:spacing w:line="360" w:lineRule="auto"/>
        <w:ind w:firstLine="480"/>
        <w:jc w:val="both"/>
        <w:rPr>
          <w:color w:val="auto"/>
          <w:kern w:val="2"/>
        </w:rPr>
      </w:pPr>
      <w:r>
        <w:rPr>
          <w:color w:val="auto"/>
          <w:kern w:val="2"/>
        </w:rPr>
        <w:t>根据《广东工业大学》（2015）收录的《硕士学位论文（工程硕士）《活性炭纤维吸附工业有机废气及其深度处理》（黄文涛，轻工化工学院，化学工程专业，2015年5月），第二章“活性炭纤维吸附与再生”P23中的表述“活性炭累积吸附量保持在0.222kg/kg~0.265kg/kg”，本报告活性炭吸附效率按0.25kg/kg活性炭计算，即1kg的活性炭可以吸附0.25kg的有机物。</w:t>
      </w:r>
      <w:r>
        <w:rPr>
          <w:rFonts w:hint="eastAsia"/>
          <w:color w:val="auto"/>
          <w:kern w:val="2"/>
        </w:rPr>
        <w:t>吸附饱和后</w:t>
      </w:r>
      <w:r>
        <w:rPr>
          <w:color w:val="auto"/>
          <w:kern w:val="2"/>
        </w:rPr>
        <w:t>会产生废活性炭。</w:t>
      </w:r>
    </w:p>
    <w:p>
      <w:pPr>
        <w:pStyle w:val="32"/>
        <w:spacing w:line="360" w:lineRule="auto"/>
        <w:ind w:firstLine="480"/>
        <w:jc w:val="both"/>
        <w:rPr>
          <w:color w:val="auto"/>
        </w:rPr>
      </w:pPr>
      <w:r>
        <w:rPr>
          <w:rFonts w:hint="eastAsia"/>
          <w:color w:val="auto"/>
          <w:kern w:val="2"/>
        </w:rPr>
        <w:t>项目卷材生产线产生的</w:t>
      </w:r>
      <w:r>
        <w:rPr>
          <w:color w:val="auto"/>
          <w:kern w:val="2"/>
        </w:rPr>
        <w:t>废气</w:t>
      </w:r>
      <w:r>
        <w:rPr>
          <w:rFonts w:hint="eastAsia"/>
          <w:color w:val="auto"/>
          <w:kern w:val="2"/>
        </w:rPr>
        <w:t>主要通过</w:t>
      </w:r>
      <w:r>
        <w:rPr>
          <w:color w:val="auto"/>
          <w:kern w:val="2"/>
        </w:rPr>
        <w:t>“</w:t>
      </w:r>
      <w:r>
        <w:rPr>
          <w:rFonts w:hint="eastAsia"/>
          <w:color w:val="auto"/>
          <w:kern w:val="2"/>
        </w:rPr>
        <w:t>旋风除尘+冷凝+油烟净化器+</w:t>
      </w:r>
      <w:r>
        <w:rPr>
          <w:color w:val="auto"/>
          <w:kern w:val="2"/>
        </w:rPr>
        <w:t>UV光解+活性炭吸附”</w:t>
      </w:r>
      <w:r>
        <w:rPr>
          <w:rFonts w:hint="eastAsia"/>
          <w:color w:val="auto"/>
          <w:kern w:val="2"/>
        </w:rPr>
        <w:t>工艺进行处理</w:t>
      </w:r>
      <w:r>
        <w:rPr>
          <w:color w:val="auto"/>
          <w:kern w:val="2"/>
        </w:rPr>
        <w:t>，其中</w:t>
      </w:r>
      <w:r>
        <w:rPr>
          <w:rFonts w:hint="eastAsia"/>
          <w:color w:val="auto"/>
          <w:kern w:val="2"/>
        </w:rPr>
        <w:t>冷凝处理措施去除率25%，油烟净化器去除率30%，</w:t>
      </w:r>
      <w:r>
        <w:rPr>
          <w:color w:val="auto"/>
          <w:kern w:val="2"/>
        </w:rPr>
        <w:t>UV光解处理措施去除率</w:t>
      </w:r>
      <w:r>
        <w:rPr>
          <w:rFonts w:hint="eastAsia"/>
          <w:color w:val="auto"/>
          <w:kern w:val="2"/>
        </w:rPr>
        <w:t>为40</w:t>
      </w:r>
      <w:r>
        <w:rPr>
          <w:color w:val="auto"/>
          <w:kern w:val="2"/>
        </w:rPr>
        <w:t>%</w:t>
      </w:r>
      <w:r>
        <w:rPr>
          <w:rFonts w:hint="eastAsia"/>
          <w:color w:val="auto"/>
          <w:kern w:val="2"/>
        </w:rPr>
        <w:t>，活性炭吸附效率以70%计算</w:t>
      </w:r>
      <w:r>
        <w:rPr>
          <w:rFonts w:hint="eastAsia"/>
          <w:color w:val="auto"/>
          <w:lang w:bidi="ar"/>
        </w:rPr>
        <w:t>。</w:t>
      </w:r>
      <w:r>
        <w:rPr>
          <w:rFonts w:hint="eastAsia"/>
          <w:color w:val="auto"/>
          <w:kern w:val="2"/>
        </w:rPr>
        <w:t>由上文可知，卷材生产线中被收集的有机废气总量为</w:t>
      </w:r>
      <w:r>
        <w:rPr>
          <w:rFonts w:hint="eastAsia"/>
          <w:color w:val="auto"/>
          <w:lang w:bidi="ar"/>
        </w:rPr>
        <w:t>2.2378</w:t>
      </w:r>
      <w:r>
        <w:rPr>
          <w:rFonts w:hint="eastAsia"/>
          <w:color w:val="auto"/>
          <w:kern w:val="2"/>
        </w:rPr>
        <w:t>t/a。</w:t>
      </w:r>
      <w:r>
        <w:rPr>
          <w:color w:val="auto"/>
        </w:rPr>
        <w:t>为保证吸附效果，应每</w:t>
      </w:r>
      <w:r>
        <w:rPr>
          <w:rFonts w:hint="eastAsia"/>
          <w:color w:val="auto"/>
        </w:rPr>
        <w:t>3</w:t>
      </w:r>
      <w:r>
        <w:rPr>
          <w:color w:val="auto"/>
        </w:rPr>
        <w:t>个月更换一次活性炭</w:t>
      </w:r>
      <w:r>
        <w:rPr>
          <w:rFonts w:hint="eastAsia"/>
          <w:color w:val="auto"/>
        </w:rPr>
        <w:t>。则项目新鲜活性炭需求量及废活性炭产生量如下表。</w:t>
      </w:r>
    </w:p>
    <w:p>
      <w:pPr>
        <w:pStyle w:val="32"/>
        <w:spacing w:line="360" w:lineRule="auto"/>
        <w:ind w:firstLine="480"/>
        <w:jc w:val="center"/>
        <w:rPr>
          <w:b/>
          <w:color w:val="auto"/>
          <w:kern w:val="2"/>
          <w:sz w:val="21"/>
          <w:szCs w:val="21"/>
        </w:rPr>
      </w:pPr>
      <w:r>
        <w:rPr>
          <w:b/>
          <w:color w:val="auto"/>
          <w:kern w:val="2"/>
          <w:sz w:val="21"/>
          <w:szCs w:val="21"/>
        </w:rPr>
        <w:t>表</w:t>
      </w:r>
      <w:r>
        <w:rPr>
          <w:rFonts w:hint="eastAsia"/>
          <w:b/>
          <w:color w:val="auto"/>
          <w:kern w:val="2"/>
          <w:sz w:val="21"/>
          <w:szCs w:val="21"/>
        </w:rPr>
        <w:t>4.5</w:t>
      </w:r>
      <w:r>
        <w:rPr>
          <w:b/>
          <w:color w:val="auto"/>
          <w:kern w:val="2"/>
          <w:sz w:val="21"/>
          <w:szCs w:val="21"/>
        </w:rPr>
        <w:t>-</w:t>
      </w:r>
      <w:r>
        <w:rPr>
          <w:rFonts w:hint="eastAsia"/>
          <w:b/>
          <w:color w:val="auto"/>
          <w:kern w:val="2"/>
          <w:sz w:val="21"/>
          <w:szCs w:val="21"/>
        </w:rPr>
        <w:t>16</w:t>
      </w:r>
      <w:r>
        <w:rPr>
          <w:b/>
          <w:color w:val="auto"/>
          <w:kern w:val="2"/>
          <w:sz w:val="21"/>
          <w:szCs w:val="21"/>
        </w:rPr>
        <w:t xml:space="preserve">  </w:t>
      </w:r>
      <w:r>
        <w:rPr>
          <w:rFonts w:hint="eastAsia"/>
          <w:b/>
          <w:color w:val="auto"/>
          <w:kern w:val="2"/>
          <w:sz w:val="21"/>
          <w:szCs w:val="21"/>
        </w:rPr>
        <w:t>项目活性炭需求及废活性炭产生情况一览表</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5"/>
        <w:gridCol w:w="4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tcPr>
          <w:p>
            <w:pPr>
              <w:pStyle w:val="32"/>
              <w:keepNext w:val="0"/>
              <w:keepLines w:val="0"/>
              <w:pageBreakBefore w:val="0"/>
              <w:kinsoku/>
              <w:wordWrap/>
              <w:overflowPunct/>
              <w:topLinePunct w:val="0"/>
              <w:bidi w:val="0"/>
              <w:snapToGrid/>
              <w:spacing w:line="240" w:lineRule="auto"/>
              <w:ind w:left="0" w:leftChars="0" w:right="0" w:rightChars="0" w:firstLine="0" w:firstLineChars="0"/>
              <w:jc w:val="center"/>
              <w:outlineLvl w:val="9"/>
              <w:rPr>
                <w:color w:val="auto"/>
                <w:sz w:val="21"/>
                <w:szCs w:val="21"/>
              </w:rPr>
            </w:pPr>
            <w:r>
              <w:rPr>
                <w:color w:val="auto"/>
                <w:sz w:val="21"/>
                <w:szCs w:val="21"/>
              </w:rPr>
              <w:t>治理设备</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有机废气收集净化设备A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收集量（t/a）</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2.2378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szCs w:val="21"/>
              </w:rPr>
              <w:t>冷凝</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szCs w:val="21"/>
              </w:rPr>
              <w:t>油烟净化器</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UV处理效率</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活性炭处理效率</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活性炭吸附的废气量（t/a）</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0.4934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新鲜活性炭最小需求量（t/a）</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1.9737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建议活性炭箱尺寸（m）</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0.8*0.8*1.8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活性炭箱可装填量（t）</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15"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szCs w:val="21"/>
              </w:rPr>
            </w:pPr>
            <w:r>
              <w:rPr>
                <w:color w:val="auto"/>
                <w:kern w:val="0"/>
                <w:szCs w:val="21"/>
                <w:lang w:bidi="ar"/>
              </w:rPr>
              <w:t>废活性炭产生量（t）</w:t>
            </w:r>
          </w:p>
        </w:tc>
        <w:tc>
          <w:tcPr>
            <w:tcW w:w="4207" w:type="dxa"/>
            <w:tcBorders>
              <w:tl2br w:val="nil"/>
              <w:tr2bl w:val="nil"/>
            </w:tcBorders>
            <w:vAlign w:val="center"/>
          </w:tcPr>
          <w:p>
            <w:pPr>
              <w:keepNext w:val="0"/>
              <w:keepLines w:val="0"/>
              <w:pageBreakBefore w:val="0"/>
              <w:widowControl/>
              <w:kinsoku/>
              <w:wordWrap/>
              <w:overflowPunct/>
              <w:topLinePunct w:val="0"/>
              <w:bidi w:val="0"/>
              <w:snapToGrid/>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2.4934</w:t>
            </w:r>
          </w:p>
        </w:tc>
      </w:tr>
    </w:tbl>
    <w:p>
      <w:pPr>
        <w:pStyle w:val="32"/>
        <w:spacing w:line="360" w:lineRule="auto"/>
        <w:ind w:firstLine="480"/>
        <w:jc w:val="both"/>
        <w:rPr>
          <w:color w:val="auto"/>
        </w:rPr>
      </w:pPr>
      <w:r>
        <w:rPr>
          <w:rFonts w:hint="eastAsia"/>
          <w:color w:val="auto"/>
        </w:rPr>
        <w:t>由上表可知，</w:t>
      </w:r>
      <w:r>
        <w:rPr>
          <w:color w:val="auto"/>
        </w:rPr>
        <w:t>本项目产生的废活性炭量为</w:t>
      </w:r>
      <w:r>
        <w:rPr>
          <w:rFonts w:hint="eastAsia"/>
          <w:color w:val="auto"/>
        </w:rPr>
        <w:t>2.4934t</w:t>
      </w:r>
      <w:r>
        <w:rPr>
          <w:color w:val="auto"/>
        </w:rPr>
        <w:t>/a。这部分固废属于危险废物，废物类别为HW49，废物代码900-041-49，应妥善存放于危险废物暂存间。</w:t>
      </w:r>
    </w:p>
    <w:p>
      <w:pPr>
        <w:pStyle w:val="32"/>
        <w:spacing w:line="360" w:lineRule="auto"/>
        <w:ind w:firstLine="480"/>
        <w:rPr>
          <w:color w:val="auto"/>
        </w:rPr>
      </w:pPr>
      <w:r>
        <w:rPr>
          <w:rFonts w:hint="eastAsia"/>
          <w:color w:val="auto"/>
        </w:rPr>
        <w:t>（6）截留的粉尘</w:t>
      </w:r>
    </w:p>
    <w:p>
      <w:pPr>
        <w:autoSpaceDE w:val="0"/>
        <w:autoSpaceDN w:val="0"/>
        <w:spacing w:line="360" w:lineRule="auto"/>
        <w:ind w:firstLine="520" w:firstLineChars="217"/>
        <w:rPr>
          <w:color w:val="auto"/>
          <w:kern w:val="0"/>
          <w:sz w:val="24"/>
        </w:rPr>
      </w:pPr>
      <w:r>
        <w:rPr>
          <w:rFonts w:hint="eastAsia"/>
          <w:color w:val="auto"/>
          <w:kern w:val="0"/>
          <w:sz w:val="24"/>
        </w:rPr>
        <w:t>湿式破碎生产线中产生的固体废物主要为旋风布袋除尘器截留的</w:t>
      </w:r>
      <w:r>
        <w:rPr>
          <w:color w:val="auto"/>
          <w:kern w:val="0"/>
          <w:sz w:val="24"/>
        </w:rPr>
        <w:t>粉尘</w:t>
      </w:r>
      <w:r>
        <w:rPr>
          <w:rFonts w:hint="eastAsia"/>
          <w:color w:val="auto"/>
          <w:kern w:val="0"/>
          <w:sz w:val="24"/>
        </w:rPr>
        <w:t>，该粉尘主要是废树脂粉和铜粉，根据上文分析，其截留量</w:t>
      </w:r>
      <w:r>
        <w:rPr>
          <w:color w:val="auto"/>
          <w:kern w:val="0"/>
          <w:sz w:val="24"/>
        </w:rPr>
        <w:t>约</w:t>
      </w:r>
      <w:r>
        <w:rPr>
          <w:rFonts w:hint="eastAsia"/>
          <w:color w:val="auto"/>
          <w:kern w:val="0"/>
          <w:sz w:val="24"/>
        </w:rPr>
        <w:t>1.7955</w:t>
      </w:r>
      <w:r>
        <w:rPr>
          <w:color w:val="auto"/>
          <w:kern w:val="0"/>
          <w:sz w:val="24"/>
        </w:rPr>
        <w:t>t/a</w:t>
      </w:r>
      <w:r>
        <w:rPr>
          <w:rFonts w:hint="eastAsia"/>
          <w:color w:val="auto"/>
          <w:kern w:val="0"/>
          <w:sz w:val="24"/>
        </w:rPr>
        <w:t>；</w:t>
      </w:r>
      <w:r>
        <w:rPr>
          <w:color w:val="auto"/>
          <w:kern w:val="0"/>
          <w:sz w:val="24"/>
        </w:rPr>
        <w:t>防水卷材生产过程中</w:t>
      </w:r>
      <w:r>
        <w:rPr>
          <w:rFonts w:hint="eastAsia"/>
          <w:color w:val="auto"/>
          <w:kern w:val="0"/>
          <w:sz w:val="24"/>
        </w:rPr>
        <w:t>截留</w:t>
      </w:r>
      <w:r>
        <w:rPr>
          <w:color w:val="auto"/>
          <w:kern w:val="0"/>
          <w:sz w:val="24"/>
        </w:rPr>
        <w:t>的粉尘</w:t>
      </w:r>
      <w:r>
        <w:rPr>
          <w:rFonts w:hint="eastAsia"/>
          <w:color w:val="auto"/>
          <w:kern w:val="0"/>
          <w:sz w:val="24"/>
        </w:rPr>
        <w:t>主要为树脂粉和滑石粉，截留</w:t>
      </w:r>
      <w:r>
        <w:rPr>
          <w:color w:val="auto"/>
          <w:kern w:val="0"/>
          <w:sz w:val="24"/>
        </w:rPr>
        <w:t>量约</w:t>
      </w:r>
      <w:r>
        <w:rPr>
          <w:rFonts w:hint="eastAsia"/>
          <w:color w:val="auto"/>
          <w:kern w:val="0"/>
          <w:sz w:val="24"/>
        </w:rPr>
        <w:t>4.4858</w:t>
      </w:r>
      <w:r>
        <w:rPr>
          <w:color w:val="auto"/>
          <w:kern w:val="0"/>
          <w:sz w:val="24"/>
        </w:rPr>
        <w:t>t/a</w:t>
      </w:r>
      <w:r>
        <w:rPr>
          <w:rFonts w:hint="eastAsia"/>
          <w:color w:val="auto"/>
          <w:kern w:val="0"/>
          <w:sz w:val="24"/>
        </w:rPr>
        <w:t>；合计6.2813t/a。由于其中均含有废树脂粉，故属于危险废物，废物类别为HW13，废物代码900-451-13。由于其属于本项目卷材生产的原料，故本项目将其进行回收处理，用于生产中。</w:t>
      </w:r>
    </w:p>
    <w:p>
      <w:pPr>
        <w:pStyle w:val="2"/>
        <w:spacing w:line="360" w:lineRule="auto"/>
        <w:ind w:left="0" w:leftChars="0" w:firstLine="480" w:firstLineChars="0"/>
        <w:rPr>
          <w:rFonts w:ascii="Times New Roman"/>
          <w:color w:val="auto"/>
          <w:sz w:val="24"/>
        </w:rPr>
      </w:pPr>
      <w:r>
        <w:rPr>
          <w:rFonts w:hint="eastAsia" w:ascii="Times New Roman"/>
          <w:color w:val="auto"/>
          <w:sz w:val="24"/>
        </w:rPr>
        <w:t>（7）截留的沥青油</w:t>
      </w:r>
    </w:p>
    <w:p>
      <w:pPr>
        <w:spacing w:line="360" w:lineRule="auto"/>
        <w:ind w:firstLine="480"/>
        <w:rPr>
          <w:color w:val="auto"/>
          <w:sz w:val="24"/>
        </w:rPr>
      </w:pPr>
      <w:r>
        <w:rPr>
          <w:rFonts w:hint="eastAsia"/>
          <w:color w:val="auto"/>
          <w:sz w:val="24"/>
        </w:rPr>
        <w:t>项目使用“旋风除尘器+冷凝器+油烟净化器+UV光解+活性炭吸附”设备处理，在</w:t>
      </w:r>
      <w:r>
        <w:rPr>
          <w:rFonts w:hint="eastAsia"/>
          <w:color w:val="auto"/>
          <w:kern w:val="0"/>
          <w:sz w:val="24"/>
        </w:rPr>
        <w:t>冷凝器和油烟净化器对废气进行处理时</w:t>
      </w:r>
      <w:r>
        <w:rPr>
          <w:rFonts w:hint="eastAsia"/>
          <w:color w:val="auto"/>
          <w:sz w:val="24"/>
        </w:rPr>
        <w:t>将有一部分沥青油被液化，产生量约0.2t/a。沥青油为项目卷材生产的原料，故本项目将其回用于生产中，不外排。</w:t>
      </w:r>
    </w:p>
    <w:p>
      <w:pPr>
        <w:pStyle w:val="13"/>
        <w:tabs>
          <w:tab w:val="left" w:pos="612"/>
        </w:tabs>
        <w:spacing w:line="360" w:lineRule="auto"/>
        <w:ind w:firstLine="422" w:firstLineChars="200"/>
        <w:jc w:val="center"/>
        <w:rPr>
          <w:rFonts w:ascii="Times New Roman" w:hAnsi="Times New Roman"/>
          <w:color w:val="auto"/>
          <w:sz w:val="21"/>
          <w:szCs w:val="21"/>
        </w:rPr>
      </w:pPr>
      <w:r>
        <w:rPr>
          <w:rFonts w:ascii="Times New Roman" w:hAnsi="Times New Roman"/>
          <w:b/>
          <w:color w:val="auto"/>
          <w:sz w:val="21"/>
          <w:szCs w:val="21"/>
        </w:rPr>
        <w:t>表4.5-1</w:t>
      </w:r>
      <w:r>
        <w:rPr>
          <w:rFonts w:hint="eastAsia" w:ascii="Times New Roman" w:hAnsi="Times New Roman"/>
          <w:b/>
          <w:color w:val="auto"/>
          <w:sz w:val="21"/>
          <w:szCs w:val="21"/>
        </w:rPr>
        <w:t>7</w:t>
      </w:r>
      <w:r>
        <w:rPr>
          <w:rFonts w:ascii="Times New Roman" w:hAnsi="Times New Roman"/>
          <w:b/>
          <w:color w:val="auto"/>
          <w:sz w:val="21"/>
          <w:szCs w:val="21"/>
        </w:rPr>
        <w:t xml:space="preserve">  </w:t>
      </w:r>
      <w:r>
        <w:rPr>
          <w:rFonts w:hint="eastAsia" w:ascii="Times New Roman" w:hAnsi="Times New Roman"/>
          <w:b/>
          <w:color w:val="auto"/>
          <w:sz w:val="21"/>
          <w:szCs w:val="21"/>
        </w:rPr>
        <w:t>本项目</w:t>
      </w:r>
      <w:r>
        <w:rPr>
          <w:rFonts w:ascii="Times New Roman" w:hAnsi="Times New Roman"/>
          <w:b/>
          <w:color w:val="auto"/>
          <w:sz w:val="21"/>
          <w:szCs w:val="21"/>
        </w:rPr>
        <w:t>危险废物产生情况</w:t>
      </w:r>
    </w:p>
    <w:tbl>
      <w:tblPr>
        <w:tblStyle w:val="23"/>
        <w:tblW w:w="87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396"/>
        <w:gridCol w:w="840"/>
        <w:gridCol w:w="721"/>
        <w:gridCol w:w="1109"/>
        <w:gridCol w:w="753"/>
        <w:gridCol w:w="976"/>
        <w:gridCol w:w="494"/>
        <w:gridCol w:w="881"/>
        <w:gridCol w:w="708"/>
        <w:gridCol w:w="596"/>
        <w:gridCol w:w="570"/>
        <w:gridCol w:w="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序号</w:t>
            </w:r>
          </w:p>
        </w:tc>
        <w:tc>
          <w:tcPr>
            <w:tcW w:w="840"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种类</w:t>
            </w:r>
          </w:p>
        </w:tc>
        <w:tc>
          <w:tcPr>
            <w:tcW w:w="721"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危险废物类别</w:t>
            </w:r>
          </w:p>
        </w:tc>
        <w:tc>
          <w:tcPr>
            <w:tcW w:w="1109"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危险废物</w:t>
            </w:r>
          </w:p>
          <w:p>
            <w:pPr>
              <w:widowControl/>
              <w:adjustRightInd w:val="0"/>
              <w:snapToGrid w:val="0"/>
              <w:jc w:val="center"/>
              <w:textAlignment w:val="center"/>
              <w:rPr>
                <w:color w:val="auto"/>
                <w:szCs w:val="21"/>
              </w:rPr>
            </w:pPr>
            <w:r>
              <w:rPr>
                <w:color w:val="auto"/>
                <w:kern w:val="0"/>
                <w:szCs w:val="21"/>
                <w:lang w:bidi="ar"/>
              </w:rPr>
              <w:t>代码</w:t>
            </w:r>
          </w:p>
        </w:tc>
        <w:tc>
          <w:tcPr>
            <w:tcW w:w="753"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产生量（</w:t>
            </w:r>
            <w:r>
              <w:rPr>
                <w:rStyle w:val="58"/>
                <w:color w:val="auto"/>
                <w:lang w:bidi="ar"/>
              </w:rPr>
              <w:t>t/a</w:t>
            </w:r>
            <w:r>
              <w:rPr>
                <w:rStyle w:val="59"/>
                <w:color w:val="auto"/>
                <w:lang w:bidi="ar"/>
              </w:rPr>
              <w:t>）</w:t>
            </w:r>
          </w:p>
        </w:tc>
        <w:tc>
          <w:tcPr>
            <w:tcW w:w="976"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产生工序及装置</w:t>
            </w:r>
          </w:p>
        </w:tc>
        <w:tc>
          <w:tcPr>
            <w:tcW w:w="494"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形态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主要</w:t>
            </w:r>
          </w:p>
          <w:p>
            <w:pPr>
              <w:widowControl/>
              <w:adjustRightInd w:val="0"/>
              <w:snapToGrid w:val="0"/>
              <w:jc w:val="center"/>
              <w:textAlignment w:val="center"/>
              <w:rPr>
                <w:color w:val="auto"/>
                <w:szCs w:val="21"/>
              </w:rPr>
            </w:pPr>
            <w:r>
              <w:rPr>
                <w:color w:val="auto"/>
                <w:kern w:val="0"/>
                <w:szCs w:val="21"/>
                <w:lang w:bidi="ar"/>
              </w:rPr>
              <w:t>成分</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危险</w:t>
            </w:r>
          </w:p>
          <w:p>
            <w:pPr>
              <w:widowControl/>
              <w:adjustRightInd w:val="0"/>
              <w:snapToGrid w:val="0"/>
              <w:jc w:val="center"/>
              <w:textAlignment w:val="center"/>
              <w:rPr>
                <w:color w:val="auto"/>
                <w:szCs w:val="21"/>
              </w:rPr>
            </w:pPr>
            <w:r>
              <w:rPr>
                <w:color w:val="auto"/>
                <w:kern w:val="0"/>
                <w:szCs w:val="21"/>
                <w:lang w:bidi="ar"/>
              </w:rPr>
              <w:t>成分</w:t>
            </w:r>
          </w:p>
        </w:tc>
        <w:tc>
          <w:tcPr>
            <w:tcW w:w="596"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产废周期</w:t>
            </w:r>
          </w:p>
        </w:tc>
        <w:tc>
          <w:tcPr>
            <w:tcW w:w="570"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危险特性</w:t>
            </w:r>
          </w:p>
        </w:tc>
        <w:tc>
          <w:tcPr>
            <w:tcW w:w="718"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1</w:t>
            </w:r>
          </w:p>
        </w:tc>
        <w:tc>
          <w:tcPr>
            <w:tcW w:w="840"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含油废抹布、手套</w:t>
            </w:r>
          </w:p>
        </w:tc>
        <w:tc>
          <w:tcPr>
            <w:tcW w:w="72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HW49</w:t>
            </w:r>
          </w:p>
        </w:tc>
        <w:tc>
          <w:tcPr>
            <w:tcW w:w="1109"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900-041-49</w:t>
            </w:r>
          </w:p>
        </w:tc>
        <w:tc>
          <w:tcPr>
            <w:tcW w:w="753" w:type="dxa"/>
            <w:tcBorders>
              <w:tl2br w:val="nil"/>
              <w:tr2bl w:val="nil"/>
            </w:tcBorders>
            <w:vAlign w:val="center"/>
          </w:tcPr>
          <w:p>
            <w:pPr>
              <w:widowControl/>
              <w:adjustRightInd w:val="0"/>
              <w:snapToGrid w:val="0"/>
              <w:jc w:val="center"/>
              <w:textAlignment w:val="center"/>
              <w:rPr>
                <w:color w:val="auto"/>
                <w:szCs w:val="21"/>
              </w:rPr>
            </w:pPr>
            <w:r>
              <w:rPr>
                <w:color w:val="auto"/>
                <w:szCs w:val="21"/>
              </w:rPr>
              <w:t>0.015</w:t>
            </w:r>
          </w:p>
        </w:tc>
        <w:tc>
          <w:tcPr>
            <w:tcW w:w="976" w:type="dxa"/>
            <w:vMerge w:val="restart"/>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设备使用</w:t>
            </w:r>
          </w:p>
          <w:p>
            <w:pPr>
              <w:widowControl/>
              <w:adjustRightInd w:val="0"/>
              <w:snapToGrid w:val="0"/>
              <w:jc w:val="center"/>
              <w:textAlignment w:val="center"/>
              <w:rPr>
                <w:color w:val="auto"/>
                <w:kern w:val="0"/>
                <w:szCs w:val="21"/>
                <w:lang w:bidi="ar"/>
              </w:rPr>
            </w:pPr>
            <w:r>
              <w:rPr>
                <w:color w:val="auto"/>
                <w:kern w:val="0"/>
                <w:szCs w:val="21"/>
                <w:lang w:bidi="ar"/>
              </w:rPr>
              <w:t>及维修</w:t>
            </w:r>
          </w:p>
        </w:tc>
        <w:tc>
          <w:tcPr>
            <w:tcW w:w="494"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固态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润滑油</w:t>
            </w:r>
            <w:r>
              <w:rPr>
                <w:color w:val="auto"/>
                <w:kern w:val="0"/>
                <w:szCs w:val="21"/>
                <w:lang w:bidi="ar"/>
              </w:rPr>
              <w:t>、</w:t>
            </w:r>
          </w:p>
          <w:p>
            <w:pPr>
              <w:widowControl/>
              <w:adjustRightInd w:val="0"/>
              <w:snapToGrid w:val="0"/>
              <w:jc w:val="center"/>
              <w:textAlignment w:val="center"/>
              <w:rPr>
                <w:color w:val="auto"/>
                <w:kern w:val="0"/>
                <w:szCs w:val="21"/>
                <w:lang w:bidi="ar"/>
              </w:rPr>
            </w:pPr>
            <w:r>
              <w:rPr>
                <w:color w:val="auto"/>
                <w:kern w:val="0"/>
                <w:szCs w:val="21"/>
                <w:lang w:bidi="ar"/>
              </w:rPr>
              <w:t>布料</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润滑油</w:t>
            </w:r>
          </w:p>
        </w:tc>
        <w:tc>
          <w:tcPr>
            <w:tcW w:w="596"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1年</w:t>
            </w:r>
          </w:p>
        </w:tc>
        <w:tc>
          <w:tcPr>
            <w:tcW w:w="570"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T，I</w:t>
            </w:r>
          </w:p>
        </w:tc>
        <w:tc>
          <w:tcPr>
            <w:tcW w:w="718" w:type="dxa"/>
            <w:vMerge w:val="restart"/>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交具</w:t>
            </w:r>
            <w:r>
              <w:rPr>
                <w:rStyle w:val="59"/>
                <w:color w:val="auto"/>
                <w:lang w:bidi="ar"/>
              </w:rPr>
              <w:t>有危废处置相应资质的公司处置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2</w:t>
            </w:r>
          </w:p>
        </w:tc>
        <w:tc>
          <w:tcPr>
            <w:tcW w:w="840" w:type="dxa"/>
            <w:tcBorders>
              <w:tl2br w:val="nil"/>
              <w:tr2bl w:val="nil"/>
            </w:tcBorders>
            <w:vAlign w:val="center"/>
          </w:tcPr>
          <w:p>
            <w:pPr>
              <w:widowControl/>
              <w:adjustRightInd w:val="0"/>
              <w:snapToGrid w:val="0"/>
              <w:jc w:val="center"/>
              <w:textAlignment w:val="top"/>
              <w:rPr>
                <w:color w:val="auto"/>
                <w:szCs w:val="21"/>
              </w:rPr>
            </w:pPr>
            <w:r>
              <w:rPr>
                <w:rFonts w:hint="eastAsia"/>
                <w:color w:val="auto"/>
                <w:kern w:val="0"/>
                <w:szCs w:val="21"/>
                <w:lang w:bidi="ar"/>
              </w:rPr>
              <w:t>废矿物油</w:t>
            </w:r>
          </w:p>
        </w:tc>
        <w:tc>
          <w:tcPr>
            <w:tcW w:w="721"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HW08</w:t>
            </w:r>
          </w:p>
        </w:tc>
        <w:tc>
          <w:tcPr>
            <w:tcW w:w="1109"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900-249-08</w:t>
            </w:r>
          </w:p>
        </w:tc>
        <w:tc>
          <w:tcPr>
            <w:tcW w:w="753"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kern w:val="18"/>
                <w:szCs w:val="21"/>
              </w:rPr>
              <w:t>1</w:t>
            </w:r>
            <w:r>
              <w:rPr>
                <w:color w:val="auto"/>
                <w:kern w:val="18"/>
                <w:szCs w:val="21"/>
              </w:rPr>
              <w:t>.076</w:t>
            </w:r>
          </w:p>
        </w:tc>
        <w:tc>
          <w:tcPr>
            <w:tcW w:w="976"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c>
          <w:tcPr>
            <w:tcW w:w="494"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液态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润滑油</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废矿物油</w:t>
            </w:r>
          </w:p>
        </w:tc>
        <w:tc>
          <w:tcPr>
            <w:tcW w:w="596"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1年</w:t>
            </w:r>
          </w:p>
        </w:tc>
        <w:tc>
          <w:tcPr>
            <w:tcW w:w="570"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T，I</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3</w:t>
            </w:r>
          </w:p>
        </w:tc>
        <w:tc>
          <w:tcPr>
            <w:tcW w:w="840" w:type="dxa"/>
            <w:tcBorders>
              <w:tl2br w:val="nil"/>
              <w:tr2bl w:val="nil"/>
            </w:tcBorders>
            <w:vAlign w:val="center"/>
          </w:tcPr>
          <w:p>
            <w:pPr>
              <w:widowControl/>
              <w:adjustRightInd w:val="0"/>
              <w:snapToGrid w:val="0"/>
              <w:jc w:val="center"/>
              <w:textAlignment w:val="top"/>
              <w:rPr>
                <w:color w:val="auto"/>
                <w:kern w:val="0"/>
                <w:szCs w:val="21"/>
                <w:lang w:bidi="ar"/>
              </w:rPr>
            </w:pPr>
            <w:r>
              <w:rPr>
                <w:rFonts w:hint="eastAsia"/>
                <w:color w:val="auto"/>
                <w:szCs w:val="21"/>
              </w:rPr>
              <w:t>空油桶</w:t>
            </w:r>
          </w:p>
        </w:tc>
        <w:tc>
          <w:tcPr>
            <w:tcW w:w="72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HW49</w:t>
            </w:r>
          </w:p>
        </w:tc>
        <w:tc>
          <w:tcPr>
            <w:tcW w:w="1109"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szCs w:val="21"/>
              </w:rPr>
              <w:t>900-041-49</w:t>
            </w:r>
          </w:p>
        </w:tc>
        <w:tc>
          <w:tcPr>
            <w:tcW w:w="753"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szCs w:val="21"/>
              </w:rPr>
              <w:t>0.0</w:t>
            </w:r>
            <w:r>
              <w:rPr>
                <w:rFonts w:hint="eastAsia"/>
                <w:color w:val="auto"/>
                <w:szCs w:val="21"/>
              </w:rPr>
              <w:t>27</w:t>
            </w:r>
          </w:p>
        </w:tc>
        <w:tc>
          <w:tcPr>
            <w:tcW w:w="976"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c>
          <w:tcPr>
            <w:tcW w:w="494"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固态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润滑油</w:t>
            </w:r>
            <w:r>
              <w:rPr>
                <w:color w:val="auto"/>
                <w:kern w:val="0"/>
                <w:szCs w:val="21"/>
                <w:lang w:bidi="ar"/>
              </w:rPr>
              <w:t>、</w:t>
            </w:r>
            <w:r>
              <w:rPr>
                <w:color w:val="auto"/>
                <w:szCs w:val="21"/>
              </w:rPr>
              <w:t>聚乙烯塑料</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润滑油、导热油</w:t>
            </w:r>
          </w:p>
        </w:tc>
        <w:tc>
          <w:tcPr>
            <w:tcW w:w="596"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1年</w:t>
            </w:r>
          </w:p>
        </w:tc>
        <w:tc>
          <w:tcPr>
            <w:tcW w:w="570"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T，I</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4</w:t>
            </w:r>
          </w:p>
        </w:tc>
        <w:tc>
          <w:tcPr>
            <w:tcW w:w="840" w:type="dxa"/>
            <w:tcBorders>
              <w:tl2br w:val="nil"/>
              <w:tr2bl w:val="nil"/>
            </w:tcBorders>
            <w:vAlign w:val="center"/>
          </w:tcPr>
          <w:p>
            <w:pPr>
              <w:widowControl/>
              <w:adjustRightInd w:val="0"/>
              <w:snapToGrid w:val="0"/>
              <w:jc w:val="center"/>
              <w:textAlignment w:val="top"/>
              <w:rPr>
                <w:color w:val="auto"/>
                <w:szCs w:val="21"/>
              </w:rPr>
            </w:pPr>
            <w:r>
              <w:rPr>
                <w:color w:val="auto"/>
                <w:szCs w:val="21"/>
              </w:rPr>
              <w:t>废UV灯管</w:t>
            </w:r>
          </w:p>
        </w:tc>
        <w:tc>
          <w:tcPr>
            <w:tcW w:w="72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szCs w:val="21"/>
              </w:rPr>
              <w:t>HW29</w:t>
            </w:r>
          </w:p>
        </w:tc>
        <w:tc>
          <w:tcPr>
            <w:tcW w:w="1109" w:type="dxa"/>
            <w:tcBorders>
              <w:tl2br w:val="nil"/>
              <w:tr2bl w:val="nil"/>
            </w:tcBorders>
            <w:vAlign w:val="center"/>
          </w:tcPr>
          <w:p>
            <w:pPr>
              <w:widowControl/>
              <w:adjustRightInd w:val="0"/>
              <w:snapToGrid w:val="0"/>
              <w:jc w:val="center"/>
              <w:textAlignment w:val="top"/>
              <w:rPr>
                <w:color w:val="auto"/>
                <w:szCs w:val="21"/>
              </w:rPr>
            </w:pPr>
            <w:r>
              <w:rPr>
                <w:color w:val="auto"/>
                <w:szCs w:val="21"/>
              </w:rPr>
              <w:t>900-023-29</w:t>
            </w:r>
          </w:p>
        </w:tc>
        <w:tc>
          <w:tcPr>
            <w:tcW w:w="753" w:type="dxa"/>
            <w:tcBorders>
              <w:tl2br w:val="nil"/>
              <w:tr2bl w:val="nil"/>
            </w:tcBorders>
            <w:vAlign w:val="center"/>
          </w:tcPr>
          <w:p>
            <w:pPr>
              <w:widowControl/>
              <w:adjustRightInd w:val="0"/>
              <w:snapToGrid w:val="0"/>
              <w:jc w:val="center"/>
              <w:textAlignment w:val="center"/>
              <w:rPr>
                <w:color w:val="auto"/>
                <w:szCs w:val="21"/>
              </w:rPr>
            </w:pPr>
            <w:r>
              <w:rPr>
                <w:color w:val="auto"/>
                <w:szCs w:val="21"/>
              </w:rPr>
              <w:t>0.005</w:t>
            </w:r>
          </w:p>
        </w:tc>
        <w:tc>
          <w:tcPr>
            <w:tcW w:w="976"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废气净化</w:t>
            </w:r>
          </w:p>
          <w:p>
            <w:pPr>
              <w:widowControl/>
              <w:jc w:val="center"/>
              <w:textAlignment w:val="center"/>
              <w:rPr>
                <w:color w:val="auto"/>
                <w:kern w:val="0"/>
                <w:szCs w:val="21"/>
                <w:lang w:bidi="ar"/>
              </w:rPr>
            </w:pPr>
            <w:r>
              <w:rPr>
                <w:color w:val="auto"/>
                <w:kern w:val="0"/>
                <w:szCs w:val="21"/>
                <w:lang w:bidi="ar"/>
              </w:rPr>
              <w:t>设备</w:t>
            </w:r>
          </w:p>
        </w:tc>
        <w:tc>
          <w:tcPr>
            <w:tcW w:w="49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固态</w:t>
            </w:r>
          </w:p>
        </w:tc>
        <w:tc>
          <w:tcPr>
            <w:tcW w:w="881"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废UV</w:t>
            </w:r>
          </w:p>
          <w:p>
            <w:pPr>
              <w:widowControl/>
              <w:jc w:val="center"/>
              <w:textAlignment w:val="center"/>
              <w:rPr>
                <w:color w:val="auto"/>
                <w:kern w:val="0"/>
                <w:szCs w:val="21"/>
                <w:lang w:bidi="ar"/>
              </w:rPr>
            </w:pPr>
            <w:r>
              <w:rPr>
                <w:color w:val="auto"/>
                <w:kern w:val="0"/>
                <w:szCs w:val="21"/>
                <w:lang w:bidi="ar"/>
              </w:rPr>
              <w:t>灯管</w:t>
            </w:r>
          </w:p>
        </w:tc>
        <w:tc>
          <w:tcPr>
            <w:tcW w:w="708"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废UV灯管</w:t>
            </w:r>
          </w:p>
        </w:tc>
        <w:tc>
          <w:tcPr>
            <w:tcW w:w="596"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1年</w:t>
            </w:r>
          </w:p>
        </w:tc>
        <w:tc>
          <w:tcPr>
            <w:tcW w:w="570"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T</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5</w:t>
            </w:r>
          </w:p>
        </w:tc>
        <w:tc>
          <w:tcPr>
            <w:tcW w:w="840" w:type="dxa"/>
            <w:tcBorders>
              <w:tl2br w:val="nil"/>
              <w:tr2bl w:val="nil"/>
            </w:tcBorders>
            <w:vAlign w:val="center"/>
          </w:tcPr>
          <w:p>
            <w:pPr>
              <w:widowControl/>
              <w:adjustRightInd w:val="0"/>
              <w:snapToGrid w:val="0"/>
              <w:jc w:val="center"/>
              <w:textAlignment w:val="top"/>
              <w:rPr>
                <w:color w:val="auto"/>
                <w:szCs w:val="21"/>
              </w:rPr>
            </w:pPr>
            <w:r>
              <w:rPr>
                <w:color w:val="auto"/>
                <w:szCs w:val="21"/>
              </w:rPr>
              <w:t>废活性炭</w:t>
            </w:r>
          </w:p>
        </w:tc>
        <w:tc>
          <w:tcPr>
            <w:tcW w:w="72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szCs w:val="21"/>
              </w:rPr>
              <w:t>HW49</w:t>
            </w:r>
          </w:p>
        </w:tc>
        <w:tc>
          <w:tcPr>
            <w:tcW w:w="1109" w:type="dxa"/>
            <w:tcBorders>
              <w:tl2br w:val="nil"/>
              <w:tr2bl w:val="nil"/>
            </w:tcBorders>
            <w:vAlign w:val="center"/>
          </w:tcPr>
          <w:p>
            <w:pPr>
              <w:widowControl/>
              <w:adjustRightInd w:val="0"/>
              <w:snapToGrid w:val="0"/>
              <w:jc w:val="center"/>
              <w:textAlignment w:val="top"/>
              <w:rPr>
                <w:color w:val="auto"/>
                <w:szCs w:val="21"/>
              </w:rPr>
            </w:pPr>
            <w:r>
              <w:rPr>
                <w:color w:val="auto"/>
                <w:szCs w:val="21"/>
              </w:rPr>
              <w:t>900-041-49</w:t>
            </w:r>
          </w:p>
        </w:tc>
        <w:tc>
          <w:tcPr>
            <w:tcW w:w="753"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rPr>
              <w:t>2.4934</w:t>
            </w:r>
          </w:p>
        </w:tc>
        <w:tc>
          <w:tcPr>
            <w:tcW w:w="976"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c>
          <w:tcPr>
            <w:tcW w:w="49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固态</w:t>
            </w:r>
          </w:p>
        </w:tc>
        <w:tc>
          <w:tcPr>
            <w:tcW w:w="881"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废活</w:t>
            </w:r>
          </w:p>
          <w:p>
            <w:pPr>
              <w:widowControl/>
              <w:jc w:val="center"/>
              <w:textAlignment w:val="center"/>
              <w:rPr>
                <w:color w:val="auto"/>
                <w:kern w:val="0"/>
                <w:szCs w:val="21"/>
                <w:lang w:bidi="ar"/>
              </w:rPr>
            </w:pPr>
            <w:r>
              <w:rPr>
                <w:color w:val="auto"/>
                <w:kern w:val="0"/>
                <w:szCs w:val="21"/>
                <w:lang w:bidi="ar"/>
              </w:rPr>
              <w:t>性炭</w:t>
            </w:r>
          </w:p>
        </w:tc>
        <w:tc>
          <w:tcPr>
            <w:tcW w:w="708"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废活</w:t>
            </w:r>
          </w:p>
          <w:p>
            <w:pPr>
              <w:widowControl/>
              <w:jc w:val="center"/>
              <w:textAlignment w:val="center"/>
              <w:rPr>
                <w:color w:val="auto"/>
                <w:kern w:val="0"/>
                <w:szCs w:val="21"/>
                <w:lang w:bidi="ar"/>
              </w:rPr>
            </w:pPr>
            <w:r>
              <w:rPr>
                <w:color w:val="auto"/>
                <w:kern w:val="0"/>
                <w:szCs w:val="21"/>
                <w:lang w:bidi="ar"/>
              </w:rPr>
              <w:t>性炭</w:t>
            </w:r>
          </w:p>
        </w:tc>
        <w:tc>
          <w:tcPr>
            <w:tcW w:w="596"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3个月</w:t>
            </w:r>
          </w:p>
        </w:tc>
        <w:tc>
          <w:tcPr>
            <w:tcW w:w="570"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T，I</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6</w:t>
            </w:r>
          </w:p>
        </w:tc>
        <w:tc>
          <w:tcPr>
            <w:tcW w:w="840" w:type="dxa"/>
            <w:tcBorders>
              <w:tl2br w:val="nil"/>
              <w:tr2bl w:val="nil"/>
            </w:tcBorders>
            <w:vAlign w:val="center"/>
          </w:tcPr>
          <w:p>
            <w:pPr>
              <w:widowControl/>
              <w:adjustRightInd w:val="0"/>
              <w:snapToGrid w:val="0"/>
              <w:jc w:val="center"/>
              <w:textAlignment w:val="top"/>
              <w:rPr>
                <w:color w:val="auto"/>
                <w:szCs w:val="21"/>
              </w:rPr>
            </w:pPr>
            <w:r>
              <w:rPr>
                <w:color w:val="auto"/>
                <w:szCs w:val="21"/>
              </w:rPr>
              <w:t>截留的粉尘</w:t>
            </w:r>
          </w:p>
        </w:tc>
        <w:tc>
          <w:tcPr>
            <w:tcW w:w="72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rPr>
              <w:t>HW13</w:t>
            </w:r>
          </w:p>
        </w:tc>
        <w:tc>
          <w:tcPr>
            <w:tcW w:w="1109" w:type="dxa"/>
            <w:tcBorders>
              <w:tl2br w:val="nil"/>
              <w:tr2bl w:val="nil"/>
            </w:tcBorders>
            <w:vAlign w:val="center"/>
          </w:tcPr>
          <w:p>
            <w:pPr>
              <w:widowControl/>
              <w:adjustRightInd w:val="0"/>
              <w:snapToGrid w:val="0"/>
              <w:jc w:val="center"/>
              <w:textAlignment w:val="center"/>
              <w:rPr>
                <w:color w:val="auto"/>
                <w:szCs w:val="21"/>
              </w:rPr>
            </w:pPr>
            <w:r>
              <w:rPr>
                <w:color w:val="auto"/>
                <w:szCs w:val="21"/>
              </w:rPr>
              <w:t>900-451-13</w:t>
            </w:r>
          </w:p>
        </w:tc>
        <w:tc>
          <w:tcPr>
            <w:tcW w:w="753"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rPr>
              <w:t>6.2813</w:t>
            </w:r>
          </w:p>
        </w:tc>
        <w:tc>
          <w:tcPr>
            <w:tcW w:w="976" w:type="dxa"/>
            <w:vMerge w:val="continue"/>
            <w:tcBorders>
              <w:tl2br w:val="nil"/>
              <w:tr2bl w:val="nil"/>
            </w:tcBorders>
            <w:vAlign w:val="center"/>
          </w:tcPr>
          <w:p>
            <w:pPr>
              <w:widowControl/>
              <w:adjustRightInd w:val="0"/>
              <w:snapToGrid w:val="0"/>
              <w:textAlignment w:val="center"/>
              <w:rPr>
                <w:color w:val="auto"/>
                <w:kern w:val="0"/>
                <w:szCs w:val="21"/>
                <w:lang w:bidi="ar"/>
              </w:rPr>
            </w:pPr>
          </w:p>
        </w:tc>
        <w:tc>
          <w:tcPr>
            <w:tcW w:w="494"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固态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废树脂粉</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废树</w:t>
            </w:r>
          </w:p>
          <w:p>
            <w:pPr>
              <w:widowControl/>
              <w:adjustRightInd w:val="0"/>
              <w:snapToGrid w:val="0"/>
              <w:jc w:val="center"/>
              <w:textAlignment w:val="center"/>
              <w:rPr>
                <w:color w:val="auto"/>
                <w:kern w:val="0"/>
                <w:szCs w:val="21"/>
                <w:lang w:bidi="ar"/>
              </w:rPr>
            </w:pPr>
            <w:r>
              <w:rPr>
                <w:color w:val="auto"/>
                <w:kern w:val="0"/>
                <w:szCs w:val="21"/>
                <w:lang w:bidi="ar"/>
              </w:rPr>
              <w:t>脂粉</w:t>
            </w:r>
          </w:p>
        </w:tc>
        <w:tc>
          <w:tcPr>
            <w:tcW w:w="596"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1年</w:t>
            </w:r>
          </w:p>
        </w:tc>
        <w:tc>
          <w:tcPr>
            <w:tcW w:w="570"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T</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96" w:type="dxa"/>
            <w:tcBorders>
              <w:tl2br w:val="nil"/>
              <w:tr2bl w:val="nil"/>
            </w:tcBorders>
            <w:vAlign w:val="center"/>
          </w:tcPr>
          <w:p>
            <w:pPr>
              <w:widowControl/>
              <w:adjustRightInd w:val="0"/>
              <w:snapToGrid w:val="0"/>
              <w:jc w:val="center"/>
              <w:textAlignment w:val="top"/>
              <w:rPr>
                <w:color w:val="auto"/>
                <w:kern w:val="0"/>
                <w:szCs w:val="21"/>
                <w:lang w:bidi="ar"/>
              </w:rPr>
            </w:pPr>
            <w:r>
              <w:rPr>
                <w:rFonts w:hint="eastAsia"/>
                <w:color w:val="auto"/>
                <w:kern w:val="0"/>
                <w:szCs w:val="21"/>
                <w:lang w:bidi="ar"/>
              </w:rPr>
              <w:t>7</w:t>
            </w:r>
          </w:p>
        </w:tc>
        <w:tc>
          <w:tcPr>
            <w:tcW w:w="840" w:type="dxa"/>
            <w:tcBorders>
              <w:tl2br w:val="nil"/>
              <w:tr2bl w:val="nil"/>
            </w:tcBorders>
            <w:vAlign w:val="center"/>
          </w:tcPr>
          <w:p>
            <w:pPr>
              <w:widowControl/>
              <w:adjustRightInd w:val="0"/>
              <w:snapToGrid w:val="0"/>
              <w:jc w:val="center"/>
              <w:textAlignment w:val="top"/>
              <w:rPr>
                <w:color w:val="auto"/>
                <w:szCs w:val="21"/>
              </w:rPr>
            </w:pPr>
            <w:r>
              <w:rPr>
                <w:rFonts w:hint="eastAsia"/>
                <w:color w:val="auto"/>
                <w:kern w:val="0"/>
                <w:szCs w:val="21"/>
              </w:rPr>
              <w:t>截留的沥青油</w:t>
            </w:r>
          </w:p>
        </w:tc>
        <w:tc>
          <w:tcPr>
            <w:tcW w:w="721" w:type="dxa"/>
            <w:tcBorders>
              <w:tl2br w:val="nil"/>
              <w:tr2bl w:val="nil"/>
            </w:tcBorders>
            <w:vAlign w:val="center"/>
          </w:tcPr>
          <w:p>
            <w:pPr>
              <w:widowControl/>
              <w:adjustRightInd w:val="0"/>
              <w:snapToGrid w:val="0"/>
              <w:jc w:val="center"/>
              <w:textAlignment w:val="top"/>
              <w:rPr>
                <w:color w:val="auto"/>
                <w:kern w:val="0"/>
                <w:szCs w:val="21"/>
              </w:rPr>
            </w:pPr>
            <w:r>
              <w:rPr>
                <w:rFonts w:hint="eastAsia"/>
                <w:color w:val="auto"/>
                <w:kern w:val="0"/>
                <w:szCs w:val="21"/>
              </w:rPr>
              <w:t>HW11</w:t>
            </w:r>
          </w:p>
        </w:tc>
        <w:tc>
          <w:tcPr>
            <w:tcW w:w="1109" w:type="dxa"/>
            <w:tcBorders>
              <w:tl2br w:val="nil"/>
              <w:tr2bl w:val="nil"/>
            </w:tcBorders>
            <w:vAlign w:val="center"/>
          </w:tcPr>
          <w:p>
            <w:pPr>
              <w:widowControl/>
              <w:adjustRightInd w:val="0"/>
              <w:snapToGrid w:val="0"/>
              <w:jc w:val="center"/>
              <w:textAlignment w:val="center"/>
              <w:rPr>
                <w:color w:val="auto"/>
                <w:szCs w:val="21"/>
              </w:rPr>
            </w:pPr>
            <w:r>
              <w:rPr>
                <w:rFonts w:ascii="TimesNewRomanPSMT" w:hAnsi="TimesNewRomanPSMT" w:eastAsia="TimesNewRomanPSMT"/>
                <w:color w:val="auto"/>
              </w:rPr>
              <w:t>252-016-11</w:t>
            </w:r>
          </w:p>
        </w:tc>
        <w:tc>
          <w:tcPr>
            <w:tcW w:w="753"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rPr>
              <w:t>0.2</w:t>
            </w:r>
          </w:p>
        </w:tc>
        <w:tc>
          <w:tcPr>
            <w:tcW w:w="976"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c>
          <w:tcPr>
            <w:tcW w:w="494"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液态</w:t>
            </w:r>
          </w:p>
        </w:tc>
        <w:tc>
          <w:tcPr>
            <w:tcW w:w="881"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沥青</w:t>
            </w:r>
          </w:p>
        </w:tc>
        <w:tc>
          <w:tcPr>
            <w:tcW w:w="708"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沥青</w:t>
            </w:r>
          </w:p>
        </w:tc>
        <w:tc>
          <w:tcPr>
            <w:tcW w:w="596"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1年</w:t>
            </w:r>
          </w:p>
        </w:tc>
        <w:tc>
          <w:tcPr>
            <w:tcW w:w="570"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color w:val="auto"/>
                <w:kern w:val="0"/>
                <w:szCs w:val="21"/>
                <w:lang w:bidi="ar"/>
              </w:rPr>
              <w:t>T</w:t>
            </w:r>
          </w:p>
        </w:tc>
        <w:tc>
          <w:tcPr>
            <w:tcW w:w="718" w:type="dxa"/>
            <w:vMerge w:val="continue"/>
            <w:tcBorders>
              <w:tl2br w:val="nil"/>
              <w:tr2bl w:val="nil"/>
            </w:tcBorders>
            <w:vAlign w:val="center"/>
          </w:tcPr>
          <w:p>
            <w:pPr>
              <w:widowControl/>
              <w:adjustRightInd w:val="0"/>
              <w:snapToGrid w:val="0"/>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3066" w:type="dxa"/>
            <w:gridSpan w:val="4"/>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危险废物合计</w:t>
            </w:r>
          </w:p>
        </w:tc>
        <w:tc>
          <w:tcPr>
            <w:tcW w:w="753" w:type="dxa"/>
            <w:tcBorders>
              <w:tl2br w:val="nil"/>
              <w:tr2bl w:val="nil"/>
            </w:tcBorders>
            <w:vAlign w:val="center"/>
          </w:tcPr>
          <w:p>
            <w:pPr>
              <w:widowControl/>
              <w:adjustRightInd w:val="0"/>
              <w:snapToGrid w:val="0"/>
              <w:jc w:val="center"/>
              <w:textAlignment w:val="center"/>
              <w:rPr>
                <w:color w:val="auto"/>
                <w:szCs w:val="21"/>
              </w:rPr>
            </w:pPr>
            <w:r>
              <w:rPr>
                <w:rFonts w:hint="eastAsia"/>
                <w:color w:val="auto"/>
                <w:szCs w:val="21"/>
              </w:rPr>
              <w:t>10.0977</w:t>
            </w:r>
          </w:p>
        </w:tc>
        <w:tc>
          <w:tcPr>
            <w:tcW w:w="976"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494"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881"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708"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596"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570"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w:t>
            </w:r>
          </w:p>
        </w:tc>
        <w:tc>
          <w:tcPr>
            <w:tcW w:w="718" w:type="dxa"/>
            <w:vMerge w:val="continue"/>
            <w:tcBorders>
              <w:tl2br w:val="nil"/>
              <w:tr2bl w:val="nil"/>
            </w:tcBorders>
            <w:vAlign w:val="center"/>
          </w:tcPr>
          <w:p>
            <w:pPr>
              <w:adjustRightInd w:val="0"/>
              <w:snapToGrid w:val="0"/>
              <w:jc w:val="center"/>
              <w:rPr>
                <w:color w:val="auto"/>
                <w:szCs w:val="21"/>
              </w:rPr>
            </w:pPr>
          </w:p>
        </w:tc>
      </w:tr>
    </w:tbl>
    <w:p>
      <w:pPr>
        <w:adjustRightInd w:val="0"/>
        <w:snapToGrid w:val="0"/>
        <w:spacing w:before="159" w:beforeLines="50" w:line="360" w:lineRule="auto"/>
        <w:rPr>
          <w:color w:val="auto"/>
          <w:szCs w:val="21"/>
        </w:rPr>
      </w:pPr>
      <w:r>
        <w:rPr>
          <w:color w:val="auto"/>
          <w:szCs w:val="21"/>
        </w:rPr>
        <w:t>注：1、危险特性中 T：毒性、I：易燃性。</w:t>
      </w:r>
    </w:p>
    <w:p>
      <w:pPr>
        <w:pStyle w:val="32"/>
        <w:spacing w:line="360" w:lineRule="auto"/>
        <w:ind w:left="-617" w:leftChars="-294" w:firstLine="839"/>
        <w:jc w:val="both"/>
        <w:rPr>
          <w:color w:val="auto"/>
        </w:rPr>
      </w:pPr>
      <w:r>
        <w:rPr>
          <w:color w:val="auto"/>
        </w:rPr>
        <w:t>5、污染物产排情况汇总</w:t>
      </w:r>
    </w:p>
    <w:p>
      <w:pPr>
        <w:pStyle w:val="32"/>
        <w:spacing w:line="360" w:lineRule="auto"/>
        <w:ind w:left="-420" w:leftChars="-200" w:firstLine="480" w:firstLineChars="200"/>
        <w:jc w:val="both"/>
        <w:rPr>
          <w:color w:val="auto"/>
        </w:rPr>
      </w:pPr>
      <w:r>
        <w:rPr>
          <w:color w:val="auto"/>
        </w:rPr>
        <w:t>根据工程分析和产污环节分析，项目各污染物拟采取的防治措施及产排情况</w:t>
      </w:r>
      <w:r>
        <w:rPr>
          <w:rFonts w:hint="eastAsia"/>
          <w:color w:val="auto"/>
        </w:rPr>
        <w:t>如</w:t>
      </w:r>
      <w:r>
        <w:rPr>
          <w:color w:val="auto"/>
        </w:rPr>
        <w:t>下。</w:t>
      </w:r>
    </w:p>
    <w:p>
      <w:pPr>
        <w:pStyle w:val="32"/>
        <w:spacing w:line="360" w:lineRule="auto"/>
        <w:jc w:val="center"/>
        <w:rPr>
          <w:b/>
          <w:bCs/>
          <w:color w:val="auto"/>
          <w:sz w:val="21"/>
          <w:szCs w:val="21"/>
        </w:rPr>
      </w:pPr>
      <w:r>
        <w:rPr>
          <w:b/>
          <w:bCs/>
          <w:color w:val="auto"/>
          <w:sz w:val="21"/>
          <w:szCs w:val="21"/>
        </w:rPr>
        <w:t>表</w:t>
      </w:r>
      <w:r>
        <w:rPr>
          <w:rFonts w:hint="eastAsia"/>
          <w:b/>
          <w:bCs/>
          <w:color w:val="auto"/>
          <w:sz w:val="21"/>
          <w:szCs w:val="21"/>
        </w:rPr>
        <w:t>4.5-18  本</w:t>
      </w:r>
      <w:r>
        <w:rPr>
          <w:b/>
          <w:bCs/>
          <w:color w:val="auto"/>
          <w:sz w:val="21"/>
          <w:szCs w:val="21"/>
        </w:rPr>
        <w:t>项目污染物产排情况汇总表</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1794"/>
        <w:gridCol w:w="1958"/>
        <w:gridCol w:w="1485"/>
        <w:gridCol w:w="1274"/>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tcBorders>
              <w:tl2br w:val="nil"/>
              <w:tr2bl w:val="nil"/>
            </w:tcBorders>
            <w:vAlign w:val="center"/>
          </w:tcPr>
          <w:p>
            <w:pPr>
              <w:adjustRightInd w:val="0"/>
              <w:snapToGrid w:val="0"/>
              <w:jc w:val="center"/>
              <w:rPr>
                <w:bCs/>
                <w:color w:val="auto"/>
                <w:szCs w:val="21"/>
              </w:rPr>
            </w:pPr>
            <w:r>
              <w:rPr>
                <w:bCs/>
                <w:color w:val="auto"/>
                <w:szCs w:val="21"/>
              </w:rPr>
              <w:t>类别</w:t>
            </w:r>
          </w:p>
        </w:tc>
        <w:tc>
          <w:tcPr>
            <w:tcW w:w="3752" w:type="dxa"/>
            <w:gridSpan w:val="2"/>
            <w:tcBorders>
              <w:tl2br w:val="nil"/>
              <w:tr2bl w:val="nil"/>
            </w:tcBorders>
            <w:vAlign w:val="center"/>
          </w:tcPr>
          <w:p>
            <w:pPr>
              <w:adjustRightInd w:val="0"/>
              <w:snapToGrid w:val="0"/>
              <w:jc w:val="center"/>
              <w:rPr>
                <w:bCs/>
                <w:color w:val="auto"/>
                <w:szCs w:val="21"/>
              </w:rPr>
            </w:pPr>
            <w:r>
              <w:rPr>
                <w:bCs/>
                <w:color w:val="auto"/>
                <w:szCs w:val="21"/>
              </w:rPr>
              <w:t>项目</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产生量</w:t>
            </w:r>
          </w:p>
        </w:tc>
        <w:tc>
          <w:tcPr>
            <w:tcW w:w="1274" w:type="dxa"/>
            <w:tcBorders>
              <w:tl2br w:val="nil"/>
              <w:tr2bl w:val="nil"/>
            </w:tcBorders>
            <w:vAlign w:val="center"/>
          </w:tcPr>
          <w:p>
            <w:pPr>
              <w:adjustRightInd w:val="0"/>
              <w:snapToGrid w:val="0"/>
              <w:jc w:val="center"/>
              <w:rPr>
                <w:bCs/>
                <w:color w:val="auto"/>
                <w:szCs w:val="21"/>
              </w:rPr>
            </w:pPr>
            <w:r>
              <w:rPr>
                <w:bCs/>
                <w:color w:val="auto"/>
                <w:szCs w:val="21"/>
              </w:rPr>
              <w:t>削减量</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restart"/>
            <w:tcBorders>
              <w:tl2br w:val="nil"/>
              <w:tr2bl w:val="nil"/>
            </w:tcBorders>
            <w:vAlign w:val="center"/>
          </w:tcPr>
          <w:p>
            <w:pPr>
              <w:adjustRightInd w:val="0"/>
              <w:snapToGrid w:val="0"/>
              <w:jc w:val="center"/>
              <w:rPr>
                <w:bCs/>
                <w:color w:val="auto"/>
                <w:szCs w:val="21"/>
              </w:rPr>
            </w:pPr>
            <w:r>
              <w:rPr>
                <w:bCs/>
                <w:color w:val="auto"/>
                <w:szCs w:val="21"/>
              </w:rPr>
              <w:t>废水</w:t>
            </w:r>
          </w:p>
        </w:tc>
        <w:tc>
          <w:tcPr>
            <w:tcW w:w="1794" w:type="dxa"/>
            <w:vMerge w:val="restart"/>
            <w:tcBorders>
              <w:tl2br w:val="nil"/>
              <w:tr2bl w:val="nil"/>
            </w:tcBorders>
            <w:vAlign w:val="center"/>
          </w:tcPr>
          <w:p>
            <w:pPr>
              <w:adjustRightInd w:val="0"/>
              <w:snapToGrid w:val="0"/>
              <w:jc w:val="center"/>
              <w:rPr>
                <w:bCs/>
                <w:color w:val="auto"/>
                <w:szCs w:val="21"/>
              </w:rPr>
            </w:pPr>
            <w:r>
              <w:rPr>
                <w:bCs/>
                <w:color w:val="auto"/>
                <w:szCs w:val="21"/>
              </w:rPr>
              <w:t>员工生活污水</w:t>
            </w:r>
          </w:p>
        </w:tc>
        <w:tc>
          <w:tcPr>
            <w:tcW w:w="1958" w:type="dxa"/>
            <w:tcBorders>
              <w:tl2br w:val="nil"/>
              <w:tr2bl w:val="nil"/>
            </w:tcBorders>
            <w:vAlign w:val="center"/>
          </w:tcPr>
          <w:p>
            <w:pPr>
              <w:adjustRightInd w:val="0"/>
              <w:snapToGrid w:val="0"/>
              <w:jc w:val="center"/>
              <w:rPr>
                <w:bCs/>
                <w:color w:val="auto"/>
                <w:szCs w:val="21"/>
              </w:rPr>
            </w:pPr>
            <w:r>
              <w:rPr>
                <w:bCs/>
                <w:color w:val="auto"/>
                <w:szCs w:val="21"/>
              </w:rPr>
              <w:t>水量（m</w:t>
            </w:r>
            <w:r>
              <w:rPr>
                <w:bCs/>
                <w:color w:val="auto"/>
                <w:szCs w:val="21"/>
                <w:vertAlign w:val="superscript"/>
              </w:rPr>
              <w:t>3</w:t>
            </w:r>
            <w:r>
              <w:rPr>
                <w:bCs/>
                <w:color w:val="auto"/>
                <w:szCs w:val="21"/>
              </w:rPr>
              <w: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712.8</w:t>
            </w:r>
          </w:p>
        </w:tc>
        <w:tc>
          <w:tcPr>
            <w:tcW w:w="1274" w:type="dxa"/>
            <w:tcBorders>
              <w:tl2br w:val="nil"/>
              <w:tr2bl w:val="nil"/>
            </w:tcBorders>
            <w:vAlign w:val="center"/>
          </w:tcPr>
          <w:p>
            <w:pPr>
              <w:adjustRightInd w:val="0"/>
              <w:snapToGrid w:val="0"/>
              <w:jc w:val="center"/>
              <w:rPr>
                <w:bCs/>
                <w:color w:val="auto"/>
                <w:kern w:val="0"/>
                <w:szCs w:val="21"/>
              </w:rPr>
            </w:pPr>
            <w:r>
              <w:rPr>
                <w:bCs/>
                <w:color w:val="auto"/>
                <w:szCs w:val="21"/>
              </w:rPr>
              <w:t>0</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712.8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COD</w:t>
            </w:r>
            <w:r>
              <w:rPr>
                <w:bCs/>
                <w:color w:val="auto"/>
                <w:szCs w:val="21"/>
                <w:vertAlign w:val="subscript"/>
              </w:rPr>
              <w:t>cr</w:t>
            </w:r>
            <w:r>
              <w:rPr>
                <w:bCs/>
                <w:color w:val="auto"/>
                <w:szCs w:val="21"/>
              </w:rPr>
              <w:t>（t/a）</w:t>
            </w:r>
          </w:p>
        </w:tc>
        <w:tc>
          <w:tcPr>
            <w:tcW w:w="1485" w:type="dxa"/>
            <w:tcBorders>
              <w:tl2br w:val="nil"/>
              <w:tr2bl w:val="nil"/>
            </w:tcBorders>
            <w:vAlign w:val="center"/>
          </w:tcPr>
          <w:p>
            <w:pPr>
              <w:autoSpaceDN w:val="0"/>
              <w:adjustRightInd w:val="0"/>
              <w:snapToGrid w:val="0"/>
              <w:jc w:val="center"/>
              <w:textAlignment w:val="center"/>
              <w:rPr>
                <w:bCs/>
                <w:color w:val="auto"/>
                <w:szCs w:val="21"/>
              </w:rPr>
            </w:pPr>
            <w:r>
              <w:rPr>
                <w:bCs/>
                <w:color w:val="auto"/>
                <w:kern w:val="0"/>
                <w:szCs w:val="21"/>
                <w:lang w:bidi="ar"/>
              </w:rPr>
              <w:t>0.2138</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0.0142</w:t>
            </w:r>
          </w:p>
        </w:tc>
        <w:tc>
          <w:tcPr>
            <w:tcW w:w="1190" w:type="dxa"/>
            <w:tcBorders>
              <w:tl2br w:val="nil"/>
              <w:tr2bl w:val="nil"/>
            </w:tcBorders>
            <w:vAlign w:val="center"/>
          </w:tcPr>
          <w:p>
            <w:pPr>
              <w:adjustRightInd w:val="0"/>
              <w:snapToGrid w:val="0"/>
              <w:jc w:val="center"/>
              <w:rPr>
                <w:bCs/>
                <w:color w:val="auto"/>
                <w:szCs w:val="21"/>
              </w:rPr>
            </w:pPr>
            <w:r>
              <w:rPr>
                <w:bCs/>
                <w:color w:val="auto"/>
                <w:kern w:val="0"/>
                <w:szCs w:val="21"/>
                <w:lang w:bidi="ar"/>
              </w:rPr>
              <w:t xml:space="preserve">0.1996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BOD</w:t>
            </w:r>
            <w:r>
              <w:rPr>
                <w:bCs/>
                <w:color w:val="auto"/>
                <w:szCs w:val="21"/>
                <w:vertAlign w:val="subscript"/>
              </w:rPr>
              <w:t>5</w:t>
            </w:r>
            <w:r>
              <w:rPr>
                <w:bCs/>
                <w:color w:val="auto"/>
                <w:szCs w:val="21"/>
              </w:rPr>
              <w:t>（t/a）</w:t>
            </w:r>
          </w:p>
        </w:tc>
        <w:tc>
          <w:tcPr>
            <w:tcW w:w="1485" w:type="dxa"/>
            <w:tcBorders>
              <w:tl2br w:val="nil"/>
              <w:tr2bl w:val="nil"/>
            </w:tcBorders>
            <w:vAlign w:val="center"/>
          </w:tcPr>
          <w:p>
            <w:pPr>
              <w:adjustRightInd w:val="0"/>
              <w:snapToGrid w:val="0"/>
              <w:jc w:val="center"/>
              <w:rPr>
                <w:bCs/>
                <w:color w:val="auto"/>
                <w:szCs w:val="21"/>
              </w:rPr>
            </w:pPr>
            <w:r>
              <w:rPr>
                <w:bCs/>
                <w:color w:val="auto"/>
                <w:kern w:val="0"/>
                <w:szCs w:val="21"/>
                <w:lang w:bidi="ar"/>
              </w:rPr>
              <w:t xml:space="preserve">0.1426 </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0.0143</w:t>
            </w:r>
          </w:p>
        </w:tc>
        <w:tc>
          <w:tcPr>
            <w:tcW w:w="1190" w:type="dxa"/>
            <w:tcBorders>
              <w:tl2br w:val="nil"/>
              <w:tr2bl w:val="nil"/>
            </w:tcBorders>
            <w:vAlign w:val="center"/>
          </w:tcPr>
          <w:p>
            <w:pPr>
              <w:adjustRightInd w:val="0"/>
              <w:snapToGrid w:val="0"/>
              <w:jc w:val="center"/>
              <w:rPr>
                <w:bCs/>
                <w:color w:val="auto"/>
                <w:szCs w:val="21"/>
              </w:rPr>
            </w:pPr>
            <w:r>
              <w:rPr>
                <w:bCs/>
                <w:color w:val="auto"/>
                <w:kern w:val="0"/>
                <w:szCs w:val="21"/>
                <w:lang w:bidi="ar"/>
              </w:rPr>
              <w:t xml:space="preserve">0.1283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SS（t/a）</w:t>
            </w:r>
          </w:p>
        </w:tc>
        <w:tc>
          <w:tcPr>
            <w:tcW w:w="1485" w:type="dxa"/>
            <w:tcBorders>
              <w:tl2br w:val="nil"/>
              <w:tr2bl w:val="nil"/>
            </w:tcBorders>
            <w:vAlign w:val="center"/>
          </w:tcPr>
          <w:p>
            <w:pPr>
              <w:adjustRightInd w:val="0"/>
              <w:snapToGrid w:val="0"/>
              <w:jc w:val="center"/>
              <w:rPr>
                <w:bCs/>
                <w:color w:val="auto"/>
                <w:szCs w:val="21"/>
              </w:rPr>
            </w:pPr>
            <w:r>
              <w:rPr>
                <w:bCs/>
                <w:color w:val="auto"/>
                <w:kern w:val="0"/>
                <w:szCs w:val="21"/>
                <w:lang w:bidi="ar"/>
              </w:rPr>
              <w:t>0.2138</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0.0712</w:t>
            </w:r>
          </w:p>
        </w:tc>
        <w:tc>
          <w:tcPr>
            <w:tcW w:w="1190" w:type="dxa"/>
            <w:tcBorders>
              <w:tl2br w:val="nil"/>
              <w:tr2bl w:val="nil"/>
            </w:tcBorders>
            <w:vAlign w:val="center"/>
          </w:tcPr>
          <w:p>
            <w:pPr>
              <w:adjustRightInd w:val="0"/>
              <w:snapToGrid w:val="0"/>
              <w:jc w:val="center"/>
              <w:rPr>
                <w:bCs/>
                <w:color w:val="auto"/>
                <w:szCs w:val="21"/>
              </w:rPr>
            </w:pPr>
            <w:r>
              <w:rPr>
                <w:bCs/>
                <w:color w:val="auto"/>
                <w:kern w:val="0"/>
                <w:szCs w:val="21"/>
                <w:lang w:bidi="ar"/>
              </w:rPr>
              <w:t xml:space="preserve">0.1426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氨氮（t/a）</w:t>
            </w:r>
          </w:p>
        </w:tc>
        <w:tc>
          <w:tcPr>
            <w:tcW w:w="1485" w:type="dxa"/>
            <w:tcBorders>
              <w:tl2br w:val="nil"/>
              <w:tr2bl w:val="nil"/>
            </w:tcBorders>
            <w:vAlign w:val="center"/>
          </w:tcPr>
          <w:p>
            <w:pPr>
              <w:adjustRightInd w:val="0"/>
              <w:snapToGrid w:val="0"/>
              <w:jc w:val="center"/>
              <w:rPr>
                <w:bCs/>
                <w:color w:val="auto"/>
                <w:kern w:val="0"/>
                <w:szCs w:val="21"/>
                <w:lang w:bidi="ar"/>
              </w:rPr>
            </w:pPr>
            <w:r>
              <w:rPr>
                <w:bCs/>
                <w:color w:val="auto"/>
                <w:kern w:val="0"/>
                <w:szCs w:val="21"/>
                <w:lang w:bidi="ar"/>
              </w:rPr>
              <w:t xml:space="preserve">0.0200 </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0.0057</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0.0143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restart"/>
            <w:tcBorders>
              <w:tl2br w:val="nil"/>
              <w:tr2bl w:val="nil"/>
            </w:tcBorders>
            <w:vAlign w:val="center"/>
          </w:tcPr>
          <w:p>
            <w:pPr>
              <w:adjustRightInd w:val="0"/>
              <w:snapToGrid w:val="0"/>
              <w:jc w:val="center"/>
              <w:rPr>
                <w:bCs/>
                <w:color w:val="auto"/>
                <w:szCs w:val="21"/>
              </w:rPr>
            </w:pPr>
            <w:r>
              <w:rPr>
                <w:bCs/>
                <w:color w:val="auto"/>
                <w:szCs w:val="21"/>
              </w:rPr>
              <w:t>废气</w:t>
            </w:r>
          </w:p>
        </w:tc>
        <w:tc>
          <w:tcPr>
            <w:tcW w:w="1794" w:type="dxa"/>
            <w:tcBorders>
              <w:tl2br w:val="nil"/>
              <w:tr2bl w:val="nil"/>
            </w:tcBorders>
            <w:vAlign w:val="center"/>
          </w:tcPr>
          <w:p>
            <w:pPr>
              <w:adjustRightInd w:val="0"/>
              <w:snapToGrid w:val="0"/>
              <w:jc w:val="center"/>
              <w:rPr>
                <w:bCs/>
                <w:color w:val="auto"/>
                <w:szCs w:val="21"/>
              </w:rPr>
            </w:pPr>
            <w:r>
              <w:rPr>
                <w:bCs/>
                <w:color w:val="auto"/>
                <w:szCs w:val="21"/>
              </w:rPr>
              <w:t>湿式破碎生产线</w:t>
            </w:r>
          </w:p>
        </w:tc>
        <w:tc>
          <w:tcPr>
            <w:tcW w:w="1958" w:type="dxa"/>
            <w:tcBorders>
              <w:tl2br w:val="nil"/>
              <w:tr2bl w:val="nil"/>
            </w:tcBorders>
            <w:vAlign w:val="center"/>
          </w:tcPr>
          <w:p>
            <w:pPr>
              <w:adjustRightInd w:val="0"/>
              <w:snapToGrid w:val="0"/>
              <w:jc w:val="center"/>
              <w:rPr>
                <w:bCs/>
                <w:color w:val="auto"/>
                <w:szCs w:val="21"/>
              </w:rPr>
            </w:pPr>
            <w:r>
              <w:rPr>
                <w:bCs/>
                <w:color w:val="auto"/>
                <w:szCs w:val="21"/>
              </w:rPr>
              <w:t>颗粒物（t/a）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2.1</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1.7955</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0.3045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restart"/>
            <w:tcBorders>
              <w:tl2br w:val="nil"/>
              <w:tr2bl w:val="nil"/>
            </w:tcBorders>
            <w:vAlign w:val="center"/>
          </w:tcPr>
          <w:p>
            <w:pPr>
              <w:adjustRightInd w:val="0"/>
              <w:snapToGrid w:val="0"/>
              <w:jc w:val="center"/>
              <w:rPr>
                <w:bCs/>
                <w:color w:val="auto"/>
                <w:szCs w:val="21"/>
              </w:rPr>
            </w:pPr>
            <w:r>
              <w:rPr>
                <w:bCs/>
                <w:color w:val="auto"/>
                <w:szCs w:val="21"/>
              </w:rPr>
              <w:t>卷材生产线</w:t>
            </w:r>
          </w:p>
        </w:tc>
        <w:tc>
          <w:tcPr>
            <w:tcW w:w="1958" w:type="dxa"/>
            <w:tcBorders>
              <w:tl2br w:val="nil"/>
              <w:tr2bl w:val="nil"/>
            </w:tcBorders>
            <w:vAlign w:val="center"/>
          </w:tcPr>
          <w:p>
            <w:pPr>
              <w:jc w:val="center"/>
              <w:rPr>
                <w:bCs/>
                <w:color w:val="auto"/>
                <w:szCs w:val="21"/>
              </w:rPr>
            </w:pPr>
            <w:r>
              <w:rPr>
                <w:bCs/>
                <w:color w:val="auto"/>
                <w:szCs w:val="21"/>
              </w:rPr>
              <w:t>颗粒物（t/a）</w:t>
            </w:r>
          </w:p>
        </w:tc>
        <w:tc>
          <w:tcPr>
            <w:tcW w:w="1485" w:type="dxa"/>
            <w:tcBorders>
              <w:tl2br w:val="nil"/>
              <w:tr2bl w:val="nil"/>
            </w:tcBorders>
            <w:vAlign w:val="center"/>
          </w:tcPr>
          <w:p>
            <w:pPr>
              <w:adjustRightInd w:val="0"/>
              <w:snapToGrid w:val="0"/>
              <w:jc w:val="center"/>
              <w:rPr>
                <w:rFonts w:hint="eastAsia" w:eastAsia="宋体"/>
                <w:bCs/>
                <w:color w:val="auto"/>
                <w:szCs w:val="21"/>
                <w:lang w:eastAsia="zh-CN"/>
              </w:rPr>
            </w:pPr>
            <w:r>
              <w:rPr>
                <w:rFonts w:hint="eastAsia"/>
                <w:bCs/>
                <w:color w:val="auto"/>
                <w:szCs w:val="21"/>
                <w:lang w:val="en-US" w:eastAsia="zh-CN"/>
              </w:rPr>
              <w:t>4.9704</w:t>
            </w:r>
          </w:p>
        </w:tc>
        <w:tc>
          <w:tcPr>
            <w:tcW w:w="1274" w:type="dxa"/>
            <w:tcBorders>
              <w:tl2br w:val="nil"/>
              <w:tr2bl w:val="nil"/>
            </w:tcBorders>
            <w:vAlign w:val="center"/>
          </w:tcPr>
          <w:p>
            <w:pPr>
              <w:widowControl/>
              <w:adjustRightInd w:val="0"/>
              <w:snapToGrid w:val="0"/>
              <w:jc w:val="center"/>
              <w:textAlignment w:val="center"/>
              <w:rPr>
                <w:rFonts w:hint="eastAsia" w:eastAsia="宋体"/>
                <w:bCs/>
                <w:color w:val="auto"/>
                <w:szCs w:val="21"/>
                <w:lang w:eastAsia="zh-CN"/>
              </w:rPr>
            </w:pPr>
            <w:r>
              <w:rPr>
                <w:rFonts w:hint="eastAsia"/>
                <w:bCs/>
                <w:color w:val="auto"/>
                <w:szCs w:val="21"/>
                <w:lang w:val="en-US" w:eastAsia="zh-CN"/>
              </w:rPr>
              <w:t>4.4858</w:t>
            </w:r>
          </w:p>
        </w:tc>
        <w:tc>
          <w:tcPr>
            <w:tcW w:w="1190" w:type="dxa"/>
            <w:tcBorders>
              <w:tl2br w:val="nil"/>
              <w:tr2bl w:val="nil"/>
            </w:tcBorders>
            <w:vAlign w:val="center"/>
          </w:tcPr>
          <w:p>
            <w:pPr>
              <w:adjustRightInd w:val="0"/>
              <w:snapToGrid w:val="0"/>
              <w:jc w:val="center"/>
              <w:rPr>
                <w:rFonts w:hint="eastAsia" w:eastAsia="宋体"/>
                <w:bCs/>
                <w:color w:val="auto"/>
                <w:szCs w:val="21"/>
                <w:lang w:eastAsia="zh-CN"/>
              </w:rPr>
            </w:pPr>
            <w:r>
              <w:rPr>
                <w:rFonts w:hint="eastAsia"/>
                <w:bCs/>
                <w:color w:val="auto"/>
                <w:szCs w:val="21"/>
                <w:lang w:val="en-US" w:eastAsia="zh-CN"/>
              </w:rPr>
              <w:t>0.2361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jc w:val="center"/>
              <w:rPr>
                <w:bCs/>
                <w:color w:val="auto"/>
                <w:szCs w:val="21"/>
              </w:rPr>
            </w:pPr>
            <w:r>
              <w:rPr>
                <w:bCs/>
                <w:color w:val="auto"/>
                <w:szCs w:val="21"/>
              </w:rPr>
              <w:t>苯并[a]芘（t/a）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0.000</w:t>
            </w:r>
            <w:r>
              <w:rPr>
                <w:rFonts w:hint="eastAsia"/>
                <w:bCs/>
                <w:color w:val="auto"/>
                <w:szCs w:val="21"/>
              </w:rPr>
              <w:t>4</w:t>
            </w:r>
          </w:p>
        </w:tc>
        <w:tc>
          <w:tcPr>
            <w:tcW w:w="1274" w:type="dxa"/>
            <w:tcBorders>
              <w:tl2br w:val="nil"/>
              <w:tr2bl w:val="nil"/>
            </w:tcBorders>
            <w:vAlign w:val="center"/>
          </w:tcPr>
          <w:p>
            <w:pPr>
              <w:widowControl/>
              <w:jc w:val="center"/>
              <w:textAlignment w:val="center"/>
              <w:rPr>
                <w:bCs/>
                <w:color w:val="auto"/>
                <w:szCs w:val="21"/>
              </w:rPr>
            </w:pPr>
            <w:r>
              <w:rPr>
                <w:bCs/>
                <w:color w:val="auto"/>
                <w:kern w:val="0"/>
                <w:szCs w:val="21"/>
                <w:lang w:bidi="ar"/>
              </w:rPr>
              <w:t>0.000</w:t>
            </w:r>
            <w:r>
              <w:rPr>
                <w:rFonts w:hint="eastAsia"/>
                <w:bCs/>
                <w:color w:val="auto"/>
                <w:kern w:val="0"/>
                <w:szCs w:val="21"/>
                <w:lang w:bidi="ar"/>
              </w:rPr>
              <w:t>356</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0.0000</w:t>
            </w:r>
            <w:r>
              <w:rPr>
                <w:rFonts w:hint="eastAsia"/>
                <w:bCs/>
                <w:color w:val="auto"/>
                <w:szCs w:val="21"/>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jc w:val="center"/>
              <w:rPr>
                <w:bCs/>
                <w:color w:val="auto"/>
                <w:szCs w:val="21"/>
              </w:rPr>
            </w:pPr>
            <w:r>
              <w:rPr>
                <w:bCs/>
                <w:color w:val="auto"/>
                <w:szCs w:val="21"/>
              </w:rPr>
              <w:t>沥青烟（t/a）</w:t>
            </w:r>
          </w:p>
        </w:tc>
        <w:tc>
          <w:tcPr>
            <w:tcW w:w="1485" w:type="dxa"/>
            <w:tcBorders>
              <w:tl2br w:val="nil"/>
              <w:tr2bl w:val="nil"/>
            </w:tcBorders>
            <w:vAlign w:val="center"/>
          </w:tcPr>
          <w:p>
            <w:pPr>
              <w:adjustRightInd w:val="0"/>
              <w:snapToGrid w:val="0"/>
              <w:jc w:val="center"/>
              <w:rPr>
                <w:bCs/>
                <w:color w:val="auto"/>
                <w:szCs w:val="21"/>
              </w:rPr>
            </w:pPr>
            <w:r>
              <w:rPr>
                <w:rFonts w:hint="eastAsia"/>
                <w:bCs/>
                <w:color w:val="auto"/>
                <w:szCs w:val="21"/>
              </w:rPr>
              <w:t>2.25</w:t>
            </w:r>
          </w:p>
        </w:tc>
        <w:tc>
          <w:tcPr>
            <w:tcW w:w="1274" w:type="dxa"/>
            <w:tcBorders>
              <w:tl2br w:val="nil"/>
              <w:tr2bl w:val="nil"/>
            </w:tcBorders>
            <w:vAlign w:val="center"/>
          </w:tcPr>
          <w:p>
            <w:pPr>
              <w:widowControl/>
              <w:jc w:val="center"/>
              <w:textAlignment w:val="center"/>
              <w:rPr>
                <w:bCs/>
                <w:color w:val="auto"/>
                <w:szCs w:val="21"/>
              </w:rPr>
            </w:pPr>
            <w:r>
              <w:rPr>
                <w:rFonts w:hint="eastAsia"/>
                <w:bCs/>
                <w:color w:val="auto"/>
                <w:kern w:val="0"/>
                <w:szCs w:val="21"/>
                <w:lang w:bidi="ar"/>
              </w:rPr>
              <w:t>2.0048</w:t>
            </w:r>
          </w:p>
        </w:tc>
        <w:tc>
          <w:tcPr>
            <w:tcW w:w="1190" w:type="dxa"/>
            <w:tcBorders>
              <w:tl2br w:val="nil"/>
              <w:tr2bl w:val="nil"/>
            </w:tcBorders>
            <w:vAlign w:val="center"/>
          </w:tcPr>
          <w:p>
            <w:pPr>
              <w:adjustRightInd w:val="0"/>
              <w:snapToGrid w:val="0"/>
              <w:jc w:val="center"/>
              <w:rPr>
                <w:bCs/>
                <w:color w:val="auto"/>
                <w:szCs w:val="21"/>
              </w:rPr>
            </w:pPr>
            <w:r>
              <w:rPr>
                <w:rFonts w:hint="eastAsia"/>
                <w:bCs/>
                <w:color w:val="auto"/>
                <w:szCs w:val="21"/>
              </w:rPr>
              <w:t>0.2453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jc w:val="center"/>
              <w:rPr>
                <w:bCs/>
                <w:color w:val="auto"/>
                <w:szCs w:val="21"/>
              </w:rPr>
            </w:pPr>
            <w:r>
              <w:rPr>
                <w:bCs/>
                <w:color w:val="auto"/>
                <w:szCs w:val="21"/>
              </w:rPr>
              <w:t>非甲烷总烃（t/a）</w:t>
            </w:r>
          </w:p>
        </w:tc>
        <w:tc>
          <w:tcPr>
            <w:tcW w:w="1485" w:type="dxa"/>
            <w:tcBorders>
              <w:tl2br w:val="nil"/>
              <w:tr2bl w:val="nil"/>
            </w:tcBorders>
            <w:vAlign w:val="center"/>
          </w:tcPr>
          <w:p>
            <w:pPr>
              <w:adjustRightInd w:val="0"/>
              <w:snapToGrid w:val="0"/>
              <w:jc w:val="center"/>
              <w:rPr>
                <w:bCs/>
                <w:color w:val="auto"/>
                <w:szCs w:val="21"/>
              </w:rPr>
            </w:pPr>
            <w:r>
              <w:rPr>
                <w:rFonts w:hint="eastAsia"/>
                <w:bCs/>
                <w:color w:val="auto"/>
                <w:szCs w:val="21"/>
              </w:rPr>
              <w:t>0.0551</w:t>
            </w:r>
          </w:p>
        </w:tc>
        <w:tc>
          <w:tcPr>
            <w:tcW w:w="1274" w:type="dxa"/>
            <w:tcBorders>
              <w:tl2br w:val="nil"/>
              <w:tr2bl w:val="nil"/>
            </w:tcBorders>
            <w:vAlign w:val="center"/>
          </w:tcPr>
          <w:p>
            <w:pPr>
              <w:widowControl/>
              <w:jc w:val="center"/>
              <w:textAlignment w:val="center"/>
              <w:rPr>
                <w:bCs/>
                <w:color w:val="auto"/>
                <w:szCs w:val="21"/>
              </w:rPr>
            </w:pPr>
            <w:r>
              <w:rPr>
                <w:bCs/>
                <w:color w:val="auto"/>
                <w:kern w:val="0"/>
                <w:szCs w:val="21"/>
                <w:lang w:bidi="ar"/>
              </w:rPr>
              <w:t>0.0</w:t>
            </w:r>
            <w:r>
              <w:rPr>
                <w:rFonts w:hint="eastAsia"/>
                <w:bCs/>
                <w:color w:val="auto"/>
                <w:kern w:val="0"/>
                <w:szCs w:val="21"/>
                <w:lang w:bidi="ar"/>
              </w:rPr>
              <w:t>089</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0.04</w:t>
            </w:r>
            <w:r>
              <w:rPr>
                <w:rFonts w:hint="eastAsia"/>
                <w:bCs/>
                <w:color w:val="auto"/>
                <w:szCs w:val="21"/>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restart"/>
            <w:tcBorders>
              <w:tl2br w:val="nil"/>
              <w:tr2bl w:val="nil"/>
            </w:tcBorders>
            <w:vAlign w:val="center"/>
          </w:tcPr>
          <w:p>
            <w:pPr>
              <w:adjustRightInd w:val="0"/>
              <w:snapToGrid w:val="0"/>
              <w:jc w:val="center"/>
              <w:rPr>
                <w:bCs/>
                <w:color w:val="auto"/>
                <w:szCs w:val="21"/>
              </w:rPr>
            </w:pPr>
            <w:r>
              <w:rPr>
                <w:rFonts w:hint="eastAsia"/>
                <w:bCs/>
                <w:color w:val="auto"/>
                <w:szCs w:val="21"/>
              </w:rPr>
              <w:t>导热油炉</w:t>
            </w:r>
          </w:p>
        </w:tc>
        <w:tc>
          <w:tcPr>
            <w:tcW w:w="1958" w:type="dxa"/>
            <w:tcBorders>
              <w:tl2br w:val="nil"/>
              <w:tr2bl w:val="nil"/>
            </w:tcBorders>
            <w:vAlign w:val="center"/>
          </w:tcPr>
          <w:p>
            <w:pPr>
              <w:jc w:val="center"/>
              <w:textAlignment w:val="baseline"/>
              <w:rPr>
                <w:bCs/>
                <w:color w:val="auto"/>
                <w:szCs w:val="21"/>
              </w:rPr>
            </w:pPr>
            <w:r>
              <w:rPr>
                <w:rFonts w:hint="eastAsia"/>
                <w:bCs/>
                <w:color w:val="auto"/>
                <w:kern w:val="0"/>
                <w:szCs w:val="21"/>
                <w:lang w:eastAsia="zh-CN"/>
              </w:rPr>
              <w:t>颗粒物</w:t>
            </w:r>
            <w:r>
              <w:rPr>
                <w:bCs/>
                <w:color w:val="auto"/>
                <w:szCs w:val="21"/>
              </w:rPr>
              <w:t>（t/a）</w:t>
            </w:r>
          </w:p>
        </w:tc>
        <w:tc>
          <w:tcPr>
            <w:tcW w:w="1485" w:type="dxa"/>
            <w:tcBorders>
              <w:tl2br w:val="nil"/>
              <w:tr2bl w:val="nil"/>
            </w:tcBorders>
            <w:vAlign w:val="center"/>
          </w:tcPr>
          <w:p>
            <w:pPr>
              <w:adjustRightInd w:val="0"/>
              <w:snapToGrid w:val="0"/>
              <w:jc w:val="center"/>
              <w:rPr>
                <w:bCs/>
                <w:color w:val="auto"/>
                <w:szCs w:val="21"/>
              </w:rPr>
            </w:pPr>
            <w:r>
              <w:rPr>
                <w:rFonts w:hint="eastAsia"/>
                <w:color w:val="auto"/>
                <w:kern w:val="0"/>
                <w:szCs w:val="21"/>
                <w:lang w:val="en-US" w:eastAsia="zh-CN" w:bidi="ar"/>
              </w:rPr>
              <w:t>0.3146</w:t>
            </w:r>
          </w:p>
        </w:tc>
        <w:tc>
          <w:tcPr>
            <w:tcW w:w="1274" w:type="dxa"/>
            <w:tcBorders>
              <w:tl2br w:val="nil"/>
              <w:tr2bl w:val="nil"/>
            </w:tcBorders>
            <w:vAlign w:val="center"/>
          </w:tcPr>
          <w:p>
            <w:pPr>
              <w:widowControl/>
              <w:adjustRightInd w:val="0"/>
              <w:snapToGrid w:val="0"/>
              <w:jc w:val="center"/>
              <w:textAlignment w:val="center"/>
              <w:rPr>
                <w:bCs/>
                <w:color w:val="auto"/>
                <w:kern w:val="0"/>
                <w:szCs w:val="21"/>
                <w:lang w:bidi="ar"/>
              </w:rPr>
            </w:pPr>
            <w:r>
              <w:rPr>
                <w:bCs/>
                <w:color w:val="auto"/>
                <w:kern w:val="0"/>
                <w:szCs w:val="21"/>
                <w:lang w:bidi="ar"/>
              </w:rPr>
              <w:t>0</w:t>
            </w:r>
          </w:p>
        </w:tc>
        <w:tc>
          <w:tcPr>
            <w:tcW w:w="1190" w:type="dxa"/>
            <w:tcBorders>
              <w:tl2br w:val="nil"/>
              <w:tr2bl w:val="nil"/>
            </w:tcBorders>
            <w:vAlign w:val="center"/>
          </w:tcPr>
          <w:p>
            <w:pPr>
              <w:adjustRightInd w:val="0"/>
              <w:snapToGrid w:val="0"/>
              <w:jc w:val="center"/>
              <w:rPr>
                <w:bCs/>
                <w:color w:val="auto"/>
                <w:szCs w:val="21"/>
              </w:rPr>
            </w:pPr>
            <w:r>
              <w:rPr>
                <w:rFonts w:hint="eastAsia"/>
                <w:color w:val="auto"/>
                <w:kern w:val="0"/>
                <w:szCs w:val="21"/>
                <w:lang w:val="en-US" w:eastAsia="zh-CN" w:bidi="ar"/>
              </w:rPr>
              <w:t>0.3146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jc w:val="center"/>
              <w:textAlignment w:val="baseline"/>
              <w:rPr>
                <w:bCs/>
                <w:color w:val="auto"/>
                <w:szCs w:val="21"/>
              </w:rPr>
            </w:pPr>
            <w:r>
              <w:rPr>
                <w:bCs/>
                <w:color w:val="auto"/>
                <w:kern w:val="0"/>
                <w:szCs w:val="21"/>
              </w:rPr>
              <w:t>SO</w:t>
            </w:r>
            <w:r>
              <w:rPr>
                <w:bCs/>
                <w:color w:val="auto"/>
                <w:kern w:val="0"/>
                <w:szCs w:val="21"/>
                <w:vertAlign w:val="subscript"/>
              </w:rPr>
              <w:t>2</w:t>
            </w:r>
            <w:r>
              <w:rPr>
                <w:bCs/>
                <w:color w:val="auto"/>
                <w:szCs w:val="21"/>
              </w:rPr>
              <w:t>（t/a）</w:t>
            </w:r>
          </w:p>
        </w:tc>
        <w:tc>
          <w:tcPr>
            <w:tcW w:w="1485" w:type="dxa"/>
            <w:tcBorders>
              <w:tl2br w:val="nil"/>
              <w:tr2bl w:val="nil"/>
            </w:tcBorders>
            <w:vAlign w:val="center"/>
          </w:tcPr>
          <w:p>
            <w:pPr>
              <w:adjustRightInd w:val="0"/>
              <w:snapToGrid w:val="0"/>
              <w:jc w:val="center"/>
              <w:rPr>
                <w:rFonts w:hint="eastAsia" w:eastAsia="宋体"/>
                <w:bCs/>
                <w:color w:val="auto"/>
                <w:szCs w:val="21"/>
                <w:lang w:val="en-US" w:eastAsia="zh-CN"/>
              </w:rPr>
            </w:pPr>
            <w:r>
              <w:rPr>
                <w:rFonts w:hint="eastAsia"/>
                <w:bCs/>
                <w:color w:val="auto"/>
                <w:szCs w:val="21"/>
                <w:lang w:val="en-US" w:eastAsia="zh-CN"/>
              </w:rPr>
              <w:t>0.22</w:t>
            </w:r>
          </w:p>
        </w:tc>
        <w:tc>
          <w:tcPr>
            <w:tcW w:w="1274" w:type="dxa"/>
            <w:tcBorders>
              <w:tl2br w:val="nil"/>
              <w:tr2bl w:val="nil"/>
            </w:tcBorders>
            <w:vAlign w:val="center"/>
          </w:tcPr>
          <w:p>
            <w:pPr>
              <w:widowControl/>
              <w:adjustRightInd w:val="0"/>
              <w:snapToGrid w:val="0"/>
              <w:jc w:val="center"/>
              <w:textAlignment w:val="center"/>
              <w:rPr>
                <w:rFonts w:hint="eastAsia" w:eastAsia="宋体"/>
                <w:bCs/>
                <w:color w:val="auto"/>
                <w:kern w:val="0"/>
                <w:szCs w:val="21"/>
                <w:lang w:val="en-US" w:eastAsia="zh-CN" w:bidi="ar"/>
              </w:rPr>
            </w:pPr>
            <w:r>
              <w:rPr>
                <w:rFonts w:hint="eastAsia"/>
                <w:bCs/>
                <w:color w:val="auto"/>
                <w:kern w:val="0"/>
                <w:szCs w:val="21"/>
                <w:lang w:val="en-US" w:eastAsia="zh-CN" w:bidi="ar"/>
              </w:rPr>
              <w:t>0</w:t>
            </w:r>
          </w:p>
        </w:tc>
        <w:tc>
          <w:tcPr>
            <w:tcW w:w="1190" w:type="dxa"/>
            <w:tcBorders>
              <w:tl2br w:val="nil"/>
              <w:tr2bl w:val="nil"/>
            </w:tcBorders>
            <w:vAlign w:val="center"/>
          </w:tcPr>
          <w:p>
            <w:pPr>
              <w:adjustRightInd w:val="0"/>
              <w:snapToGrid w:val="0"/>
              <w:jc w:val="center"/>
              <w:rPr>
                <w:bCs/>
                <w:color w:val="auto"/>
                <w:szCs w:val="21"/>
              </w:rPr>
            </w:pPr>
            <w:r>
              <w:rPr>
                <w:rFonts w:hint="eastAsia"/>
                <w:bCs/>
                <w:color w:val="auto"/>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jc w:val="center"/>
              <w:textAlignment w:val="baseline"/>
              <w:rPr>
                <w:bCs/>
                <w:color w:val="auto"/>
                <w:szCs w:val="21"/>
              </w:rPr>
            </w:pPr>
            <w:r>
              <w:rPr>
                <w:bCs/>
                <w:color w:val="auto"/>
                <w:kern w:val="0"/>
                <w:szCs w:val="21"/>
              </w:rPr>
              <w:t>NOx</w:t>
            </w:r>
            <w:r>
              <w:rPr>
                <w:bCs/>
                <w:color w:val="auto"/>
                <w:szCs w:val="21"/>
              </w:rPr>
              <w:t>（t/a）</w:t>
            </w:r>
          </w:p>
        </w:tc>
        <w:tc>
          <w:tcPr>
            <w:tcW w:w="1485" w:type="dxa"/>
            <w:tcBorders>
              <w:tl2br w:val="nil"/>
              <w:tr2bl w:val="nil"/>
            </w:tcBorders>
            <w:vAlign w:val="center"/>
          </w:tcPr>
          <w:p>
            <w:pPr>
              <w:adjustRightInd w:val="0"/>
              <w:snapToGrid w:val="0"/>
              <w:jc w:val="center"/>
              <w:rPr>
                <w:rFonts w:hint="eastAsia" w:eastAsia="宋体"/>
                <w:bCs/>
                <w:color w:val="auto"/>
                <w:szCs w:val="21"/>
                <w:lang w:eastAsia="zh-CN"/>
              </w:rPr>
            </w:pPr>
            <w:r>
              <w:rPr>
                <w:rFonts w:hint="eastAsia"/>
                <w:bCs/>
                <w:color w:val="auto"/>
                <w:kern w:val="0"/>
                <w:szCs w:val="21"/>
                <w:lang w:val="en-US" w:eastAsia="zh-CN" w:bidi="ar"/>
              </w:rPr>
              <w:t>2.0581</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kern w:val="0"/>
                <w:szCs w:val="21"/>
                <w:lang w:bidi="ar"/>
              </w:rPr>
              <w:t>0</w:t>
            </w:r>
          </w:p>
        </w:tc>
        <w:tc>
          <w:tcPr>
            <w:tcW w:w="1190" w:type="dxa"/>
            <w:tcBorders>
              <w:tl2br w:val="nil"/>
              <w:tr2bl w:val="nil"/>
            </w:tcBorders>
            <w:vAlign w:val="center"/>
          </w:tcPr>
          <w:p>
            <w:pPr>
              <w:adjustRightInd w:val="0"/>
              <w:snapToGrid w:val="0"/>
              <w:jc w:val="center"/>
              <w:rPr>
                <w:bCs/>
                <w:color w:val="auto"/>
                <w:szCs w:val="21"/>
              </w:rPr>
            </w:pPr>
            <w:r>
              <w:rPr>
                <w:rFonts w:hint="eastAsia"/>
                <w:bCs/>
                <w:color w:val="auto"/>
                <w:kern w:val="0"/>
                <w:szCs w:val="21"/>
                <w:lang w:val="en-US" w:eastAsia="zh-CN" w:bidi="ar"/>
              </w:rPr>
              <w:t>2.0581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restart"/>
            <w:tcBorders>
              <w:tl2br w:val="nil"/>
              <w:tr2bl w:val="nil"/>
            </w:tcBorders>
            <w:vAlign w:val="center"/>
          </w:tcPr>
          <w:p>
            <w:pPr>
              <w:adjustRightInd w:val="0"/>
              <w:snapToGrid w:val="0"/>
              <w:jc w:val="center"/>
              <w:rPr>
                <w:bCs/>
                <w:color w:val="auto"/>
                <w:szCs w:val="21"/>
              </w:rPr>
            </w:pPr>
            <w:r>
              <w:rPr>
                <w:bCs/>
                <w:color w:val="auto"/>
                <w:szCs w:val="21"/>
              </w:rPr>
              <w:t>铲车尾气</w:t>
            </w:r>
          </w:p>
        </w:tc>
        <w:tc>
          <w:tcPr>
            <w:tcW w:w="1958" w:type="dxa"/>
            <w:tcBorders>
              <w:tl2br w:val="nil"/>
              <w:tr2bl w:val="nil"/>
            </w:tcBorders>
            <w:vAlign w:val="center"/>
          </w:tcPr>
          <w:p>
            <w:pPr>
              <w:adjustRightInd w:val="0"/>
              <w:snapToGrid w:val="0"/>
              <w:jc w:val="center"/>
              <w:rPr>
                <w:bCs/>
                <w:color w:val="auto"/>
                <w:szCs w:val="21"/>
              </w:rPr>
            </w:pPr>
            <w:r>
              <w:rPr>
                <w:bCs/>
                <w:color w:val="auto"/>
                <w:szCs w:val="21"/>
              </w:rPr>
              <w:t>NOx（t/a）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0.3162</w:t>
            </w:r>
          </w:p>
        </w:tc>
        <w:tc>
          <w:tcPr>
            <w:tcW w:w="1274" w:type="dxa"/>
            <w:tcBorders>
              <w:tl2br w:val="nil"/>
              <w:tr2bl w:val="nil"/>
            </w:tcBorders>
            <w:vAlign w:val="center"/>
          </w:tcPr>
          <w:p>
            <w:pPr>
              <w:widowControl/>
              <w:adjustRightInd w:val="0"/>
              <w:snapToGrid w:val="0"/>
              <w:jc w:val="center"/>
              <w:textAlignment w:val="center"/>
              <w:rPr>
                <w:bCs/>
                <w:color w:val="auto"/>
                <w:kern w:val="0"/>
                <w:szCs w:val="21"/>
              </w:rPr>
            </w:pPr>
            <w:r>
              <w:rPr>
                <w:bCs/>
                <w:color w:val="auto"/>
                <w:kern w:val="0"/>
                <w:szCs w:val="21"/>
                <w:lang w:bidi="ar"/>
              </w:rPr>
              <w:t>0</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0.3162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CO（t/a）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0.0088</w:t>
            </w:r>
          </w:p>
        </w:tc>
        <w:tc>
          <w:tcPr>
            <w:tcW w:w="1274" w:type="dxa"/>
            <w:tcBorders>
              <w:tl2br w:val="nil"/>
              <w:tr2bl w:val="nil"/>
            </w:tcBorders>
            <w:vAlign w:val="center"/>
          </w:tcPr>
          <w:p>
            <w:pPr>
              <w:widowControl/>
              <w:adjustRightInd w:val="0"/>
              <w:snapToGrid w:val="0"/>
              <w:jc w:val="center"/>
              <w:textAlignment w:val="center"/>
              <w:rPr>
                <w:bCs/>
                <w:color w:val="auto"/>
                <w:kern w:val="0"/>
                <w:szCs w:val="21"/>
              </w:rPr>
            </w:pPr>
            <w:r>
              <w:rPr>
                <w:bCs/>
                <w:color w:val="auto"/>
                <w:kern w:val="0"/>
                <w:szCs w:val="21"/>
                <w:lang w:bidi="ar"/>
              </w:rPr>
              <w:t>0</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0.0088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1794" w:type="dxa"/>
            <w:vMerge w:val="continue"/>
            <w:tcBorders>
              <w:tl2br w:val="nil"/>
              <w:tr2bl w:val="nil"/>
            </w:tcBorders>
            <w:vAlign w:val="center"/>
          </w:tcPr>
          <w:p>
            <w:pPr>
              <w:adjustRightInd w:val="0"/>
              <w:snapToGrid w:val="0"/>
              <w:jc w:val="center"/>
              <w:rPr>
                <w:bCs/>
                <w:color w:val="auto"/>
                <w:szCs w:val="21"/>
              </w:rPr>
            </w:pPr>
          </w:p>
        </w:tc>
        <w:tc>
          <w:tcPr>
            <w:tcW w:w="1958" w:type="dxa"/>
            <w:tcBorders>
              <w:tl2br w:val="nil"/>
              <w:tr2bl w:val="nil"/>
            </w:tcBorders>
            <w:vAlign w:val="center"/>
          </w:tcPr>
          <w:p>
            <w:pPr>
              <w:adjustRightInd w:val="0"/>
              <w:snapToGrid w:val="0"/>
              <w:jc w:val="center"/>
              <w:rPr>
                <w:bCs/>
                <w:color w:val="auto"/>
                <w:szCs w:val="21"/>
              </w:rPr>
            </w:pPr>
            <w:r>
              <w:rPr>
                <w:bCs/>
                <w:color w:val="auto"/>
                <w:szCs w:val="21"/>
              </w:rPr>
              <w:t>HC（t/a）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0.0132</w:t>
            </w:r>
          </w:p>
        </w:tc>
        <w:tc>
          <w:tcPr>
            <w:tcW w:w="1274" w:type="dxa"/>
            <w:tcBorders>
              <w:tl2br w:val="nil"/>
              <w:tr2bl w:val="nil"/>
            </w:tcBorders>
            <w:vAlign w:val="center"/>
          </w:tcPr>
          <w:p>
            <w:pPr>
              <w:widowControl/>
              <w:adjustRightInd w:val="0"/>
              <w:snapToGrid w:val="0"/>
              <w:jc w:val="center"/>
              <w:textAlignment w:val="center"/>
              <w:rPr>
                <w:bCs/>
                <w:color w:val="auto"/>
                <w:kern w:val="0"/>
                <w:szCs w:val="21"/>
              </w:rPr>
            </w:pPr>
            <w:r>
              <w:rPr>
                <w:bCs/>
                <w:color w:val="auto"/>
                <w:kern w:val="0"/>
                <w:szCs w:val="21"/>
                <w:lang w:bidi="ar"/>
              </w:rPr>
              <w:t>0</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0.0132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restart"/>
            <w:tcBorders>
              <w:tl2br w:val="nil"/>
              <w:tr2bl w:val="nil"/>
            </w:tcBorders>
            <w:vAlign w:val="center"/>
          </w:tcPr>
          <w:p>
            <w:pPr>
              <w:adjustRightInd w:val="0"/>
              <w:snapToGrid w:val="0"/>
              <w:jc w:val="center"/>
              <w:rPr>
                <w:bCs/>
                <w:color w:val="auto"/>
                <w:szCs w:val="21"/>
              </w:rPr>
            </w:pPr>
            <w:r>
              <w:rPr>
                <w:bCs/>
                <w:color w:val="auto"/>
                <w:szCs w:val="21"/>
              </w:rPr>
              <w:t>一般固废</w:t>
            </w:r>
          </w:p>
        </w:tc>
        <w:tc>
          <w:tcPr>
            <w:tcW w:w="3752" w:type="dxa"/>
            <w:gridSpan w:val="2"/>
            <w:tcBorders>
              <w:tl2br w:val="nil"/>
              <w:tr2bl w:val="nil"/>
            </w:tcBorders>
            <w:vAlign w:val="center"/>
          </w:tcPr>
          <w:p>
            <w:pPr>
              <w:adjustRightInd w:val="0"/>
              <w:snapToGrid w:val="0"/>
              <w:jc w:val="center"/>
              <w:rPr>
                <w:bCs/>
                <w:color w:val="auto"/>
                <w:szCs w:val="21"/>
              </w:rPr>
            </w:pPr>
            <w:r>
              <w:rPr>
                <w:bCs/>
                <w:color w:val="auto"/>
                <w:szCs w:val="21"/>
              </w:rPr>
              <w:t>员工生活垃圾（t/a）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10.098</w:t>
            </w:r>
          </w:p>
        </w:tc>
        <w:tc>
          <w:tcPr>
            <w:tcW w:w="1274" w:type="dxa"/>
            <w:tcBorders>
              <w:tl2br w:val="nil"/>
              <w:tr2bl w:val="nil"/>
            </w:tcBorders>
            <w:vAlign w:val="center"/>
          </w:tcPr>
          <w:p>
            <w:pPr>
              <w:adjustRightInd w:val="0"/>
              <w:snapToGrid w:val="0"/>
              <w:jc w:val="center"/>
              <w:rPr>
                <w:bCs/>
                <w:color w:val="auto"/>
                <w:szCs w:val="21"/>
              </w:rPr>
            </w:pPr>
            <w:r>
              <w:rPr>
                <w:bCs/>
                <w:color w:val="auto"/>
                <w:szCs w:val="21"/>
              </w:rPr>
              <w:t>10.098</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adjustRightInd w:val="0"/>
              <w:snapToGrid w:val="0"/>
              <w:jc w:val="center"/>
              <w:rPr>
                <w:bCs/>
                <w:color w:val="auto"/>
                <w:kern w:val="0"/>
                <w:szCs w:val="21"/>
              </w:rPr>
            </w:pPr>
            <w:r>
              <w:rPr>
                <w:rFonts w:hint="eastAsia"/>
                <w:bCs/>
                <w:color w:val="auto"/>
                <w:kern w:val="0"/>
                <w:szCs w:val="21"/>
              </w:rPr>
              <w:t>废塑料膜</w:t>
            </w:r>
            <w:r>
              <w:rPr>
                <w:bCs/>
                <w:color w:val="auto"/>
                <w:szCs w:val="21"/>
              </w:rPr>
              <w:t>（t/a）</w:t>
            </w:r>
          </w:p>
        </w:tc>
        <w:tc>
          <w:tcPr>
            <w:tcW w:w="1485" w:type="dxa"/>
            <w:tcBorders>
              <w:tl2br w:val="nil"/>
              <w:tr2bl w:val="nil"/>
            </w:tcBorders>
            <w:vAlign w:val="center"/>
          </w:tcPr>
          <w:p>
            <w:pPr>
              <w:adjustRightInd w:val="0"/>
              <w:snapToGrid w:val="0"/>
              <w:jc w:val="center"/>
              <w:rPr>
                <w:rFonts w:hint="eastAsia" w:eastAsia="宋体"/>
                <w:bCs/>
                <w:color w:val="auto"/>
                <w:szCs w:val="21"/>
                <w:lang w:eastAsia="zh-CN"/>
              </w:rPr>
            </w:pPr>
            <w:r>
              <w:rPr>
                <w:rFonts w:hint="eastAsia"/>
                <w:bCs/>
                <w:color w:val="auto"/>
                <w:szCs w:val="21"/>
                <w:lang w:val="en-US" w:eastAsia="zh-CN"/>
              </w:rPr>
              <w:t>30</w:t>
            </w:r>
          </w:p>
        </w:tc>
        <w:tc>
          <w:tcPr>
            <w:tcW w:w="1274" w:type="dxa"/>
            <w:tcBorders>
              <w:tl2br w:val="nil"/>
              <w:tr2bl w:val="nil"/>
            </w:tcBorders>
            <w:vAlign w:val="center"/>
          </w:tcPr>
          <w:p>
            <w:pPr>
              <w:adjustRightInd w:val="0"/>
              <w:snapToGrid w:val="0"/>
              <w:jc w:val="center"/>
              <w:rPr>
                <w:rFonts w:hint="eastAsia" w:eastAsia="宋体"/>
                <w:bCs/>
                <w:color w:val="auto"/>
                <w:szCs w:val="21"/>
                <w:lang w:eastAsia="zh-CN"/>
              </w:rPr>
            </w:pPr>
            <w:r>
              <w:rPr>
                <w:rFonts w:hint="eastAsia"/>
                <w:bCs/>
                <w:color w:val="auto"/>
                <w:szCs w:val="21"/>
                <w:lang w:val="en-US" w:eastAsia="zh-CN"/>
              </w:rPr>
              <w:t>30</w:t>
            </w:r>
          </w:p>
        </w:tc>
        <w:tc>
          <w:tcPr>
            <w:tcW w:w="1190" w:type="dxa"/>
            <w:tcBorders>
              <w:tl2br w:val="nil"/>
              <w:tr2bl w:val="nil"/>
            </w:tcBorders>
            <w:vAlign w:val="center"/>
          </w:tcPr>
          <w:p>
            <w:pPr>
              <w:adjustRightInd w:val="0"/>
              <w:snapToGrid w:val="0"/>
              <w:jc w:val="center"/>
              <w:rPr>
                <w:bCs/>
                <w:color w:val="auto"/>
                <w:szCs w:val="21"/>
              </w:rPr>
            </w:pPr>
            <w:r>
              <w:rPr>
                <w:rFonts w:hint="eastAsia"/>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adjustRightInd w:val="0"/>
              <w:snapToGrid w:val="0"/>
              <w:jc w:val="center"/>
              <w:rPr>
                <w:bCs/>
                <w:color w:val="auto"/>
                <w:szCs w:val="21"/>
              </w:rPr>
            </w:pPr>
            <w:r>
              <w:rPr>
                <w:bCs/>
                <w:color w:val="auto"/>
                <w:kern w:val="0"/>
                <w:szCs w:val="21"/>
              </w:rPr>
              <w:t>包装废弃物</w:t>
            </w:r>
            <w:r>
              <w:rPr>
                <w:bCs/>
                <w:color w:val="auto"/>
                <w:szCs w:val="21"/>
              </w:rPr>
              <w:t>（t/a）</w:t>
            </w:r>
          </w:p>
        </w:tc>
        <w:tc>
          <w:tcPr>
            <w:tcW w:w="1485" w:type="dxa"/>
            <w:tcBorders>
              <w:tl2br w:val="nil"/>
              <w:tr2bl w:val="nil"/>
            </w:tcBorders>
            <w:vAlign w:val="center"/>
          </w:tcPr>
          <w:p>
            <w:pPr>
              <w:adjustRightInd w:val="0"/>
              <w:snapToGrid w:val="0"/>
              <w:jc w:val="center"/>
              <w:rPr>
                <w:bCs/>
                <w:color w:val="auto"/>
                <w:szCs w:val="21"/>
              </w:rPr>
            </w:pPr>
            <w:r>
              <w:rPr>
                <w:rFonts w:hint="eastAsia"/>
                <w:bCs/>
                <w:color w:val="auto"/>
                <w:szCs w:val="21"/>
              </w:rPr>
              <w:t>5</w:t>
            </w:r>
          </w:p>
        </w:tc>
        <w:tc>
          <w:tcPr>
            <w:tcW w:w="1274" w:type="dxa"/>
            <w:tcBorders>
              <w:tl2br w:val="nil"/>
              <w:tr2bl w:val="nil"/>
            </w:tcBorders>
            <w:vAlign w:val="center"/>
          </w:tcPr>
          <w:p>
            <w:pPr>
              <w:adjustRightInd w:val="0"/>
              <w:snapToGrid w:val="0"/>
              <w:jc w:val="center"/>
              <w:rPr>
                <w:bCs/>
                <w:color w:val="auto"/>
                <w:szCs w:val="21"/>
              </w:rPr>
            </w:pPr>
            <w:r>
              <w:rPr>
                <w:rFonts w:hint="eastAsia"/>
                <w:bCs/>
                <w:color w:val="auto"/>
                <w:szCs w:val="21"/>
              </w:rPr>
              <w:t>5</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adjustRightInd w:val="0"/>
              <w:snapToGrid w:val="0"/>
              <w:jc w:val="center"/>
              <w:rPr>
                <w:bCs/>
                <w:color w:val="auto"/>
                <w:szCs w:val="21"/>
              </w:rPr>
            </w:pPr>
            <w:r>
              <w:rPr>
                <w:bCs/>
                <w:color w:val="auto"/>
                <w:szCs w:val="21"/>
              </w:rPr>
              <w:t>更换的布袋（t/a）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0.02</w:t>
            </w:r>
          </w:p>
        </w:tc>
        <w:tc>
          <w:tcPr>
            <w:tcW w:w="1274" w:type="dxa"/>
            <w:tcBorders>
              <w:tl2br w:val="nil"/>
              <w:tr2bl w:val="nil"/>
            </w:tcBorders>
            <w:vAlign w:val="center"/>
          </w:tcPr>
          <w:p>
            <w:pPr>
              <w:adjustRightInd w:val="0"/>
              <w:snapToGrid w:val="0"/>
              <w:jc w:val="center"/>
              <w:rPr>
                <w:bCs/>
                <w:color w:val="auto"/>
                <w:szCs w:val="21"/>
              </w:rPr>
            </w:pPr>
            <w:r>
              <w:rPr>
                <w:bCs/>
                <w:color w:val="auto"/>
                <w:szCs w:val="21"/>
              </w:rPr>
              <w:t>0.02</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adjustRightInd w:val="0"/>
              <w:snapToGrid w:val="0"/>
              <w:jc w:val="center"/>
              <w:rPr>
                <w:bCs/>
                <w:color w:val="auto"/>
                <w:szCs w:val="21"/>
              </w:rPr>
            </w:pPr>
            <w:r>
              <w:rPr>
                <w:rFonts w:hint="eastAsia"/>
                <w:bCs/>
                <w:color w:val="auto"/>
                <w:szCs w:val="21"/>
              </w:rPr>
              <w:t>化粪池污泥</w:t>
            </w:r>
            <w:r>
              <w:rPr>
                <w:bCs/>
                <w:color w:val="auto"/>
                <w:szCs w:val="21"/>
              </w:rPr>
              <w:t>（t/a）</w:t>
            </w:r>
          </w:p>
        </w:tc>
        <w:tc>
          <w:tcPr>
            <w:tcW w:w="1485" w:type="dxa"/>
            <w:tcBorders>
              <w:tl2br w:val="nil"/>
              <w:tr2bl w:val="nil"/>
            </w:tcBorders>
            <w:vAlign w:val="center"/>
          </w:tcPr>
          <w:p>
            <w:pPr>
              <w:adjustRightInd w:val="0"/>
              <w:snapToGrid w:val="0"/>
              <w:jc w:val="center"/>
              <w:rPr>
                <w:bCs/>
                <w:color w:val="auto"/>
                <w:szCs w:val="21"/>
              </w:rPr>
            </w:pPr>
            <w:r>
              <w:rPr>
                <w:bCs/>
                <w:color w:val="auto"/>
                <w:szCs w:val="21"/>
              </w:rPr>
              <w:t>0.08556</w:t>
            </w:r>
          </w:p>
        </w:tc>
        <w:tc>
          <w:tcPr>
            <w:tcW w:w="1274" w:type="dxa"/>
            <w:tcBorders>
              <w:tl2br w:val="nil"/>
              <w:tr2bl w:val="nil"/>
            </w:tcBorders>
            <w:vAlign w:val="center"/>
          </w:tcPr>
          <w:p>
            <w:pPr>
              <w:adjustRightInd w:val="0"/>
              <w:snapToGrid w:val="0"/>
              <w:jc w:val="center"/>
              <w:rPr>
                <w:bCs/>
                <w:color w:val="auto"/>
                <w:szCs w:val="21"/>
              </w:rPr>
            </w:pPr>
            <w:r>
              <w:rPr>
                <w:bCs/>
                <w:color w:val="auto"/>
                <w:szCs w:val="21"/>
              </w:rPr>
              <w:t>0.08556</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restart"/>
            <w:tcBorders>
              <w:tl2br w:val="nil"/>
              <w:tr2bl w:val="nil"/>
            </w:tcBorders>
            <w:vAlign w:val="center"/>
          </w:tcPr>
          <w:p>
            <w:pPr>
              <w:adjustRightInd w:val="0"/>
              <w:snapToGrid w:val="0"/>
              <w:jc w:val="center"/>
              <w:rPr>
                <w:bCs/>
                <w:color w:val="auto"/>
                <w:szCs w:val="21"/>
              </w:rPr>
            </w:pPr>
            <w:r>
              <w:rPr>
                <w:bCs/>
                <w:color w:val="auto"/>
                <w:szCs w:val="21"/>
              </w:rPr>
              <w:t>危险废物</w:t>
            </w: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bCs/>
                <w:color w:val="auto"/>
                <w:kern w:val="0"/>
                <w:szCs w:val="21"/>
                <w:lang w:bidi="ar"/>
              </w:rPr>
              <w:t>含油废抹布、手套</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0.015</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0.015</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rFonts w:hint="eastAsia"/>
                <w:bCs/>
                <w:color w:val="auto"/>
                <w:kern w:val="0"/>
                <w:szCs w:val="21"/>
                <w:lang w:bidi="ar"/>
              </w:rPr>
              <w:t>废矿物油</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kern w:val="18"/>
                <w:szCs w:val="21"/>
              </w:rPr>
              <w:t>1</w:t>
            </w:r>
            <w:r>
              <w:rPr>
                <w:bCs/>
                <w:color w:val="auto"/>
                <w:kern w:val="18"/>
                <w:szCs w:val="21"/>
              </w:rPr>
              <w:t>.076</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kern w:val="18"/>
                <w:szCs w:val="21"/>
              </w:rPr>
              <w:t>1</w:t>
            </w:r>
            <w:r>
              <w:rPr>
                <w:bCs/>
                <w:color w:val="auto"/>
                <w:kern w:val="18"/>
                <w:szCs w:val="21"/>
              </w:rPr>
              <w:t>.076</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rFonts w:hint="eastAsia"/>
                <w:bCs/>
                <w:color w:val="auto"/>
                <w:szCs w:val="21"/>
              </w:rPr>
              <w:t>空油桶</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w:t>
            </w:r>
            <w:r>
              <w:rPr>
                <w:rFonts w:hint="eastAsia"/>
                <w:bCs/>
                <w:color w:val="auto"/>
                <w:szCs w:val="21"/>
              </w:rPr>
              <w:t>27</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w:t>
            </w:r>
            <w:r>
              <w:rPr>
                <w:rFonts w:hint="eastAsia"/>
                <w:bCs/>
                <w:color w:val="auto"/>
                <w:szCs w:val="21"/>
              </w:rPr>
              <w:t>27</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bCs/>
                <w:color w:val="auto"/>
                <w:szCs w:val="21"/>
              </w:rPr>
              <w:t>废UV灯管</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0.005</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bCs/>
                <w:color w:val="auto"/>
                <w:szCs w:val="21"/>
              </w:rPr>
              <w:t>0.005</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bCs/>
                <w:color w:val="auto"/>
                <w:szCs w:val="21"/>
              </w:rPr>
              <w:t>废活性炭</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2.4934</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2.4934</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bCs/>
                <w:color w:val="auto"/>
                <w:szCs w:val="21"/>
              </w:rPr>
              <w:t>截留的粉尘</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6.2813</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6.2813</w:t>
            </w:r>
          </w:p>
        </w:tc>
        <w:tc>
          <w:tcPr>
            <w:tcW w:w="1190" w:type="dxa"/>
            <w:tcBorders>
              <w:tl2br w:val="nil"/>
              <w:tr2bl w:val="nil"/>
            </w:tcBorders>
            <w:vAlign w:val="center"/>
          </w:tcPr>
          <w:p>
            <w:pPr>
              <w:adjustRightInd w:val="0"/>
              <w:snapToGrid w:val="0"/>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821" w:type="dxa"/>
            <w:vMerge w:val="continue"/>
            <w:tcBorders>
              <w:tl2br w:val="nil"/>
              <w:tr2bl w:val="nil"/>
            </w:tcBorders>
            <w:vAlign w:val="center"/>
          </w:tcPr>
          <w:p>
            <w:pPr>
              <w:adjustRightInd w:val="0"/>
              <w:snapToGrid w:val="0"/>
              <w:jc w:val="center"/>
              <w:rPr>
                <w:bCs/>
                <w:color w:val="auto"/>
                <w:szCs w:val="21"/>
              </w:rPr>
            </w:pPr>
          </w:p>
        </w:tc>
        <w:tc>
          <w:tcPr>
            <w:tcW w:w="3752" w:type="dxa"/>
            <w:gridSpan w:val="2"/>
            <w:tcBorders>
              <w:tl2br w:val="nil"/>
              <w:tr2bl w:val="nil"/>
            </w:tcBorders>
            <w:vAlign w:val="center"/>
          </w:tcPr>
          <w:p>
            <w:pPr>
              <w:widowControl/>
              <w:adjustRightInd w:val="0"/>
              <w:snapToGrid w:val="0"/>
              <w:jc w:val="center"/>
              <w:textAlignment w:val="top"/>
              <w:rPr>
                <w:bCs/>
                <w:color w:val="auto"/>
                <w:szCs w:val="21"/>
              </w:rPr>
            </w:pPr>
            <w:r>
              <w:rPr>
                <w:rFonts w:hint="eastAsia"/>
                <w:bCs/>
                <w:color w:val="auto"/>
                <w:kern w:val="0"/>
                <w:szCs w:val="21"/>
              </w:rPr>
              <w:t>截留的沥青油</w:t>
            </w:r>
          </w:p>
        </w:tc>
        <w:tc>
          <w:tcPr>
            <w:tcW w:w="1485"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0.2</w:t>
            </w:r>
          </w:p>
        </w:tc>
        <w:tc>
          <w:tcPr>
            <w:tcW w:w="1274" w:type="dxa"/>
            <w:tcBorders>
              <w:tl2br w:val="nil"/>
              <w:tr2bl w:val="nil"/>
            </w:tcBorders>
            <w:vAlign w:val="center"/>
          </w:tcPr>
          <w:p>
            <w:pPr>
              <w:widowControl/>
              <w:adjustRightInd w:val="0"/>
              <w:snapToGrid w:val="0"/>
              <w:jc w:val="center"/>
              <w:textAlignment w:val="center"/>
              <w:rPr>
                <w:bCs/>
                <w:color w:val="auto"/>
                <w:szCs w:val="21"/>
              </w:rPr>
            </w:pPr>
            <w:r>
              <w:rPr>
                <w:rFonts w:hint="eastAsia"/>
                <w:bCs/>
                <w:color w:val="auto"/>
                <w:szCs w:val="21"/>
              </w:rPr>
              <w:t>0.2</w:t>
            </w:r>
          </w:p>
        </w:tc>
        <w:tc>
          <w:tcPr>
            <w:tcW w:w="1190" w:type="dxa"/>
            <w:tcBorders>
              <w:tl2br w:val="nil"/>
              <w:tr2bl w:val="nil"/>
            </w:tcBorders>
            <w:vAlign w:val="center"/>
          </w:tcPr>
          <w:p>
            <w:pPr>
              <w:adjustRightInd w:val="0"/>
              <w:snapToGrid w:val="0"/>
              <w:jc w:val="center"/>
              <w:rPr>
                <w:bCs/>
                <w:color w:val="auto"/>
                <w:szCs w:val="21"/>
              </w:rPr>
            </w:pPr>
            <w:r>
              <w:rPr>
                <w:rFonts w:hint="eastAsia"/>
                <w:bCs/>
                <w:color w:val="auto"/>
                <w:szCs w:val="21"/>
              </w:rPr>
              <w:t>0</w:t>
            </w:r>
          </w:p>
        </w:tc>
      </w:tr>
    </w:tbl>
    <w:p>
      <w:pPr>
        <w:pStyle w:val="32"/>
        <w:spacing w:line="360" w:lineRule="auto"/>
        <w:ind w:firstLine="480" w:firstLineChars="200"/>
        <w:rPr>
          <w:color w:val="auto"/>
        </w:rPr>
        <w:sectPr>
          <w:footerReference r:id="rId6" w:type="default"/>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adjustRightInd w:val="0"/>
        <w:snapToGrid w:val="0"/>
        <w:spacing w:line="360" w:lineRule="auto"/>
        <w:ind w:firstLine="422" w:firstLineChars="200"/>
        <w:jc w:val="center"/>
        <w:rPr>
          <w:b/>
          <w:color w:val="auto"/>
          <w:szCs w:val="21"/>
        </w:rPr>
      </w:pPr>
      <w:bookmarkStart w:id="488" w:name="_Toc31122"/>
      <w:bookmarkStart w:id="489" w:name="_Toc1327"/>
      <w:r>
        <w:rPr>
          <w:b/>
          <w:color w:val="auto"/>
          <w:szCs w:val="21"/>
        </w:rPr>
        <w:t>表</w:t>
      </w:r>
      <w:r>
        <w:rPr>
          <w:rFonts w:hint="eastAsia"/>
          <w:b/>
          <w:color w:val="auto"/>
          <w:szCs w:val="21"/>
        </w:rPr>
        <w:t xml:space="preserve">4.5-19  </w:t>
      </w:r>
      <w:r>
        <w:rPr>
          <w:rFonts w:hint="eastAsia"/>
          <w:b/>
          <w:color w:val="auto"/>
          <w:szCs w:val="21"/>
          <w:lang w:eastAsia="zh-CN"/>
        </w:rPr>
        <w:t>迁改</w:t>
      </w:r>
      <w:r>
        <w:rPr>
          <w:rFonts w:hint="eastAsia"/>
          <w:b/>
          <w:color w:val="auto"/>
          <w:szCs w:val="21"/>
        </w:rPr>
        <w:t>扩建</w:t>
      </w:r>
      <w:r>
        <w:rPr>
          <w:b/>
          <w:color w:val="auto"/>
          <w:szCs w:val="21"/>
        </w:rPr>
        <w:t>后全厂污染源三本账</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4"/>
        <w:gridCol w:w="823"/>
        <w:gridCol w:w="1293"/>
        <w:gridCol w:w="941"/>
        <w:gridCol w:w="927"/>
        <w:gridCol w:w="1146"/>
        <w:gridCol w:w="859"/>
        <w:gridCol w:w="1186"/>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0" w:type="dxa"/>
            <w:gridSpan w:val="3"/>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污染物</w:t>
            </w:r>
          </w:p>
        </w:tc>
        <w:tc>
          <w:tcPr>
            <w:tcW w:w="941" w:type="dxa"/>
            <w:vMerge w:val="restart"/>
            <w:tcBorders>
              <w:tl2br w:val="nil"/>
              <w:tr2bl w:val="nil"/>
            </w:tcBorders>
            <w:vAlign w:val="center"/>
          </w:tcPr>
          <w:p>
            <w:pPr>
              <w:adjustRightInd w:val="0"/>
              <w:snapToGrid w:val="0"/>
              <w:spacing w:line="300" w:lineRule="auto"/>
              <w:jc w:val="center"/>
              <w:rPr>
                <w:bCs/>
                <w:color w:val="auto"/>
                <w:szCs w:val="21"/>
              </w:rPr>
            </w:pPr>
            <w:r>
              <w:rPr>
                <w:rFonts w:hint="eastAsia"/>
                <w:bCs/>
                <w:color w:val="auto"/>
                <w:szCs w:val="21"/>
              </w:rPr>
              <w:t>现有项目</w:t>
            </w:r>
            <w:r>
              <w:rPr>
                <w:bCs/>
                <w:color w:val="auto"/>
                <w:szCs w:val="21"/>
              </w:rPr>
              <w:t>排放量（t/a）</w:t>
            </w:r>
          </w:p>
        </w:tc>
        <w:tc>
          <w:tcPr>
            <w:tcW w:w="2073" w:type="dxa"/>
            <w:gridSpan w:val="2"/>
            <w:tcBorders>
              <w:tl2br w:val="nil"/>
              <w:tr2bl w:val="nil"/>
            </w:tcBorders>
            <w:vAlign w:val="center"/>
          </w:tcPr>
          <w:p>
            <w:pPr>
              <w:adjustRightInd w:val="0"/>
              <w:snapToGrid w:val="0"/>
              <w:spacing w:line="300" w:lineRule="auto"/>
              <w:jc w:val="center"/>
              <w:rPr>
                <w:bCs/>
                <w:color w:val="auto"/>
                <w:szCs w:val="21"/>
              </w:rPr>
            </w:pPr>
            <w:r>
              <w:rPr>
                <w:bCs/>
                <w:color w:val="auto"/>
                <w:szCs w:val="21"/>
              </w:rPr>
              <w:t>本项目</w:t>
            </w:r>
          </w:p>
        </w:tc>
        <w:tc>
          <w:tcPr>
            <w:tcW w:w="859"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以新带老削减量（t/a）</w:t>
            </w:r>
          </w:p>
        </w:tc>
        <w:tc>
          <w:tcPr>
            <w:tcW w:w="1186" w:type="dxa"/>
            <w:vMerge w:val="restart"/>
            <w:tcBorders>
              <w:tl2br w:val="nil"/>
              <w:tr2bl w:val="nil"/>
            </w:tcBorders>
            <w:vAlign w:val="center"/>
          </w:tcPr>
          <w:p>
            <w:pPr>
              <w:adjustRightInd w:val="0"/>
              <w:snapToGrid w:val="0"/>
              <w:spacing w:line="300" w:lineRule="auto"/>
              <w:jc w:val="center"/>
              <w:rPr>
                <w:bCs/>
                <w:color w:val="auto"/>
                <w:szCs w:val="21"/>
              </w:rPr>
            </w:pPr>
            <w:r>
              <w:rPr>
                <w:rFonts w:hint="eastAsia"/>
                <w:bCs/>
                <w:color w:val="auto"/>
                <w:szCs w:val="21"/>
                <w:lang w:eastAsia="zh-CN"/>
              </w:rPr>
              <w:t>迁改</w:t>
            </w:r>
            <w:r>
              <w:rPr>
                <w:rFonts w:hint="eastAsia"/>
                <w:bCs/>
                <w:color w:val="auto"/>
                <w:szCs w:val="21"/>
              </w:rPr>
              <w:t>扩建</w:t>
            </w:r>
            <w:r>
              <w:rPr>
                <w:bCs/>
                <w:color w:val="auto"/>
                <w:szCs w:val="21"/>
              </w:rPr>
              <w:t>后项目总排放量（t/a）</w:t>
            </w:r>
          </w:p>
        </w:tc>
        <w:tc>
          <w:tcPr>
            <w:tcW w:w="1279" w:type="dxa"/>
            <w:vMerge w:val="restart"/>
            <w:tcBorders>
              <w:tl2br w:val="nil"/>
              <w:tr2bl w:val="nil"/>
            </w:tcBorders>
            <w:vAlign w:val="center"/>
          </w:tcPr>
          <w:p>
            <w:pPr>
              <w:adjustRightInd w:val="0"/>
              <w:snapToGrid w:val="0"/>
              <w:spacing w:line="300" w:lineRule="auto"/>
              <w:jc w:val="center"/>
              <w:rPr>
                <w:bCs/>
                <w:color w:val="auto"/>
                <w:szCs w:val="21"/>
              </w:rPr>
            </w:pPr>
            <w:r>
              <w:rPr>
                <w:rFonts w:hint="eastAsia"/>
                <w:bCs/>
                <w:color w:val="auto"/>
                <w:szCs w:val="21"/>
                <w:lang w:eastAsia="zh-CN"/>
              </w:rPr>
              <w:t>迁改</w:t>
            </w:r>
            <w:r>
              <w:rPr>
                <w:rFonts w:hint="eastAsia"/>
                <w:bCs/>
                <w:color w:val="auto"/>
                <w:szCs w:val="21"/>
              </w:rPr>
              <w:t>扩建</w:t>
            </w:r>
            <w:r>
              <w:rPr>
                <w:bCs/>
                <w:color w:val="auto"/>
                <w:szCs w:val="21"/>
              </w:rPr>
              <w:t>后排放增减量（t/a）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0" w:type="dxa"/>
            <w:gridSpan w:val="3"/>
            <w:vMerge w:val="continue"/>
            <w:tcBorders>
              <w:tl2br w:val="nil"/>
              <w:tr2bl w:val="nil"/>
            </w:tcBorders>
            <w:vAlign w:val="center"/>
          </w:tcPr>
          <w:p>
            <w:pPr>
              <w:adjustRightInd w:val="0"/>
              <w:snapToGrid w:val="0"/>
              <w:spacing w:line="300" w:lineRule="auto"/>
              <w:jc w:val="center"/>
              <w:rPr>
                <w:bCs/>
                <w:color w:val="auto"/>
                <w:szCs w:val="21"/>
              </w:rPr>
            </w:pPr>
          </w:p>
        </w:tc>
        <w:tc>
          <w:tcPr>
            <w:tcW w:w="941" w:type="dxa"/>
            <w:vMerge w:val="continue"/>
            <w:tcBorders>
              <w:tl2br w:val="nil"/>
              <w:tr2bl w:val="nil"/>
            </w:tcBorders>
            <w:vAlign w:val="center"/>
          </w:tcPr>
          <w:p>
            <w:pPr>
              <w:adjustRightInd w:val="0"/>
              <w:snapToGrid w:val="0"/>
              <w:spacing w:line="300" w:lineRule="auto"/>
              <w:jc w:val="center"/>
              <w:rPr>
                <w:bCs/>
                <w:color w:val="auto"/>
                <w:szCs w:val="21"/>
              </w:rPr>
            </w:pPr>
          </w:p>
        </w:tc>
        <w:tc>
          <w:tcPr>
            <w:tcW w:w="927"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产生量（t/a）</w:t>
            </w:r>
          </w:p>
        </w:tc>
        <w:tc>
          <w:tcPr>
            <w:tcW w:w="1146"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排放量（t/a）</w:t>
            </w:r>
          </w:p>
        </w:tc>
        <w:tc>
          <w:tcPr>
            <w:tcW w:w="859" w:type="dxa"/>
            <w:vMerge w:val="continue"/>
            <w:tcBorders>
              <w:tl2br w:val="nil"/>
              <w:tr2bl w:val="nil"/>
            </w:tcBorders>
            <w:vAlign w:val="center"/>
          </w:tcPr>
          <w:p>
            <w:pPr>
              <w:adjustRightInd w:val="0"/>
              <w:snapToGrid w:val="0"/>
              <w:spacing w:line="300" w:lineRule="auto"/>
              <w:jc w:val="center"/>
              <w:rPr>
                <w:bCs/>
                <w:color w:val="auto"/>
                <w:szCs w:val="21"/>
              </w:rPr>
            </w:pPr>
          </w:p>
        </w:tc>
        <w:tc>
          <w:tcPr>
            <w:tcW w:w="1186" w:type="dxa"/>
            <w:vMerge w:val="continue"/>
            <w:tcBorders>
              <w:tl2br w:val="nil"/>
              <w:tr2bl w:val="nil"/>
            </w:tcBorders>
            <w:vAlign w:val="center"/>
          </w:tcPr>
          <w:p>
            <w:pPr>
              <w:adjustRightInd w:val="0"/>
              <w:snapToGrid w:val="0"/>
              <w:spacing w:line="300" w:lineRule="auto"/>
              <w:jc w:val="center"/>
              <w:rPr>
                <w:bCs/>
                <w:color w:val="auto"/>
                <w:szCs w:val="21"/>
              </w:rPr>
            </w:pPr>
          </w:p>
        </w:tc>
        <w:tc>
          <w:tcPr>
            <w:tcW w:w="1279" w:type="dxa"/>
            <w:vMerge w:val="continue"/>
            <w:tcBorders>
              <w:tl2br w:val="nil"/>
              <w:tr2bl w:val="nil"/>
            </w:tcBorders>
            <w:vAlign w:val="center"/>
          </w:tcPr>
          <w:p>
            <w:pPr>
              <w:adjustRightInd w:val="0"/>
              <w:snapToGrid w:val="0"/>
              <w:spacing w:line="300" w:lineRule="auto"/>
              <w:jc w:val="center"/>
              <w:rPr>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水</w:t>
            </w:r>
          </w:p>
          <w:p>
            <w:pPr>
              <w:adjustRightInd w:val="0"/>
              <w:snapToGrid w:val="0"/>
              <w:spacing w:line="300" w:lineRule="auto"/>
              <w:jc w:val="center"/>
              <w:rPr>
                <w:bCs/>
                <w:color w:val="auto"/>
                <w:szCs w:val="21"/>
              </w:rPr>
            </w:pPr>
            <w:r>
              <w:rPr>
                <w:bCs/>
                <w:color w:val="auto"/>
                <w:szCs w:val="21"/>
              </w:rPr>
              <w:t>污</w:t>
            </w:r>
          </w:p>
          <w:p>
            <w:pPr>
              <w:adjustRightInd w:val="0"/>
              <w:snapToGrid w:val="0"/>
              <w:spacing w:line="300" w:lineRule="auto"/>
              <w:jc w:val="center"/>
              <w:rPr>
                <w:bCs/>
                <w:color w:val="auto"/>
                <w:szCs w:val="21"/>
              </w:rPr>
            </w:pPr>
            <w:r>
              <w:rPr>
                <w:bCs/>
                <w:color w:val="auto"/>
                <w:szCs w:val="21"/>
              </w:rPr>
              <w:t>染</w:t>
            </w:r>
          </w:p>
          <w:p>
            <w:pPr>
              <w:adjustRightInd w:val="0"/>
              <w:snapToGrid w:val="0"/>
              <w:spacing w:line="300" w:lineRule="auto"/>
              <w:jc w:val="center"/>
              <w:rPr>
                <w:bCs/>
                <w:color w:val="auto"/>
                <w:szCs w:val="21"/>
              </w:rPr>
            </w:pPr>
            <w:r>
              <w:rPr>
                <w:bCs/>
                <w:color w:val="auto"/>
                <w:szCs w:val="21"/>
              </w:rPr>
              <w:t>物</w:t>
            </w:r>
          </w:p>
        </w:tc>
        <w:tc>
          <w:tcPr>
            <w:tcW w:w="823"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生活</w:t>
            </w:r>
          </w:p>
          <w:p>
            <w:pPr>
              <w:adjustRightInd w:val="0"/>
              <w:snapToGrid w:val="0"/>
              <w:spacing w:line="300" w:lineRule="auto"/>
              <w:jc w:val="center"/>
              <w:rPr>
                <w:bCs/>
                <w:color w:val="auto"/>
                <w:szCs w:val="21"/>
              </w:rPr>
            </w:pPr>
            <w:r>
              <w:rPr>
                <w:bCs/>
                <w:color w:val="auto"/>
                <w:szCs w:val="21"/>
              </w:rPr>
              <w:t>污水</w:t>
            </w:r>
          </w:p>
        </w:tc>
        <w:tc>
          <w:tcPr>
            <w:tcW w:w="1293"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废水量</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2025</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bCs/>
                <w:color w:val="auto"/>
                <w:szCs w:val="21"/>
              </w:rPr>
              <w:t>712.8</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bCs/>
                <w:color w:val="auto"/>
                <w:szCs w:val="21"/>
              </w:rPr>
              <w:t>712.8</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2025</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712.8</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-1312.2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823" w:type="dxa"/>
            <w:vMerge w:val="continue"/>
            <w:tcBorders>
              <w:tl2br w:val="nil"/>
              <w:tr2bl w:val="nil"/>
            </w:tcBorders>
            <w:vAlign w:val="center"/>
          </w:tcPr>
          <w:p>
            <w:pPr>
              <w:adjustRightInd w:val="0"/>
              <w:snapToGrid w:val="0"/>
              <w:spacing w:line="300" w:lineRule="auto"/>
              <w:jc w:val="center"/>
              <w:rPr>
                <w:bCs/>
                <w:color w:val="auto"/>
                <w:szCs w:val="21"/>
              </w:rPr>
            </w:pPr>
          </w:p>
        </w:tc>
        <w:tc>
          <w:tcPr>
            <w:tcW w:w="1293"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COD</w:t>
            </w:r>
            <w:r>
              <w:rPr>
                <w:bCs/>
                <w:color w:val="auto"/>
                <w:szCs w:val="21"/>
                <w:vertAlign w:val="subscript"/>
              </w:rPr>
              <w:t>Cr</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0.182</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0.2138</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 xml:space="preserve">0.1996 </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0.182</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0.1996</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w:t>
            </w:r>
            <w:r>
              <w:rPr>
                <w:color w:val="auto"/>
                <w:kern w:val="0"/>
                <w:szCs w:val="21"/>
                <w:lang w:bidi="ar"/>
              </w:rPr>
              <w:t>0.0176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823" w:type="dxa"/>
            <w:vMerge w:val="continue"/>
            <w:tcBorders>
              <w:tl2br w:val="nil"/>
              <w:tr2bl w:val="nil"/>
            </w:tcBorders>
            <w:vAlign w:val="center"/>
          </w:tcPr>
          <w:p>
            <w:pPr>
              <w:adjustRightInd w:val="0"/>
              <w:snapToGrid w:val="0"/>
              <w:spacing w:line="300" w:lineRule="auto"/>
              <w:jc w:val="center"/>
              <w:rPr>
                <w:bCs/>
                <w:color w:val="auto"/>
                <w:szCs w:val="21"/>
              </w:rPr>
            </w:pPr>
          </w:p>
        </w:tc>
        <w:tc>
          <w:tcPr>
            <w:tcW w:w="1293"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BOD</w:t>
            </w:r>
            <w:r>
              <w:rPr>
                <w:bCs/>
                <w:color w:val="auto"/>
                <w:szCs w:val="21"/>
                <w:vertAlign w:val="subscript"/>
              </w:rPr>
              <w:t>5</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0.041</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 xml:space="preserve">0.1426 </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 xml:space="preserve">0.1283 </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0.041</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0.1283</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w:t>
            </w:r>
            <w:r>
              <w:rPr>
                <w:color w:val="auto"/>
                <w:kern w:val="0"/>
                <w:szCs w:val="21"/>
                <w:lang w:bidi="ar"/>
              </w:rPr>
              <w:t>0.0873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823" w:type="dxa"/>
            <w:vMerge w:val="continue"/>
            <w:tcBorders>
              <w:tl2br w:val="nil"/>
              <w:tr2bl w:val="nil"/>
            </w:tcBorders>
            <w:vAlign w:val="center"/>
          </w:tcPr>
          <w:p>
            <w:pPr>
              <w:adjustRightInd w:val="0"/>
              <w:snapToGrid w:val="0"/>
              <w:spacing w:line="300" w:lineRule="auto"/>
              <w:jc w:val="center"/>
              <w:rPr>
                <w:bCs/>
                <w:color w:val="auto"/>
                <w:szCs w:val="21"/>
              </w:rPr>
            </w:pPr>
          </w:p>
        </w:tc>
        <w:tc>
          <w:tcPr>
            <w:tcW w:w="1293"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SS</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0.122</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0.2138</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 xml:space="preserve">0.1426 </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0.122</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0.1426</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w:t>
            </w:r>
            <w:r>
              <w:rPr>
                <w:color w:val="auto"/>
                <w:kern w:val="0"/>
                <w:szCs w:val="21"/>
                <w:lang w:bidi="ar"/>
              </w:rPr>
              <w:t>0.0206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823" w:type="dxa"/>
            <w:vMerge w:val="continue"/>
            <w:tcBorders>
              <w:tl2br w:val="nil"/>
              <w:tr2bl w:val="nil"/>
            </w:tcBorders>
            <w:vAlign w:val="center"/>
          </w:tcPr>
          <w:p>
            <w:pPr>
              <w:adjustRightInd w:val="0"/>
              <w:snapToGrid w:val="0"/>
              <w:spacing w:line="300" w:lineRule="auto"/>
              <w:jc w:val="center"/>
              <w:rPr>
                <w:bCs/>
                <w:color w:val="auto"/>
                <w:szCs w:val="21"/>
              </w:rPr>
            </w:pPr>
          </w:p>
        </w:tc>
        <w:tc>
          <w:tcPr>
            <w:tcW w:w="1293" w:type="dxa"/>
            <w:tcBorders>
              <w:tl2br w:val="nil"/>
              <w:tr2bl w:val="nil"/>
            </w:tcBorders>
            <w:vAlign w:val="center"/>
          </w:tcPr>
          <w:p>
            <w:pPr>
              <w:adjustRightInd w:val="0"/>
              <w:snapToGrid w:val="0"/>
              <w:spacing w:line="300" w:lineRule="auto"/>
              <w:jc w:val="center"/>
              <w:rPr>
                <w:bCs/>
                <w:color w:val="auto"/>
                <w:szCs w:val="21"/>
              </w:rPr>
            </w:pPr>
            <w:r>
              <w:rPr>
                <w:bCs/>
                <w:color w:val="auto"/>
                <w:szCs w:val="21"/>
              </w:rPr>
              <w:t>NH</w:t>
            </w:r>
            <w:r>
              <w:rPr>
                <w:bCs/>
                <w:color w:val="auto"/>
                <w:szCs w:val="21"/>
                <w:vertAlign w:val="subscript"/>
              </w:rPr>
              <w:t>3</w:t>
            </w:r>
            <w:r>
              <w:rPr>
                <w:bCs/>
                <w:color w:val="auto"/>
                <w:szCs w:val="21"/>
              </w:rPr>
              <w:t>-N</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0.020</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0.0200</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szCs w:val="21"/>
              </w:rPr>
              <w:t>0.0143</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0.02</w:t>
            </w:r>
            <w:r>
              <w:rPr>
                <w:rFonts w:hint="eastAsia"/>
                <w:color w:val="auto"/>
                <w:kern w:val="0"/>
                <w:szCs w:val="21"/>
                <w:lang w:val="en-US" w:eastAsia="zh-CN" w:bidi="ar"/>
              </w:rPr>
              <w:t>0</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0.0143</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823" w:type="dxa"/>
            <w:vMerge w:val="continue"/>
            <w:tcBorders>
              <w:tl2br w:val="nil"/>
              <w:tr2bl w:val="nil"/>
            </w:tcBorders>
            <w:vAlign w:val="center"/>
          </w:tcPr>
          <w:p>
            <w:pPr>
              <w:adjustRightInd w:val="0"/>
              <w:snapToGrid w:val="0"/>
              <w:spacing w:line="300" w:lineRule="auto"/>
              <w:jc w:val="center"/>
              <w:rPr>
                <w:bCs/>
                <w:color w:val="auto"/>
                <w:szCs w:val="21"/>
              </w:rPr>
            </w:pPr>
          </w:p>
        </w:tc>
        <w:tc>
          <w:tcPr>
            <w:tcW w:w="1293" w:type="dxa"/>
            <w:tcBorders>
              <w:tl2br w:val="nil"/>
              <w:tr2bl w:val="nil"/>
            </w:tcBorders>
            <w:vAlign w:val="center"/>
          </w:tcPr>
          <w:p>
            <w:pPr>
              <w:adjustRightInd w:val="0"/>
              <w:snapToGrid w:val="0"/>
              <w:spacing w:line="300" w:lineRule="auto"/>
              <w:jc w:val="center"/>
              <w:rPr>
                <w:bCs/>
                <w:color w:val="auto"/>
                <w:szCs w:val="21"/>
              </w:rPr>
            </w:pPr>
            <w:r>
              <w:rPr>
                <w:rFonts w:hint="eastAsia"/>
                <w:bCs/>
                <w:color w:val="auto"/>
                <w:szCs w:val="21"/>
              </w:rPr>
              <w:t>动植物油</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bidi="ar"/>
              </w:rPr>
              <w:t>0.020</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rFonts w:hint="eastAsia"/>
                <w:color w:val="auto"/>
                <w:kern w:val="0"/>
                <w:szCs w:val="21"/>
                <w:lang w:bidi="ar"/>
              </w:rPr>
              <w:t>0</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rFonts w:hint="eastAsia"/>
                <w:color w:val="auto"/>
                <w:szCs w:val="21"/>
              </w:rPr>
              <w:t>0</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0.02</w:t>
            </w:r>
            <w:r>
              <w:rPr>
                <w:rFonts w:hint="eastAsia"/>
                <w:color w:val="auto"/>
                <w:kern w:val="0"/>
                <w:szCs w:val="21"/>
                <w:lang w:val="en-US" w:eastAsia="zh-CN" w:bidi="ar"/>
              </w:rPr>
              <w:t>0</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szCs w:val="21"/>
              </w:rPr>
            </w:pPr>
            <w:r>
              <w:rPr>
                <w:rFonts w:hint="eastAsia" w:ascii="宋体" w:hAnsi="宋体" w:cs="宋体"/>
                <w:color w:val="auto"/>
                <w:kern w:val="0"/>
                <w:szCs w:val="21"/>
                <w:lang w:bidi="ar"/>
              </w:rPr>
              <w:t>0</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-0.02</w:t>
            </w:r>
            <w:r>
              <w:rPr>
                <w:rFonts w:hint="eastAsia"/>
                <w:color w:val="auto"/>
                <w:kern w:val="0"/>
                <w:szCs w:val="21"/>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大</w:t>
            </w:r>
          </w:p>
          <w:p>
            <w:pPr>
              <w:adjustRightInd w:val="0"/>
              <w:snapToGrid w:val="0"/>
              <w:spacing w:line="300" w:lineRule="auto"/>
              <w:jc w:val="center"/>
              <w:rPr>
                <w:bCs/>
                <w:color w:val="auto"/>
                <w:szCs w:val="21"/>
              </w:rPr>
            </w:pPr>
            <w:r>
              <w:rPr>
                <w:bCs/>
                <w:color w:val="auto"/>
                <w:szCs w:val="21"/>
              </w:rPr>
              <w:t>气</w:t>
            </w:r>
          </w:p>
          <w:p>
            <w:pPr>
              <w:adjustRightInd w:val="0"/>
              <w:snapToGrid w:val="0"/>
              <w:spacing w:line="300" w:lineRule="auto"/>
              <w:jc w:val="center"/>
              <w:rPr>
                <w:bCs/>
                <w:color w:val="auto"/>
                <w:szCs w:val="21"/>
              </w:rPr>
            </w:pPr>
            <w:r>
              <w:rPr>
                <w:bCs/>
                <w:color w:val="auto"/>
                <w:szCs w:val="21"/>
              </w:rPr>
              <w:t>污</w:t>
            </w:r>
          </w:p>
          <w:p>
            <w:pPr>
              <w:adjustRightInd w:val="0"/>
              <w:snapToGrid w:val="0"/>
              <w:spacing w:line="300" w:lineRule="auto"/>
              <w:jc w:val="center"/>
              <w:rPr>
                <w:bCs/>
                <w:color w:val="auto"/>
                <w:szCs w:val="21"/>
              </w:rPr>
            </w:pPr>
            <w:r>
              <w:rPr>
                <w:bCs/>
                <w:color w:val="auto"/>
                <w:szCs w:val="21"/>
              </w:rPr>
              <w:t>染</w:t>
            </w:r>
          </w:p>
          <w:p>
            <w:pPr>
              <w:adjustRightInd w:val="0"/>
              <w:snapToGrid w:val="0"/>
              <w:spacing w:line="300" w:lineRule="auto"/>
              <w:jc w:val="center"/>
              <w:rPr>
                <w:bCs/>
                <w:color w:val="auto"/>
                <w:szCs w:val="21"/>
              </w:rPr>
            </w:pPr>
            <w:r>
              <w:rPr>
                <w:bCs/>
                <w:color w:val="auto"/>
                <w:szCs w:val="21"/>
              </w:rPr>
              <w:t>物</w:t>
            </w: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bCs/>
                <w:color w:val="auto"/>
                <w:szCs w:val="21"/>
              </w:rPr>
              <w:t>颗粒物</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bCs/>
                <w:color w:val="auto"/>
                <w:szCs w:val="21"/>
                <w:lang w:eastAsia="zh-CN"/>
              </w:rPr>
            </w:pPr>
            <w:r>
              <w:rPr>
                <w:rFonts w:hint="eastAsia"/>
                <w:bCs/>
                <w:color w:val="auto"/>
                <w:szCs w:val="21"/>
                <w:lang w:val="en-US" w:eastAsia="zh-CN"/>
              </w:rPr>
              <w:t>0.0924</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bCs/>
                <w:color w:val="auto"/>
                <w:szCs w:val="21"/>
                <w:lang w:val="en-US" w:eastAsia="zh-CN"/>
              </w:rPr>
            </w:pPr>
            <w:r>
              <w:rPr>
                <w:rFonts w:hint="eastAsia"/>
                <w:bCs/>
                <w:color w:val="auto"/>
                <w:szCs w:val="21"/>
                <w:lang w:val="en-US" w:eastAsia="zh-CN"/>
              </w:rPr>
              <w:t>7.385</w:t>
            </w:r>
          </w:p>
        </w:tc>
        <w:tc>
          <w:tcPr>
            <w:tcW w:w="114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bCs/>
                <w:color w:val="auto"/>
                <w:szCs w:val="21"/>
                <w:lang w:val="en-US" w:eastAsia="zh-CN"/>
              </w:rPr>
            </w:pPr>
            <w:r>
              <w:rPr>
                <w:rFonts w:hint="eastAsia"/>
                <w:bCs/>
                <w:color w:val="auto"/>
                <w:szCs w:val="21"/>
                <w:lang w:val="en-US" w:eastAsia="zh-CN"/>
              </w:rPr>
              <w:t>1.1037</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bCs/>
                <w:color w:val="auto"/>
                <w:szCs w:val="21"/>
                <w:lang w:eastAsia="zh-CN"/>
              </w:rPr>
            </w:pPr>
            <w:r>
              <w:rPr>
                <w:rFonts w:hint="eastAsia"/>
                <w:color w:val="auto"/>
                <w:kern w:val="0"/>
                <w:szCs w:val="21"/>
                <w:lang w:val="en-US" w:eastAsia="zh-CN" w:bidi="ar"/>
              </w:rPr>
              <w:t>0.0924</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rFonts w:hint="eastAsia"/>
                <w:bCs/>
                <w:color w:val="auto"/>
                <w:szCs w:val="21"/>
                <w:lang w:val="en-US" w:eastAsia="zh-CN"/>
              </w:rPr>
              <w:t>1.1037</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rFonts w:hint="eastAsia"/>
                <w:bCs/>
                <w:color w:val="auto"/>
                <w:szCs w:val="21"/>
              </w:rPr>
              <w:t>+</w:t>
            </w:r>
            <w:r>
              <w:rPr>
                <w:rFonts w:hint="eastAsia"/>
                <w:bCs/>
                <w:color w:val="auto"/>
                <w:szCs w:val="21"/>
                <w:lang w:val="en-US" w:eastAsia="zh-CN"/>
              </w:rPr>
              <w:t>1.0113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spacing w:line="300" w:lineRule="auto"/>
              <w:jc w:val="center"/>
              <w:rPr>
                <w:bCs/>
                <w:color w:val="auto"/>
                <w:szCs w:val="21"/>
              </w:rPr>
            </w:pPr>
            <w:r>
              <w:rPr>
                <w:color w:val="auto"/>
                <w:szCs w:val="21"/>
              </w:rPr>
              <w:t>苯并[a]芘</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0.000</w:t>
            </w:r>
            <w:r>
              <w:rPr>
                <w:rFonts w:hint="eastAsia"/>
                <w:color w:val="auto"/>
                <w:szCs w:val="21"/>
              </w:rPr>
              <w:t>4</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0.0000</w:t>
            </w:r>
            <w:r>
              <w:rPr>
                <w:rFonts w:hint="eastAsia"/>
                <w:color w:val="auto"/>
                <w:szCs w:val="21"/>
              </w:rPr>
              <w:t>436</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color w:val="auto"/>
                <w:kern w:val="0"/>
                <w:szCs w:val="21"/>
                <w:lang w:bidi="ar"/>
              </w:rPr>
              <w:t>0</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0.0000</w:t>
            </w:r>
            <w:r>
              <w:rPr>
                <w:rFonts w:hint="eastAsia"/>
                <w:color w:val="auto"/>
                <w:szCs w:val="21"/>
              </w:rPr>
              <w:t>436</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+0.0000</w:t>
            </w:r>
            <w:r>
              <w:rPr>
                <w:rFonts w:hint="eastAsia"/>
                <w:color w:val="auto"/>
                <w:szCs w:val="21"/>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spacing w:line="300" w:lineRule="auto"/>
              <w:jc w:val="center"/>
              <w:rPr>
                <w:bCs/>
                <w:color w:val="auto"/>
                <w:szCs w:val="21"/>
              </w:rPr>
            </w:pPr>
            <w:r>
              <w:rPr>
                <w:color w:val="auto"/>
                <w:szCs w:val="21"/>
              </w:rPr>
              <w:t>沥青烟</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rPr>
            </w:pPr>
            <w:r>
              <w:rPr>
                <w:rFonts w:hint="eastAsia"/>
                <w:color w:val="auto"/>
                <w:szCs w:val="21"/>
              </w:rPr>
              <w:t>2.25</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rFonts w:hint="eastAsia"/>
                <w:color w:val="auto"/>
                <w:szCs w:val="21"/>
              </w:rPr>
              <w:t>0.2453</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color w:val="auto"/>
                <w:kern w:val="0"/>
                <w:szCs w:val="21"/>
                <w:lang w:bidi="ar"/>
              </w:rPr>
              <w:t>0</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rFonts w:hint="eastAsia"/>
                <w:color w:val="auto"/>
                <w:szCs w:val="21"/>
              </w:rPr>
              <w:t>0.2453</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w:t>
            </w:r>
            <w:r>
              <w:rPr>
                <w:rFonts w:hint="eastAsia"/>
                <w:color w:val="auto"/>
                <w:szCs w:val="21"/>
              </w:rPr>
              <w:t>0.2453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spacing w:line="300" w:lineRule="auto"/>
              <w:jc w:val="center"/>
              <w:rPr>
                <w:bCs/>
                <w:color w:val="auto"/>
                <w:szCs w:val="21"/>
              </w:rPr>
            </w:pPr>
            <w:r>
              <w:rPr>
                <w:color w:val="auto"/>
                <w:szCs w:val="21"/>
              </w:rPr>
              <w:t>非甲烷总烃</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color w:val="auto"/>
                <w:kern w:val="0"/>
                <w:szCs w:val="21"/>
                <w:lang w:eastAsia="zh-CN" w:bidi="ar"/>
              </w:rPr>
            </w:pPr>
            <w:r>
              <w:rPr>
                <w:rFonts w:hint="eastAsia"/>
                <w:color w:val="auto"/>
                <w:kern w:val="0"/>
                <w:szCs w:val="21"/>
                <w:lang w:val="en-US" w:eastAsia="zh-CN" w:bidi="ar"/>
              </w:rPr>
              <w:t>3.0202</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rPr>
            </w:pPr>
            <w:r>
              <w:rPr>
                <w:rFonts w:hint="eastAsia"/>
                <w:color w:val="auto"/>
                <w:szCs w:val="21"/>
              </w:rPr>
              <w:t>0.0551</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lang w:bidi="ar"/>
              </w:rPr>
            </w:pPr>
            <w:r>
              <w:rPr>
                <w:color w:val="auto"/>
                <w:szCs w:val="21"/>
              </w:rPr>
              <w:t>0.04</w:t>
            </w:r>
            <w:r>
              <w:rPr>
                <w:rFonts w:hint="eastAsia"/>
                <w:color w:val="auto"/>
                <w:szCs w:val="21"/>
              </w:rPr>
              <w:t>62</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bCs/>
                <w:color w:val="auto"/>
                <w:szCs w:val="21"/>
                <w:lang w:eastAsia="zh-CN"/>
              </w:rPr>
            </w:pPr>
            <w:r>
              <w:rPr>
                <w:rFonts w:hint="eastAsia"/>
                <w:color w:val="auto"/>
                <w:kern w:val="0"/>
                <w:szCs w:val="21"/>
                <w:lang w:val="en-US" w:eastAsia="zh-CN" w:bidi="ar"/>
              </w:rPr>
              <w:t>3.0202</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color w:val="auto"/>
                <w:szCs w:val="21"/>
              </w:rPr>
              <w:t>0.04</w:t>
            </w:r>
            <w:r>
              <w:rPr>
                <w:rFonts w:hint="eastAsia"/>
                <w:color w:val="auto"/>
                <w:szCs w:val="21"/>
              </w:rPr>
              <w:t>62</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eastAsia="宋体"/>
                <w:bCs/>
                <w:color w:val="auto"/>
                <w:szCs w:val="21"/>
                <w:lang w:eastAsia="zh-CN"/>
              </w:rPr>
            </w:pPr>
            <w:r>
              <w:rPr>
                <w:rFonts w:hint="eastAsia"/>
                <w:color w:val="auto"/>
                <w:szCs w:val="21"/>
                <w:lang w:val="en-US" w:eastAsia="zh-CN"/>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bCs/>
                <w:color w:val="auto"/>
                <w:szCs w:val="21"/>
              </w:rPr>
              <w:t>SO</w:t>
            </w:r>
            <w:r>
              <w:rPr>
                <w:bCs/>
                <w:color w:val="auto"/>
                <w:szCs w:val="21"/>
                <w:vertAlign w:val="subscript"/>
              </w:rPr>
              <w:t>2</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w:t>
            </w:r>
          </w:p>
        </w:tc>
        <w:tc>
          <w:tcPr>
            <w:tcW w:w="927"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kern w:val="0"/>
                <w:szCs w:val="21"/>
              </w:rPr>
            </w:pPr>
            <w:r>
              <w:rPr>
                <w:color w:val="auto"/>
                <w:szCs w:val="21"/>
              </w:rPr>
              <w:t>0.</w:t>
            </w:r>
            <w:r>
              <w:rPr>
                <w:rFonts w:hint="eastAsia"/>
                <w:color w:val="auto"/>
                <w:szCs w:val="21"/>
                <w:lang w:val="en-US" w:eastAsia="zh-CN"/>
              </w:rPr>
              <w:t>22</w:t>
            </w:r>
          </w:p>
        </w:tc>
        <w:tc>
          <w:tcPr>
            <w:tcW w:w="114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w:t>
            </w:r>
            <w:r>
              <w:rPr>
                <w:rFonts w:hint="eastAsia"/>
                <w:color w:val="auto"/>
                <w:kern w:val="0"/>
                <w:szCs w:val="21"/>
                <w:lang w:val="en-US" w:eastAsia="zh-CN" w:bidi="ar"/>
              </w:rPr>
              <w:t>2</w:t>
            </w:r>
            <w:r>
              <w:rPr>
                <w:color w:val="auto"/>
                <w:kern w:val="0"/>
                <w:szCs w:val="21"/>
                <w:lang w:bidi="ar"/>
              </w:rPr>
              <w:t>2</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color w:val="auto"/>
                <w:kern w:val="0"/>
                <w:szCs w:val="21"/>
                <w:lang w:bidi="ar"/>
              </w:rPr>
              <w:t>0</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color w:val="auto"/>
                <w:kern w:val="0"/>
                <w:szCs w:val="21"/>
                <w:lang w:bidi="ar"/>
              </w:rPr>
              <w:t>0.</w:t>
            </w:r>
            <w:r>
              <w:rPr>
                <w:rFonts w:hint="eastAsia"/>
                <w:color w:val="auto"/>
                <w:kern w:val="0"/>
                <w:szCs w:val="21"/>
                <w:lang w:val="en-US" w:eastAsia="zh-CN" w:bidi="ar"/>
              </w:rPr>
              <w:t>2</w:t>
            </w:r>
            <w:r>
              <w:rPr>
                <w:color w:val="auto"/>
                <w:kern w:val="0"/>
                <w:szCs w:val="21"/>
                <w:lang w:bidi="ar"/>
              </w:rPr>
              <w:t>2</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color w:val="auto"/>
                <w:kern w:val="0"/>
                <w:szCs w:val="21"/>
                <w:lang w:bidi="ar"/>
              </w:rPr>
              <w:t>+0.</w:t>
            </w:r>
            <w:r>
              <w:rPr>
                <w:rFonts w:hint="eastAsia"/>
                <w:color w:val="auto"/>
                <w:kern w:val="0"/>
                <w:szCs w:val="21"/>
                <w:lang w:val="en-US" w:eastAsia="zh-CN" w:bidi="ar"/>
              </w:rPr>
              <w:t>2</w:t>
            </w:r>
            <w:r>
              <w:rPr>
                <w:color w:val="auto"/>
                <w:kern w:val="0"/>
                <w:szCs w:val="21"/>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color w:val="auto"/>
                <w:szCs w:val="21"/>
              </w:rPr>
              <w:t>NOx</w:t>
            </w:r>
          </w:p>
        </w:tc>
        <w:tc>
          <w:tcPr>
            <w:tcW w:w="941" w:type="dxa"/>
            <w:tcBorders>
              <w:tl2br w:val="nil"/>
              <w:tr2bl w:val="nil"/>
            </w:tcBorders>
            <w:vAlign w:val="center"/>
          </w:tcPr>
          <w:p>
            <w:pPr>
              <w:keepNext w:val="0"/>
              <w:keepLines w:val="0"/>
              <w:pageBreakBefore w:val="0"/>
              <w:kinsoku/>
              <w:wordWrap/>
              <w:overflowPunct/>
              <w:topLinePunct w:val="0"/>
              <w:autoSpaceDE/>
              <w:autoSpaceDN/>
              <w:bidi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0.</w:t>
            </w:r>
            <w:r>
              <w:rPr>
                <w:rFonts w:hint="eastAsia"/>
                <w:color w:val="auto"/>
                <w:kern w:val="0"/>
                <w:szCs w:val="21"/>
                <w:lang w:val="en-US" w:eastAsia="zh-CN" w:bidi="ar"/>
              </w:rPr>
              <w:t>1054</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color w:val="auto"/>
                <w:kern w:val="0"/>
                <w:szCs w:val="21"/>
                <w:lang w:eastAsia="zh-CN"/>
              </w:rPr>
            </w:pPr>
            <w:r>
              <w:rPr>
                <w:rFonts w:hint="eastAsia"/>
                <w:color w:val="auto"/>
                <w:kern w:val="0"/>
                <w:szCs w:val="21"/>
                <w:lang w:val="en-US" w:eastAsia="zh-CN"/>
              </w:rPr>
              <w:t>2.3743</w:t>
            </w:r>
          </w:p>
        </w:tc>
        <w:tc>
          <w:tcPr>
            <w:tcW w:w="114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val="en-US" w:eastAsia="zh-CN"/>
              </w:rPr>
              <w:t>2.3743</w:t>
            </w:r>
          </w:p>
        </w:tc>
        <w:tc>
          <w:tcPr>
            <w:tcW w:w="859" w:type="dxa"/>
            <w:tcBorders>
              <w:tl2br w:val="nil"/>
              <w:tr2bl w:val="nil"/>
            </w:tcBorders>
            <w:vAlign w:val="center"/>
          </w:tcPr>
          <w:p>
            <w:pPr>
              <w:keepNext w:val="0"/>
              <w:keepLines w:val="0"/>
              <w:pageBreakBefore w:val="0"/>
              <w:kinsoku/>
              <w:wordWrap/>
              <w:overflowPunct/>
              <w:topLinePunct w:val="0"/>
              <w:autoSpaceDE/>
              <w:autoSpaceDN/>
              <w:bidi w:val="0"/>
              <w:spacing w:line="240" w:lineRule="auto"/>
              <w:ind w:left="0" w:leftChars="0" w:right="0" w:rightChars="0" w:firstLine="0" w:firstLineChars="0"/>
              <w:jc w:val="center"/>
              <w:outlineLvl w:val="9"/>
              <w:rPr>
                <w:bCs/>
                <w:color w:val="auto"/>
                <w:szCs w:val="21"/>
              </w:rPr>
            </w:pPr>
            <w:r>
              <w:rPr>
                <w:color w:val="auto"/>
                <w:kern w:val="0"/>
                <w:szCs w:val="21"/>
                <w:lang w:bidi="ar"/>
              </w:rPr>
              <w:t>0.</w:t>
            </w:r>
            <w:r>
              <w:rPr>
                <w:rFonts w:hint="eastAsia"/>
                <w:color w:val="auto"/>
                <w:kern w:val="0"/>
                <w:szCs w:val="21"/>
                <w:lang w:val="en-US" w:eastAsia="zh-CN" w:bidi="ar"/>
              </w:rPr>
              <w:t>1054</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lang w:bidi="ar"/>
              </w:rPr>
            </w:pPr>
            <w:r>
              <w:rPr>
                <w:rFonts w:hint="eastAsia"/>
                <w:color w:val="auto"/>
                <w:kern w:val="0"/>
                <w:szCs w:val="21"/>
                <w:lang w:val="en-US" w:eastAsia="zh-CN"/>
              </w:rPr>
              <w:t>2.3743</w:t>
            </w:r>
          </w:p>
        </w:tc>
        <w:tc>
          <w:tcPr>
            <w:tcW w:w="127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bCs/>
                <w:color w:val="auto"/>
                <w:szCs w:val="21"/>
              </w:rPr>
            </w:pPr>
            <w:r>
              <w:rPr>
                <w:color w:val="auto"/>
                <w:kern w:val="0"/>
                <w:szCs w:val="21"/>
              </w:rPr>
              <w:t>+</w:t>
            </w:r>
            <w:r>
              <w:rPr>
                <w:rFonts w:hint="eastAsia"/>
                <w:color w:val="auto"/>
                <w:kern w:val="0"/>
                <w:szCs w:val="21"/>
                <w:lang w:val="en-US" w:eastAsia="zh-CN"/>
              </w:rPr>
              <w:t>2.2689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color w:val="auto"/>
                <w:szCs w:val="21"/>
              </w:rPr>
              <w:t>CO</w:t>
            </w:r>
          </w:p>
        </w:tc>
        <w:tc>
          <w:tcPr>
            <w:tcW w:w="941" w:type="dxa"/>
            <w:tcBorders>
              <w:tl2br w:val="nil"/>
              <w:tr2bl w:val="nil"/>
            </w:tcBorders>
            <w:vAlign w:val="center"/>
          </w:tcPr>
          <w:p>
            <w:pPr>
              <w:keepNext w:val="0"/>
              <w:keepLines w:val="0"/>
              <w:pageBreakBefore w:val="0"/>
              <w:kinsoku/>
              <w:wordWrap/>
              <w:overflowPunct/>
              <w:topLinePunct w:val="0"/>
              <w:autoSpaceDE/>
              <w:autoSpaceDN/>
              <w:bidi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0.00</w:t>
            </w:r>
            <w:r>
              <w:rPr>
                <w:rFonts w:hint="eastAsia"/>
                <w:color w:val="auto"/>
                <w:kern w:val="0"/>
                <w:szCs w:val="21"/>
                <w:lang w:val="en-US" w:eastAsia="zh-CN" w:bidi="ar"/>
              </w:rPr>
              <w:t>29</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rPr>
            </w:pPr>
            <w:r>
              <w:rPr>
                <w:color w:val="auto"/>
                <w:kern w:val="0"/>
                <w:szCs w:val="21"/>
              </w:rPr>
              <w:t>0.0088</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0.0088</w:t>
            </w:r>
          </w:p>
        </w:tc>
        <w:tc>
          <w:tcPr>
            <w:tcW w:w="85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0.00</w:t>
            </w:r>
            <w:r>
              <w:rPr>
                <w:rFonts w:hint="eastAsia"/>
                <w:color w:val="auto"/>
                <w:szCs w:val="21"/>
                <w:lang w:val="en-US" w:eastAsia="zh-CN"/>
              </w:rPr>
              <w:t>29</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0.0088</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bCs/>
                <w:color w:val="auto"/>
                <w:szCs w:val="21"/>
              </w:rPr>
              <w:t>+0.00</w:t>
            </w:r>
            <w:r>
              <w:rPr>
                <w:rFonts w:hint="eastAsia"/>
                <w:bCs/>
                <w:color w:val="auto"/>
                <w:szCs w:val="21"/>
                <w:lang w:val="en-US" w:eastAsia="zh-CN"/>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bCs/>
                <w:color w:val="auto"/>
                <w:szCs w:val="21"/>
              </w:rPr>
              <w:t>HC</w:t>
            </w:r>
          </w:p>
        </w:tc>
        <w:tc>
          <w:tcPr>
            <w:tcW w:w="941" w:type="dxa"/>
            <w:tcBorders>
              <w:tl2br w:val="nil"/>
              <w:tr2bl w:val="nil"/>
            </w:tcBorders>
            <w:vAlign w:val="center"/>
          </w:tcPr>
          <w:p>
            <w:pPr>
              <w:keepNext w:val="0"/>
              <w:keepLines w:val="0"/>
              <w:pageBreakBefore w:val="0"/>
              <w:kinsoku/>
              <w:wordWrap/>
              <w:overflowPunct/>
              <w:topLinePunct w:val="0"/>
              <w:autoSpaceDE/>
              <w:autoSpaceDN/>
              <w:bidi w:val="0"/>
              <w:spacing w:line="240" w:lineRule="auto"/>
              <w:ind w:left="0" w:leftChars="0" w:right="0" w:rightChars="0" w:firstLine="0" w:firstLineChars="0"/>
              <w:jc w:val="center"/>
              <w:outlineLvl w:val="9"/>
              <w:rPr>
                <w:color w:val="auto"/>
                <w:kern w:val="0"/>
                <w:szCs w:val="21"/>
                <w:lang w:bidi="ar"/>
              </w:rPr>
            </w:pPr>
            <w:r>
              <w:rPr>
                <w:color w:val="auto"/>
                <w:kern w:val="0"/>
                <w:szCs w:val="21"/>
                <w:lang w:bidi="ar"/>
              </w:rPr>
              <w:t>0.</w:t>
            </w:r>
            <w:r>
              <w:rPr>
                <w:rFonts w:hint="eastAsia"/>
                <w:color w:val="auto"/>
                <w:kern w:val="0"/>
                <w:szCs w:val="21"/>
                <w:lang w:val="en-US" w:eastAsia="zh-CN" w:bidi="ar"/>
              </w:rPr>
              <w:t>0044</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color w:val="auto"/>
                <w:kern w:val="0"/>
                <w:szCs w:val="21"/>
              </w:rPr>
            </w:pPr>
            <w:r>
              <w:rPr>
                <w:color w:val="auto"/>
                <w:kern w:val="0"/>
                <w:szCs w:val="21"/>
              </w:rPr>
              <w:t>0.0132</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0.0132</w:t>
            </w:r>
          </w:p>
        </w:tc>
        <w:tc>
          <w:tcPr>
            <w:tcW w:w="85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w:t>
            </w:r>
            <w:r>
              <w:rPr>
                <w:rFonts w:hint="eastAsia"/>
                <w:color w:val="auto"/>
                <w:szCs w:val="21"/>
                <w:lang w:val="en-US" w:eastAsia="zh-CN"/>
              </w:rPr>
              <w:t>.0044</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color w:val="auto"/>
                <w:szCs w:val="21"/>
              </w:rPr>
            </w:pPr>
            <w:r>
              <w:rPr>
                <w:color w:val="auto"/>
                <w:szCs w:val="21"/>
              </w:rPr>
              <w:t>0.0132</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bCs/>
                <w:color w:val="auto"/>
                <w:szCs w:val="21"/>
              </w:rPr>
            </w:pPr>
            <w:r>
              <w:rPr>
                <w:bCs/>
                <w:color w:val="auto"/>
                <w:szCs w:val="21"/>
              </w:rPr>
              <w:t>+0.0</w:t>
            </w:r>
            <w:r>
              <w:rPr>
                <w:rFonts w:hint="eastAsia"/>
                <w:bCs/>
                <w:color w:val="auto"/>
                <w:szCs w:val="21"/>
                <w:lang w:val="en-US" w:eastAsia="zh-CN"/>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rFonts w:hint="eastAsia" w:eastAsia="宋体"/>
                <w:bCs/>
                <w:color w:val="auto"/>
                <w:szCs w:val="21"/>
                <w:lang w:val="en-US" w:eastAsia="zh-CN"/>
              </w:rPr>
            </w:pPr>
            <w:r>
              <w:rPr>
                <w:rFonts w:hint="eastAsia"/>
                <w:bCs/>
                <w:color w:val="auto"/>
                <w:szCs w:val="21"/>
                <w:lang w:val="en-US" w:eastAsia="zh-CN"/>
              </w:rPr>
              <w:t>油烟</w:t>
            </w:r>
          </w:p>
        </w:tc>
        <w:tc>
          <w:tcPr>
            <w:tcW w:w="941"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color w:val="auto"/>
                <w:kern w:val="0"/>
                <w:szCs w:val="21"/>
                <w:lang w:val="en-US" w:eastAsia="zh-CN" w:bidi="ar"/>
              </w:rPr>
            </w:pPr>
            <w:r>
              <w:rPr>
                <w:rFonts w:hint="eastAsia"/>
                <w:color w:val="auto"/>
                <w:kern w:val="0"/>
                <w:szCs w:val="21"/>
                <w:lang w:val="en-US" w:eastAsia="zh-CN" w:bidi="ar"/>
              </w:rPr>
              <w:t>0.0072</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color w:val="auto"/>
                <w:kern w:val="0"/>
                <w:szCs w:val="21"/>
                <w:lang w:val="en-US" w:eastAsia="zh-CN"/>
              </w:rPr>
            </w:pPr>
            <w:r>
              <w:rPr>
                <w:rFonts w:hint="eastAsia"/>
                <w:color w:val="auto"/>
                <w:kern w:val="0"/>
                <w:szCs w:val="21"/>
                <w:lang w:val="en-US" w:eastAsia="zh-CN"/>
              </w:rPr>
              <w:t>0</w:t>
            </w:r>
          </w:p>
        </w:tc>
        <w:tc>
          <w:tcPr>
            <w:tcW w:w="114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eastAsia="宋体"/>
                <w:bCs/>
                <w:color w:val="auto"/>
                <w:szCs w:val="21"/>
                <w:lang w:val="en-US" w:eastAsia="zh-CN"/>
              </w:rPr>
            </w:pPr>
            <w:r>
              <w:rPr>
                <w:rFonts w:hint="eastAsia"/>
                <w:bCs/>
                <w:color w:val="auto"/>
                <w:szCs w:val="21"/>
                <w:lang w:val="en-US" w:eastAsia="zh-CN"/>
              </w:rPr>
              <w:t>0</w:t>
            </w:r>
          </w:p>
        </w:tc>
        <w:tc>
          <w:tcPr>
            <w:tcW w:w="859" w:type="dxa"/>
            <w:tcBorders>
              <w:tl2br w:val="nil"/>
              <w:tr2bl w:val="nil"/>
            </w:tcBorders>
            <w:vAlign w:val="center"/>
          </w:tcPr>
          <w:p>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outlineLvl w:val="9"/>
              <w:rPr>
                <w:rFonts w:hint="eastAsia" w:eastAsia="宋体"/>
                <w:color w:val="auto"/>
                <w:kern w:val="0"/>
                <w:szCs w:val="21"/>
                <w:lang w:val="en-US" w:eastAsia="zh-CN" w:bidi="ar"/>
              </w:rPr>
            </w:pPr>
            <w:r>
              <w:rPr>
                <w:rFonts w:hint="eastAsia"/>
                <w:color w:val="auto"/>
                <w:kern w:val="0"/>
                <w:szCs w:val="21"/>
                <w:lang w:val="en-US" w:eastAsia="zh-CN" w:bidi="ar"/>
              </w:rPr>
              <w:t>0.0072</w:t>
            </w:r>
          </w:p>
        </w:tc>
        <w:tc>
          <w:tcPr>
            <w:tcW w:w="11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eastAsia="宋体"/>
                <w:bCs/>
                <w:color w:val="auto"/>
                <w:szCs w:val="21"/>
                <w:lang w:val="en-US" w:eastAsia="zh-CN"/>
              </w:rPr>
            </w:pPr>
            <w:r>
              <w:rPr>
                <w:rFonts w:hint="eastAsia"/>
                <w:bCs/>
                <w:color w:val="auto"/>
                <w:szCs w:val="21"/>
                <w:lang w:val="en-US" w:eastAsia="zh-CN"/>
              </w:rPr>
              <w:t>0</w:t>
            </w:r>
          </w:p>
        </w:tc>
        <w:tc>
          <w:tcPr>
            <w:tcW w:w="127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eastAsia="宋体"/>
                <w:bCs/>
                <w:color w:val="auto"/>
                <w:szCs w:val="21"/>
                <w:lang w:val="en-US" w:eastAsia="zh-CN"/>
              </w:rPr>
            </w:pPr>
            <w:r>
              <w:rPr>
                <w:rFonts w:hint="eastAsia"/>
                <w:bCs/>
                <w:color w:val="auto"/>
                <w:szCs w:val="21"/>
                <w:lang w:val="en-US" w:eastAsia="zh-CN"/>
              </w:rPr>
              <w:t>-0.0072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一</w:t>
            </w:r>
          </w:p>
          <w:p>
            <w:pPr>
              <w:adjustRightInd w:val="0"/>
              <w:snapToGrid w:val="0"/>
              <w:spacing w:line="300" w:lineRule="auto"/>
              <w:jc w:val="center"/>
              <w:rPr>
                <w:bCs/>
                <w:color w:val="auto"/>
                <w:szCs w:val="21"/>
              </w:rPr>
            </w:pPr>
            <w:r>
              <w:rPr>
                <w:bCs/>
                <w:color w:val="auto"/>
                <w:szCs w:val="21"/>
              </w:rPr>
              <w:t>般</w:t>
            </w:r>
          </w:p>
          <w:p>
            <w:pPr>
              <w:adjustRightInd w:val="0"/>
              <w:snapToGrid w:val="0"/>
              <w:spacing w:line="300" w:lineRule="auto"/>
              <w:jc w:val="center"/>
              <w:rPr>
                <w:bCs/>
                <w:color w:val="auto"/>
                <w:szCs w:val="21"/>
              </w:rPr>
            </w:pPr>
            <w:r>
              <w:rPr>
                <w:bCs/>
                <w:color w:val="auto"/>
                <w:szCs w:val="21"/>
              </w:rPr>
              <w:t>固</w:t>
            </w:r>
          </w:p>
          <w:p>
            <w:pPr>
              <w:adjustRightInd w:val="0"/>
              <w:snapToGrid w:val="0"/>
              <w:spacing w:line="300" w:lineRule="auto"/>
              <w:jc w:val="center"/>
              <w:rPr>
                <w:bCs/>
                <w:color w:val="auto"/>
                <w:szCs w:val="21"/>
              </w:rPr>
            </w:pPr>
            <w:r>
              <w:rPr>
                <w:bCs/>
                <w:color w:val="auto"/>
                <w:szCs w:val="21"/>
              </w:rPr>
              <w:t>体</w:t>
            </w:r>
          </w:p>
          <w:p>
            <w:pPr>
              <w:adjustRightInd w:val="0"/>
              <w:snapToGrid w:val="0"/>
              <w:spacing w:line="300" w:lineRule="auto"/>
              <w:jc w:val="center"/>
              <w:rPr>
                <w:bCs/>
                <w:color w:val="auto"/>
                <w:szCs w:val="21"/>
              </w:rPr>
            </w:pPr>
            <w:r>
              <w:rPr>
                <w:bCs/>
                <w:color w:val="auto"/>
                <w:szCs w:val="21"/>
              </w:rPr>
              <w:t>废</w:t>
            </w:r>
          </w:p>
          <w:p>
            <w:pPr>
              <w:adjustRightInd w:val="0"/>
              <w:snapToGrid w:val="0"/>
              <w:spacing w:line="300" w:lineRule="auto"/>
              <w:jc w:val="center"/>
              <w:rPr>
                <w:bCs/>
                <w:color w:val="auto"/>
                <w:szCs w:val="21"/>
              </w:rPr>
            </w:pPr>
            <w:r>
              <w:rPr>
                <w:bCs/>
                <w:color w:val="auto"/>
                <w:szCs w:val="21"/>
              </w:rPr>
              <w:t>弃</w:t>
            </w:r>
          </w:p>
          <w:p>
            <w:pPr>
              <w:adjustRightInd w:val="0"/>
              <w:snapToGrid w:val="0"/>
              <w:spacing w:line="300" w:lineRule="auto"/>
              <w:jc w:val="center"/>
              <w:rPr>
                <w:bCs/>
                <w:color w:val="auto"/>
                <w:szCs w:val="21"/>
              </w:rPr>
            </w:pPr>
            <w:r>
              <w:rPr>
                <w:bCs/>
                <w:color w:val="auto"/>
                <w:szCs w:val="21"/>
              </w:rPr>
              <w:t>物</w:t>
            </w: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color w:val="auto"/>
                <w:szCs w:val="21"/>
              </w:rPr>
              <w:t>员工生活垃圾</w:t>
            </w:r>
          </w:p>
        </w:tc>
        <w:tc>
          <w:tcPr>
            <w:tcW w:w="941" w:type="dxa"/>
            <w:tcBorders>
              <w:tl2br w:val="nil"/>
              <w:tr2bl w:val="nil"/>
            </w:tcBorders>
            <w:vAlign w:val="center"/>
          </w:tcPr>
          <w:p>
            <w:pPr>
              <w:widowControl/>
              <w:spacing w:line="300" w:lineRule="auto"/>
              <w:jc w:val="center"/>
              <w:textAlignment w:val="center"/>
              <w:rPr>
                <w:color w:val="auto"/>
                <w:spacing w:val="10"/>
                <w:kern w:val="0"/>
                <w:szCs w:val="21"/>
              </w:rPr>
            </w:pPr>
            <w:r>
              <w:rPr>
                <w:color w:val="auto"/>
                <w:spacing w:val="10"/>
                <w:kern w:val="0"/>
                <w:szCs w:val="21"/>
              </w:rPr>
              <w:t>0</w:t>
            </w:r>
          </w:p>
        </w:tc>
        <w:tc>
          <w:tcPr>
            <w:tcW w:w="927" w:type="dxa"/>
            <w:tcBorders>
              <w:tl2br w:val="nil"/>
              <w:tr2bl w:val="nil"/>
            </w:tcBorders>
            <w:vAlign w:val="center"/>
          </w:tcPr>
          <w:p>
            <w:pPr>
              <w:adjustRightInd w:val="0"/>
              <w:snapToGrid w:val="0"/>
              <w:spacing w:line="300" w:lineRule="auto"/>
              <w:jc w:val="center"/>
              <w:rPr>
                <w:color w:val="auto"/>
                <w:spacing w:val="10"/>
                <w:kern w:val="0"/>
                <w:szCs w:val="21"/>
              </w:rPr>
            </w:pPr>
            <w:r>
              <w:rPr>
                <w:color w:val="auto"/>
                <w:szCs w:val="21"/>
              </w:rPr>
              <w:t>10.098</w:t>
            </w:r>
          </w:p>
        </w:tc>
        <w:tc>
          <w:tcPr>
            <w:tcW w:w="1146"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color w:val="auto"/>
                <w:szCs w:val="21"/>
              </w:rPr>
            </w:pPr>
            <w:r>
              <w:rPr>
                <w:rFonts w:hint="eastAsia"/>
                <w:color w:val="auto"/>
                <w:szCs w:val="21"/>
              </w:rPr>
              <w:t>废塑料膜</w:t>
            </w:r>
          </w:p>
        </w:tc>
        <w:tc>
          <w:tcPr>
            <w:tcW w:w="941" w:type="dxa"/>
            <w:tcBorders>
              <w:tl2br w:val="nil"/>
              <w:tr2bl w:val="nil"/>
            </w:tcBorders>
            <w:vAlign w:val="center"/>
          </w:tcPr>
          <w:p>
            <w:pPr>
              <w:widowControl/>
              <w:spacing w:line="300" w:lineRule="auto"/>
              <w:jc w:val="center"/>
              <w:textAlignment w:val="center"/>
              <w:rPr>
                <w:color w:val="auto"/>
                <w:spacing w:val="10"/>
                <w:kern w:val="0"/>
                <w:szCs w:val="21"/>
              </w:rPr>
            </w:pPr>
            <w:r>
              <w:rPr>
                <w:rFonts w:hint="eastAsia"/>
                <w:color w:val="auto"/>
                <w:spacing w:val="10"/>
                <w:kern w:val="0"/>
                <w:szCs w:val="21"/>
              </w:rPr>
              <w:t>0</w:t>
            </w:r>
          </w:p>
        </w:tc>
        <w:tc>
          <w:tcPr>
            <w:tcW w:w="927" w:type="dxa"/>
            <w:tcBorders>
              <w:tl2br w:val="nil"/>
              <w:tr2bl w:val="nil"/>
            </w:tcBorders>
            <w:vAlign w:val="center"/>
          </w:tcPr>
          <w:p>
            <w:pPr>
              <w:adjustRightInd w:val="0"/>
              <w:snapToGrid w:val="0"/>
              <w:spacing w:line="300" w:lineRule="auto"/>
              <w:jc w:val="center"/>
              <w:rPr>
                <w:rFonts w:hint="eastAsia" w:eastAsia="宋体"/>
                <w:color w:val="auto"/>
                <w:szCs w:val="21"/>
                <w:lang w:val="en-US" w:eastAsia="zh-CN"/>
              </w:rPr>
            </w:pPr>
            <w:r>
              <w:rPr>
                <w:rFonts w:hint="eastAsia"/>
                <w:color w:val="auto"/>
                <w:szCs w:val="21"/>
                <w:lang w:val="en-US" w:eastAsia="zh-CN"/>
              </w:rPr>
              <w:t>30</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color w:val="auto"/>
                <w:kern w:val="0"/>
                <w:szCs w:val="21"/>
              </w:rPr>
              <w:t>包装废弃物</w:t>
            </w:r>
          </w:p>
        </w:tc>
        <w:tc>
          <w:tcPr>
            <w:tcW w:w="941" w:type="dxa"/>
            <w:tcBorders>
              <w:tl2br w:val="nil"/>
              <w:tr2bl w:val="nil"/>
            </w:tcBorders>
            <w:vAlign w:val="center"/>
          </w:tcPr>
          <w:p>
            <w:pPr>
              <w:widowControl/>
              <w:spacing w:line="300" w:lineRule="auto"/>
              <w:jc w:val="center"/>
              <w:textAlignment w:val="center"/>
              <w:rPr>
                <w:color w:val="auto"/>
                <w:spacing w:val="10"/>
                <w:kern w:val="0"/>
                <w:szCs w:val="21"/>
              </w:rPr>
            </w:pPr>
            <w:r>
              <w:rPr>
                <w:color w:val="auto"/>
                <w:spacing w:val="10"/>
                <w:kern w:val="0"/>
                <w:szCs w:val="21"/>
              </w:rPr>
              <w:t>0</w:t>
            </w:r>
          </w:p>
        </w:tc>
        <w:tc>
          <w:tcPr>
            <w:tcW w:w="927" w:type="dxa"/>
            <w:tcBorders>
              <w:tl2br w:val="nil"/>
              <w:tr2bl w:val="nil"/>
            </w:tcBorders>
            <w:vAlign w:val="center"/>
          </w:tcPr>
          <w:p>
            <w:pPr>
              <w:adjustRightInd w:val="0"/>
              <w:snapToGrid w:val="0"/>
              <w:spacing w:line="300" w:lineRule="auto"/>
              <w:jc w:val="center"/>
              <w:rPr>
                <w:color w:val="auto"/>
                <w:spacing w:val="10"/>
                <w:kern w:val="0"/>
                <w:szCs w:val="21"/>
              </w:rPr>
            </w:pPr>
            <w:r>
              <w:rPr>
                <w:rFonts w:hint="eastAsia"/>
                <w:color w:val="auto"/>
                <w:szCs w:val="21"/>
              </w:rPr>
              <w:t>5</w:t>
            </w:r>
          </w:p>
        </w:tc>
        <w:tc>
          <w:tcPr>
            <w:tcW w:w="1146"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spacing w:val="10"/>
                <w:kern w:val="0"/>
                <w:szCs w:val="21"/>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color w:val="auto"/>
                <w:kern w:val="0"/>
                <w:szCs w:val="21"/>
              </w:rPr>
            </w:pPr>
            <w:r>
              <w:rPr>
                <w:color w:val="auto"/>
                <w:szCs w:val="21"/>
              </w:rPr>
              <w:t>更换的布袋</w:t>
            </w:r>
          </w:p>
        </w:tc>
        <w:tc>
          <w:tcPr>
            <w:tcW w:w="941" w:type="dxa"/>
            <w:tcBorders>
              <w:tl2br w:val="nil"/>
              <w:tr2bl w:val="nil"/>
            </w:tcBorders>
            <w:vAlign w:val="center"/>
          </w:tcPr>
          <w:p>
            <w:pPr>
              <w:widowControl/>
              <w:spacing w:line="300" w:lineRule="auto"/>
              <w:jc w:val="center"/>
              <w:textAlignment w:val="center"/>
              <w:rPr>
                <w:color w:val="auto"/>
                <w:spacing w:val="10"/>
                <w:kern w:val="0"/>
                <w:szCs w:val="21"/>
              </w:rPr>
            </w:pPr>
            <w:r>
              <w:rPr>
                <w:color w:val="auto"/>
                <w:spacing w:val="10"/>
                <w:kern w:val="0"/>
                <w:szCs w:val="21"/>
              </w:rPr>
              <w:t>0</w:t>
            </w:r>
          </w:p>
        </w:tc>
        <w:tc>
          <w:tcPr>
            <w:tcW w:w="927" w:type="dxa"/>
            <w:tcBorders>
              <w:tl2br w:val="nil"/>
              <w:tr2bl w:val="nil"/>
            </w:tcBorders>
            <w:vAlign w:val="center"/>
          </w:tcPr>
          <w:p>
            <w:pPr>
              <w:adjustRightInd w:val="0"/>
              <w:snapToGrid w:val="0"/>
              <w:spacing w:line="300" w:lineRule="auto"/>
              <w:jc w:val="center"/>
              <w:rPr>
                <w:color w:val="auto"/>
                <w:szCs w:val="21"/>
              </w:rPr>
            </w:pPr>
            <w:r>
              <w:rPr>
                <w:color w:val="auto"/>
                <w:szCs w:val="21"/>
              </w:rPr>
              <w:t>0.02</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color w:val="auto"/>
                <w:kern w:val="0"/>
                <w:szCs w:val="21"/>
              </w:rPr>
            </w:pPr>
            <w:r>
              <w:rPr>
                <w:rFonts w:hint="eastAsia"/>
                <w:color w:val="auto"/>
                <w:szCs w:val="21"/>
              </w:rPr>
              <w:t>化粪池污泥</w:t>
            </w:r>
          </w:p>
        </w:tc>
        <w:tc>
          <w:tcPr>
            <w:tcW w:w="941" w:type="dxa"/>
            <w:tcBorders>
              <w:tl2br w:val="nil"/>
              <w:tr2bl w:val="nil"/>
            </w:tcBorders>
            <w:vAlign w:val="center"/>
          </w:tcPr>
          <w:p>
            <w:pPr>
              <w:widowControl/>
              <w:spacing w:line="300" w:lineRule="auto"/>
              <w:jc w:val="center"/>
              <w:textAlignment w:val="center"/>
              <w:rPr>
                <w:color w:val="auto"/>
                <w:spacing w:val="10"/>
                <w:kern w:val="0"/>
                <w:szCs w:val="21"/>
              </w:rPr>
            </w:pPr>
            <w:r>
              <w:rPr>
                <w:color w:val="auto"/>
                <w:spacing w:val="10"/>
                <w:kern w:val="0"/>
                <w:szCs w:val="21"/>
              </w:rPr>
              <w:t>0</w:t>
            </w:r>
          </w:p>
        </w:tc>
        <w:tc>
          <w:tcPr>
            <w:tcW w:w="927" w:type="dxa"/>
            <w:tcBorders>
              <w:tl2br w:val="nil"/>
              <w:tr2bl w:val="nil"/>
            </w:tcBorders>
            <w:vAlign w:val="center"/>
          </w:tcPr>
          <w:p>
            <w:pPr>
              <w:adjustRightInd w:val="0"/>
              <w:snapToGrid w:val="0"/>
              <w:spacing w:line="300" w:lineRule="auto"/>
              <w:jc w:val="center"/>
              <w:rPr>
                <w:color w:val="auto"/>
                <w:szCs w:val="21"/>
              </w:rPr>
            </w:pPr>
            <w:r>
              <w:rPr>
                <w:color w:val="auto"/>
                <w:szCs w:val="21"/>
              </w:rPr>
              <w:t>0.08556</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restart"/>
            <w:tcBorders>
              <w:tl2br w:val="nil"/>
              <w:tr2bl w:val="nil"/>
            </w:tcBorders>
            <w:vAlign w:val="center"/>
          </w:tcPr>
          <w:p>
            <w:pPr>
              <w:adjustRightInd w:val="0"/>
              <w:snapToGrid w:val="0"/>
              <w:spacing w:line="300" w:lineRule="auto"/>
              <w:jc w:val="center"/>
              <w:rPr>
                <w:bCs/>
                <w:color w:val="auto"/>
                <w:szCs w:val="21"/>
              </w:rPr>
            </w:pPr>
            <w:r>
              <w:rPr>
                <w:bCs/>
                <w:color w:val="auto"/>
                <w:szCs w:val="21"/>
              </w:rPr>
              <w:t>危险废物</w:t>
            </w: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color w:val="auto"/>
                <w:szCs w:val="21"/>
              </w:rPr>
              <w:t>含油抹布和手套</w:t>
            </w:r>
          </w:p>
        </w:tc>
        <w:tc>
          <w:tcPr>
            <w:tcW w:w="941"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927" w:type="dxa"/>
            <w:tcBorders>
              <w:tl2br w:val="nil"/>
              <w:tr2bl w:val="nil"/>
            </w:tcBorders>
            <w:vAlign w:val="center"/>
          </w:tcPr>
          <w:p>
            <w:pPr>
              <w:widowControl/>
              <w:adjustRightInd w:val="0"/>
              <w:snapToGrid w:val="0"/>
              <w:spacing w:line="300" w:lineRule="auto"/>
              <w:jc w:val="center"/>
              <w:textAlignment w:val="center"/>
              <w:rPr>
                <w:color w:val="auto"/>
                <w:kern w:val="0"/>
                <w:szCs w:val="21"/>
                <w:lang w:bidi="ar"/>
              </w:rPr>
            </w:pPr>
            <w:r>
              <w:rPr>
                <w:color w:val="auto"/>
                <w:szCs w:val="21"/>
              </w:rPr>
              <w:t>0.015</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rFonts w:hint="eastAsia"/>
                <w:bCs/>
                <w:color w:val="auto"/>
                <w:szCs w:val="21"/>
              </w:rPr>
              <w:t>废矿物油</w:t>
            </w:r>
          </w:p>
        </w:tc>
        <w:tc>
          <w:tcPr>
            <w:tcW w:w="941"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927" w:type="dxa"/>
            <w:tcBorders>
              <w:tl2br w:val="nil"/>
              <w:tr2bl w:val="nil"/>
            </w:tcBorders>
            <w:vAlign w:val="center"/>
          </w:tcPr>
          <w:p>
            <w:pPr>
              <w:widowControl/>
              <w:adjustRightInd w:val="0"/>
              <w:snapToGrid w:val="0"/>
              <w:jc w:val="center"/>
              <w:textAlignment w:val="center"/>
              <w:rPr>
                <w:color w:val="auto"/>
                <w:kern w:val="0"/>
                <w:szCs w:val="21"/>
                <w:lang w:bidi="ar"/>
              </w:rPr>
            </w:pPr>
            <w:r>
              <w:rPr>
                <w:rFonts w:hint="eastAsia"/>
                <w:bCs/>
                <w:color w:val="auto"/>
                <w:kern w:val="18"/>
                <w:szCs w:val="21"/>
              </w:rPr>
              <w:t>1</w:t>
            </w:r>
            <w:r>
              <w:rPr>
                <w:bCs/>
                <w:color w:val="auto"/>
                <w:kern w:val="18"/>
                <w:szCs w:val="21"/>
              </w:rPr>
              <w:t>.076</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adjustRightInd w:val="0"/>
              <w:snapToGrid w:val="0"/>
              <w:spacing w:line="300" w:lineRule="auto"/>
              <w:jc w:val="center"/>
              <w:rPr>
                <w:bCs/>
                <w:color w:val="auto"/>
                <w:szCs w:val="21"/>
              </w:rPr>
            </w:pPr>
            <w:r>
              <w:rPr>
                <w:rFonts w:hint="eastAsia"/>
                <w:color w:val="auto"/>
                <w:szCs w:val="21"/>
              </w:rPr>
              <w:t>空油桶</w:t>
            </w:r>
          </w:p>
        </w:tc>
        <w:tc>
          <w:tcPr>
            <w:tcW w:w="941" w:type="dxa"/>
            <w:tcBorders>
              <w:tl2br w:val="nil"/>
              <w:tr2bl w:val="nil"/>
            </w:tcBorders>
            <w:vAlign w:val="center"/>
          </w:tcPr>
          <w:p>
            <w:pPr>
              <w:widowControl/>
              <w:spacing w:line="300" w:lineRule="auto"/>
              <w:jc w:val="center"/>
              <w:textAlignment w:val="center"/>
              <w:rPr>
                <w:bCs/>
                <w:color w:val="auto"/>
                <w:szCs w:val="21"/>
              </w:rPr>
            </w:pPr>
            <w:r>
              <w:rPr>
                <w:bCs/>
                <w:color w:val="auto"/>
                <w:szCs w:val="21"/>
              </w:rPr>
              <w:t>0</w:t>
            </w:r>
          </w:p>
        </w:tc>
        <w:tc>
          <w:tcPr>
            <w:tcW w:w="927" w:type="dxa"/>
            <w:tcBorders>
              <w:tl2br w:val="nil"/>
              <w:tr2bl w:val="nil"/>
            </w:tcBorders>
            <w:vAlign w:val="center"/>
          </w:tcPr>
          <w:p>
            <w:pPr>
              <w:widowControl/>
              <w:adjustRightInd w:val="0"/>
              <w:snapToGrid w:val="0"/>
              <w:jc w:val="center"/>
              <w:textAlignment w:val="center"/>
              <w:rPr>
                <w:color w:val="auto"/>
                <w:spacing w:val="10"/>
                <w:kern w:val="0"/>
                <w:szCs w:val="21"/>
              </w:rPr>
            </w:pPr>
            <w:r>
              <w:rPr>
                <w:bCs/>
                <w:color w:val="auto"/>
                <w:szCs w:val="21"/>
              </w:rPr>
              <w:t>0.0</w:t>
            </w:r>
            <w:r>
              <w:rPr>
                <w:rFonts w:hint="eastAsia"/>
                <w:bCs/>
                <w:color w:val="auto"/>
                <w:szCs w:val="21"/>
              </w:rPr>
              <w:t>27</w:t>
            </w:r>
          </w:p>
        </w:tc>
        <w:tc>
          <w:tcPr>
            <w:tcW w:w="1146"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bCs/>
                <w:color w:val="auto"/>
                <w:szCs w:val="21"/>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widowControl/>
              <w:adjustRightInd w:val="0"/>
              <w:snapToGrid w:val="0"/>
              <w:spacing w:line="300" w:lineRule="auto"/>
              <w:jc w:val="center"/>
              <w:textAlignment w:val="top"/>
              <w:rPr>
                <w:color w:val="auto"/>
                <w:szCs w:val="21"/>
              </w:rPr>
            </w:pPr>
            <w:r>
              <w:rPr>
                <w:color w:val="auto"/>
                <w:szCs w:val="21"/>
              </w:rPr>
              <w:t>废UV灯管</w:t>
            </w:r>
          </w:p>
        </w:tc>
        <w:tc>
          <w:tcPr>
            <w:tcW w:w="941" w:type="dxa"/>
            <w:tcBorders>
              <w:tl2br w:val="nil"/>
              <w:tr2bl w:val="nil"/>
            </w:tcBorders>
            <w:vAlign w:val="center"/>
          </w:tcPr>
          <w:p>
            <w:pPr>
              <w:widowControl/>
              <w:spacing w:line="300" w:lineRule="auto"/>
              <w:jc w:val="center"/>
              <w:textAlignment w:val="center"/>
              <w:rPr>
                <w:bCs/>
                <w:color w:val="auto"/>
                <w:szCs w:val="21"/>
              </w:rPr>
            </w:pPr>
            <w:r>
              <w:rPr>
                <w:bCs/>
                <w:color w:val="auto"/>
                <w:szCs w:val="21"/>
              </w:rPr>
              <w:t>0</w:t>
            </w:r>
          </w:p>
        </w:tc>
        <w:tc>
          <w:tcPr>
            <w:tcW w:w="927" w:type="dxa"/>
            <w:tcBorders>
              <w:tl2br w:val="nil"/>
              <w:tr2bl w:val="nil"/>
            </w:tcBorders>
            <w:vAlign w:val="center"/>
          </w:tcPr>
          <w:p>
            <w:pPr>
              <w:widowControl/>
              <w:adjustRightInd w:val="0"/>
              <w:snapToGrid w:val="0"/>
              <w:spacing w:line="300" w:lineRule="auto"/>
              <w:jc w:val="center"/>
              <w:textAlignment w:val="center"/>
              <w:rPr>
                <w:color w:val="auto"/>
                <w:szCs w:val="21"/>
              </w:rPr>
            </w:pPr>
            <w:r>
              <w:rPr>
                <w:color w:val="auto"/>
                <w:szCs w:val="21"/>
              </w:rPr>
              <w:t>0.005</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widowControl/>
              <w:adjustRightInd w:val="0"/>
              <w:snapToGrid w:val="0"/>
              <w:spacing w:line="300" w:lineRule="auto"/>
              <w:jc w:val="center"/>
              <w:textAlignment w:val="top"/>
              <w:rPr>
                <w:color w:val="auto"/>
                <w:szCs w:val="21"/>
              </w:rPr>
            </w:pPr>
            <w:r>
              <w:rPr>
                <w:color w:val="auto"/>
                <w:szCs w:val="21"/>
              </w:rPr>
              <w:t>废活性炭</w:t>
            </w:r>
          </w:p>
        </w:tc>
        <w:tc>
          <w:tcPr>
            <w:tcW w:w="941" w:type="dxa"/>
            <w:tcBorders>
              <w:tl2br w:val="nil"/>
              <w:tr2bl w:val="nil"/>
            </w:tcBorders>
            <w:vAlign w:val="center"/>
          </w:tcPr>
          <w:p>
            <w:pPr>
              <w:widowControl/>
              <w:spacing w:line="300" w:lineRule="auto"/>
              <w:jc w:val="center"/>
              <w:textAlignment w:val="center"/>
              <w:rPr>
                <w:bCs/>
                <w:color w:val="auto"/>
                <w:szCs w:val="21"/>
              </w:rPr>
            </w:pPr>
            <w:r>
              <w:rPr>
                <w:bCs/>
                <w:color w:val="auto"/>
                <w:szCs w:val="21"/>
              </w:rPr>
              <w:t>0</w:t>
            </w:r>
          </w:p>
        </w:tc>
        <w:tc>
          <w:tcPr>
            <w:tcW w:w="927" w:type="dxa"/>
            <w:tcBorders>
              <w:tl2br w:val="nil"/>
              <w:tr2bl w:val="nil"/>
            </w:tcBorders>
            <w:vAlign w:val="center"/>
          </w:tcPr>
          <w:p>
            <w:pPr>
              <w:widowControl/>
              <w:adjustRightInd w:val="0"/>
              <w:snapToGrid w:val="0"/>
              <w:spacing w:line="300" w:lineRule="auto"/>
              <w:jc w:val="center"/>
              <w:textAlignment w:val="center"/>
              <w:rPr>
                <w:color w:val="auto"/>
                <w:szCs w:val="21"/>
              </w:rPr>
            </w:pPr>
            <w:r>
              <w:rPr>
                <w:rFonts w:hint="eastAsia"/>
                <w:color w:val="auto"/>
                <w:szCs w:val="21"/>
              </w:rPr>
              <w:t>2.4934</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widowControl/>
              <w:adjustRightInd w:val="0"/>
              <w:snapToGrid w:val="0"/>
              <w:spacing w:line="300" w:lineRule="auto"/>
              <w:jc w:val="center"/>
              <w:textAlignment w:val="top"/>
              <w:rPr>
                <w:color w:val="auto"/>
                <w:szCs w:val="21"/>
              </w:rPr>
            </w:pPr>
            <w:r>
              <w:rPr>
                <w:color w:val="auto"/>
                <w:szCs w:val="21"/>
              </w:rPr>
              <w:t>截留的粉尘</w:t>
            </w:r>
          </w:p>
        </w:tc>
        <w:tc>
          <w:tcPr>
            <w:tcW w:w="941" w:type="dxa"/>
            <w:tcBorders>
              <w:tl2br w:val="nil"/>
              <w:tr2bl w:val="nil"/>
            </w:tcBorders>
            <w:vAlign w:val="center"/>
          </w:tcPr>
          <w:p>
            <w:pPr>
              <w:widowControl/>
              <w:spacing w:line="300" w:lineRule="auto"/>
              <w:jc w:val="center"/>
              <w:textAlignment w:val="center"/>
              <w:rPr>
                <w:bCs/>
                <w:color w:val="auto"/>
                <w:szCs w:val="21"/>
              </w:rPr>
            </w:pPr>
            <w:r>
              <w:rPr>
                <w:bCs/>
                <w:color w:val="auto"/>
                <w:szCs w:val="21"/>
              </w:rPr>
              <w:t>0</w:t>
            </w:r>
          </w:p>
        </w:tc>
        <w:tc>
          <w:tcPr>
            <w:tcW w:w="927" w:type="dxa"/>
            <w:tcBorders>
              <w:tl2br w:val="nil"/>
              <w:tr2bl w:val="nil"/>
            </w:tcBorders>
            <w:vAlign w:val="center"/>
          </w:tcPr>
          <w:p>
            <w:pPr>
              <w:widowControl/>
              <w:adjustRightInd w:val="0"/>
              <w:snapToGrid w:val="0"/>
              <w:spacing w:line="300" w:lineRule="auto"/>
              <w:jc w:val="center"/>
              <w:textAlignment w:val="center"/>
              <w:rPr>
                <w:color w:val="auto"/>
                <w:szCs w:val="21"/>
              </w:rPr>
            </w:pPr>
            <w:r>
              <w:rPr>
                <w:rFonts w:hint="eastAsia"/>
                <w:color w:val="auto"/>
                <w:szCs w:val="21"/>
              </w:rPr>
              <w:t>6.2813</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4" w:type="dxa"/>
            <w:vMerge w:val="continue"/>
            <w:tcBorders>
              <w:tl2br w:val="nil"/>
              <w:tr2bl w:val="nil"/>
            </w:tcBorders>
            <w:vAlign w:val="center"/>
          </w:tcPr>
          <w:p>
            <w:pPr>
              <w:adjustRightInd w:val="0"/>
              <w:snapToGrid w:val="0"/>
              <w:spacing w:line="300" w:lineRule="auto"/>
              <w:jc w:val="center"/>
              <w:rPr>
                <w:bCs/>
                <w:color w:val="auto"/>
                <w:szCs w:val="21"/>
              </w:rPr>
            </w:pPr>
          </w:p>
        </w:tc>
        <w:tc>
          <w:tcPr>
            <w:tcW w:w="2116" w:type="dxa"/>
            <w:gridSpan w:val="2"/>
            <w:tcBorders>
              <w:tl2br w:val="nil"/>
              <w:tr2bl w:val="nil"/>
            </w:tcBorders>
            <w:vAlign w:val="center"/>
          </w:tcPr>
          <w:p>
            <w:pPr>
              <w:widowControl/>
              <w:adjustRightInd w:val="0"/>
              <w:snapToGrid w:val="0"/>
              <w:spacing w:line="300" w:lineRule="auto"/>
              <w:jc w:val="center"/>
              <w:textAlignment w:val="top"/>
              <w:rPr>
                <w:color w:val="auto"/>
                <w:szCs w:val="21"/>
              </w:rPr>
            </w:pPr>
            <w:r>
              <w:rPr>
                <w:rFonts w:hint="eastAsia"/>
                <w:color w:val="auto"/>
                <w:kern w:val="0"/>
                <w:szCs w:val="21"/>
              </w:rPr>
              <w:t>截留的沥青油</w:t>
            </w:r>
          </w:p>
        </w:tc>
        <w:tc>
          <w:tcPr>
            <w:tcW w:w="941" w:type="dxa"/>
            <w:tcBorders>
              <w:tl2br w:val="nil"/>
              <w:tr2bl w:val="nil"/>
            </w:tcBorders>
            <w:vAlign w:val="center"/>
          </w:tcPr>
          <w:p>
            <w:pPr>
              <w:widowControl/>
              <w:spacing w:line="300" w:lineRule="auto"/>
              <w:jc w:val="center"/>
              <w:textAlignment w:val="center"/>
              <w:rPr>
                <w:bCs/>
                <w:color w:val="auto"/>
                <w:szCs w:val="21"/>
              </w:rPr>
            </w:pPr>
            <w:r>
              <w:rPr>
                <w:rFonts w:hint="eastAsia"/>
                <w:bCs/>
                <w:color w:val="auto"/>
                <w:szCs w:val="21"/>
              </w:rPr>
              <w:t>0</w:t>
            </w:r>
          </w:p>
        </w:tc>
        <w:tc>
          <w:tcPr>
            <w:tcW w:w="927" w:type="dxa"/>
            <w:tcBorders>
              <w:tl2br w:val="nil"/>
              <w:tr2bl w:val="nil"/>
            </w:tcBorders>
            <w:vAlign w:val="center"/>
          </w:tcPr>
          <w:p>
            <w:pPr>
              <w:widowControl/>
              <w:adjustRightInd w:val="0"/>
              <w:snapToGrid w:val="0"/>
              <w:spacing w:line="300" w:lineRule="auto"/>
              <w:jc w:val="center"/>
              <w:textAlignment w:val="center"/>
              <w:rPr>
                <w:color w:val="auto"/>
                <w:szCs w:val="21"/>
              </w:rPr>
            </w:pPr>
            <w:r>
              <w:rPr>
                <w:rFonts w:hint="eastAsia"/>
                <w:color w:val="auto"/>
                <w:szCs w:val="21"/>
              </w:rPr>
              <w:t>0.2</w:t>
            </w:r>
          </w:p>
        </w:tc>
        <w:tc>
          <w:tcPr>
            <w:tcW w:w="1146"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859"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1186"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c>
          <w:tcPr>
            <w:tcW w:w="1279"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w:t>
            </w:r>
          </w:p>
        </w:tc>
      </w:tr>
    </w:tbl>
    <w:p>
      <w:pPr>
        <w:pStyle w:val="5"/>
        <w:numPr>
          <w:ilvl w:val="1"/>
          <w:numId w:val="0"/>
        </w:numPr>
        <w:tabs>
          <w:tab w:val="clear" w:pos="720"/>
        </w:tabs>
        <w:spacing w:before="159" w:after="159"/>
        <w:rPr>
          <w:color w:val="auto"/>
          <w:sz w:val="32"/>
          <w:szCs w:val="32"/>
        </w:rPr>
      </w:pPr>
      <w:bookmarkStart w:id="490" w:name="_Toc237"/>
      <w:bookmarkStart w:id="491" w:name="_Toc10736"/>
      <w:r>
        <w:rPr>
          <w:rFonts w:hint="eastAsia"/>
          <w:color w:val="auto"/>
          <w:sz w:val="32"/>
          <w:szCs w:val="32"/>
        </w:rPr>
        <w:t xml:space="preserve">4.6  </w:t>
      </w:r>
      <w:r>
        <w:rPr>
          <w:color w:val="auto"/>
          <w:sz w:val="32"/>
          <w:szCs w:val="32"/>
        </w:rPr>
        <w:t>总量控制指标分析</w:t>
      </w:r>
      <w:bookmarkEnd w:id="488"/>
      <w:bookmarkEnd w:id="489"/>
      <w:bookmarkEnd w:id="490"/>
      <w:bookmarkEnd w:id="491"/>
    </w:p>
    <w:p>
      <w:pPr>
        <w:adjustRightInd w:val="0"/>
        <w:snapToGrid w:val="0"/>
        <w:spacing w:line="360" w:lineRule="auto"/>
        <w:ind w:firstLine="480" w:firstLineChars="200"/>
        <w:rPr>
          <w:color w:val="auto"/>
          <w:sz w:val="24"/>
        </w:rPr>
      </w:pPr>
      <w:r>
        <w:rPr>
          <w:color w:val="auto"/>
          <w:sz w:val="24"/>
        </w:rPr>
        <w:t>我国已颁布了大气、污水等综合排放标准及相关的行业排放标准，这对控制环境污染发挥了很大的作用</w:t>
      </w:r>
      <w:r>
        <w:rPr>
          <w:rFonts w:hint="eastAsia"/>
          <w:color w:val="auto"/>
          <w:sz w:val="24"/>
        </w:rPr>
        <w:t>。</w:t>
      </w:r>
      <w:r>
        <w:rPr>
          <w:color w:val="auto"/>
          <w:sz w:val="24"/>
        </w:rPr>
        <w:t>但仅靠控制污染物的浓度来实现环境保护目标是远远不够的，在控制污染物排放浓度的同时，还必须控制其排放总量。</w:t>
      </w:r>
    </w:p>
    <w:p>
      <w:pPr>
        <w:adjustRightInd w:val="0"/>
        <w:snapToGrid w:val="0"/>
        <w:spacing w:line="360" w:lineRule="auto"/>
        <w:ind w:firstLine="480" w:firstLineChars="200"/>
        <w:rPr>
          <w:color w:val="auto"/>
          <w:sz w:val="24"/>
        </w:rPr>
      </w:pPr>
      <w:r>
        <w:rPr>
          <w:color w:val="auto"/>
          <w:sz w:val="24"/>
        </w:rPr>
        <w:t>所谓总量控制，就是在规定时间内，根据环保主管部门核定的污染物排放总量，对区域和企业在生产过程中所产生的污染物最终排入环境的数量进行限制。</w:t>
      </w:r>
    </w:p>
    <w:p>
      <w:pPr>
        <w:adjustRightInd w:val="0"/>
        <w:snapToGrid w:val="0"/>
        <w:spacing w:line="360" w:lineRule="auto"/>
        <w:ind w:firstLine="480" w:firstLineChars="200"/>
        <w:rPr>
          <w:color w:val="auto"/>
          <w:sz w:val="24"/>
        </w:rPr>
      </w:pPr>
      <w:r>
        <w:rPr>
          <w:color w:val="auto"/>
          <w:sz w:val="24"/>
        </w:rPr>
        <w:t>对建设项目污染物排放实施总量控制，不仅有利于建设单位的污染控制，也有利于当地环境主管部门的监督管理。本环评结合“一控双达标”的原则和要求、建设项目的排污特点以及建设项目所处位置的环境现状，对本项目水、气及固体废物</w:t>
      </w:r>
      <w:r>
        <w:rPr>
          <w:bCs/>
          <w:color w:val="auto"/>
          <w:sz w:val="24"/>
        </w:rPr>
        <w:t>污染物排放总量控制进行分析。</w:t>
      </w:r>
    </w:p>
    <w:p>
      <w:pPr>
        <w:pStyle w:val="44"/>
        <w:numPr>
          <w:ilvl w:val="2"/>
          <w:numId w:val="0"/>
        </w:numPr>
        <w:tabs>
          <w:tab w:val="clear" w:pos="720"/>
        </w:tabs>
        <w:spacing w:before="159" w:after="159" w:line="360" w:lineRule="auto"/>
        <w:rPr>
          <w:color w:val="auto"/>
          <w:sz w:val="28"/>
          <w:szCs w:val="28"/>
        </w:rPr>
      </w:pPr>
      <w:bookmarkStart w:id="492" w:name="_Toc142727442"/>
      <w:bookmarkStart w:id="493" w:name="_Toc194768546"/>
      <w:bookmarkStart w:id="494" w:name="_Toc29247"/>
      <w:r>
        <w:rPr>
          <w:rFonts w:hint="eastAsia"/>
          <w:color w:val="auto"/>
          <w:sz w:val="28"/>
          <w:szCs w:val="28"/>
        </w:rPr>
        <w:t xml:space="preserve">4.6.1  </w:t>
      </w:r>
      <w:r>
        <w:rPr>
          <w:color w:val="auto"/>
          <w:sz w:val="28"/>
          <w:szCs w:val="28"/>
        </w:rPr>
        <w:t>总量控制指标的确定原则</w:t>
      </w:r>
      <w:bookmarkEnd w:id="492"/>
      <w:bookmarkEnd w:id="493"/>
      <w:bookmarkEnd w:id="494"/>
    </w:p>
    <w:p>
      <w:pPr>
        <w:adjustRightInd w:val="0"/>
        <w:snapToGrid w:val="0"/>
        <w:spacing w:line="360" w:lineRule="auto"/>
        <w:ind w:firstLine="480" w:firstLineChars="200"/>
        <w:rPr>
          <w:color w:val="auto"/>
          <w:sz w:val="24"/>
        </w:rPr>
      </w:pPr>
      <w:r>
        <w:rPr>
          <w:color w:val="auto"/>
          <w:sz w:val="24"/>
        </w:rPr>
        <w:t>在确定项目污染物排放总量控制指标时，遵循以下原则：</w:t>
      </w:r>
    </w:p>
    <w:p>
      <w:pPr>
        <w:adjustRightInd w:val="0"/>
        <w:snapToGrid w:val="0"/>
        <w:spacing w:line="360" w:lineRule="auto"/>
        <w:ind w:firstLine="480" w:firstLineChars="200"/>
        <w:rPr>
          <w:color w:val="auto"/>
          <w:sz w:val="24"/>
        </w:rPr>
      </w:pPr>
      <w:r>
        <w:rPr>
          <w:rFonts w:hint="eastAsia"/>
          <w:color w:val="auto"/>
          <w:sz w:val="24"/>
        </w:rPr>
        <w:t>（1）</w:t>
      </w:r>
      <w:r>
        <w:rPr>
          <w:color w:val="auto"/>
          <w:sz w:val="24"/>
        </w:rPr>
        <w:t>按项目污染排放源强，确定各污染物排放总量控制指标。</w:t>
      </w:r>
    </w:p>
    <w:p>
      <w:pPr>
        <w:adjustRightInd w:val="0"/>
        <w:snapToGrid w:val="0"/>
        <w:spacing w:line="360" w:lineRule="auto"/>
        <w:ind w:firstLine="480" w:firstLineChars="200"/>
        <w:rPr>
          <w:color w:val="auto"/>
          <w:sz w:val="24"/>
        </w:rPr>
      </w:pPr>
      <w:r>
        <w:rPr>
          <w:rFonts w:hint="eastAsia"/>
          <w:color w:val="auto"/>
          <w:sz w:val="24"/>
        </w:rPr>
        <w:t>（2）</w:t>
      </w:r>
      <w:r>
        <w:rPr>
          <w:color w:val="auto"/>
          <w:sz w:val="24"/>
        </w:rPr>
        <w:t>根据项目生产规模的变化，确定项目最初投产时及达到最大生产规模时的污染物总量控制指标。</w:t>
      </w:r>
    </w:p>
    <w:p>
      <w:pPr>
        <w:adjustRightInd w:val="0"/>
        <w:snapToGrid w:val="0"/>
        <w:spacing w:line="360" w:lineRule="auto"/>
        <w:ind w:firstLine="480" w:firstLineChars="200"/>
        <w:rPr>
          <w:color w:val="auto"/>
          <w:sz w:val="24"/>
        </w:rPr>
      </w:pPr>
      <w:r>
        <w:rPr>
          <w:rFonts w:hint="eastAsia"/>
          <w:color w:val="auto"/>
          <w:sz w:val="24"/>
        </w:rPr>
        <w:t>（3）</w:t>
      </w:r>
      <w:r>
        <w:rPr>
          <w:color w:val="auto"/>
          <w:sz w:val="24"/>
        </w:rPr>
        <w:t>总量控制指标的确定必须服从区域排放总量计划。</w:t>
      </w:r>
    </w:p>
    <w:p>
      <w:pPr>
        <w:pStyle w:val="44"/>
        <w:numPr>
          <w:ilvl w:val="2"/>
          <w:numId w:val="0"/>
        </w:numPr>
        <w:tabs>
          <w:tab w:val="clear" w:pos="720"/>
        </w:tabs>
        <w:spacing w:before="159" w:after="159" w:line="360" w:lineRule="auto"/>
        <w:rPr>
          <w:color w:val="auto"/>
          <w:sz w:val="28"/>
          <w:szCs w:val="28"/>
        </w:rPr>
      </w:pPr>
      <w:bookmarkStart w:id="495" w:name="_Toc14923"/>
      <w:bookmarkStart w:id="496" w:name="_Toc194768549"/>
      <w:r>
        <w:rPr>
          <w:rFonts w:hint="eastAsia"/>
          <w:color w:val="auto"/>
          <w:sz w:val="28"/>
          <w:szCs w:val="28"/>
        </w:rPr>
        <w:t xml:space="preserve">4.6.2  </w:t>
      </w:r>
      <w:r>
        <w:rPr>
          <w:color w:val="auto"/>
          <w:sz w:val="28"/>
          <w:szCs w:val="28"/>
        </w:rPr>
        <w:t>污染物排放总量控制指标</w:t>
      </w:r>
      <w:bookmarkEnd w:id="495"/>
      <w:bookmarkEnd w:id="496"/>
    </w:p>
    <w:p>
      <w:pPr>
        <w:autoSpaceDE w:val="0"/>
        <w:autoSpaceDN w:val="0"/>
        <w:adjustRightInd w:val="0"/>
        <w:spacing w:line="360" w:lineRule="auto"/>
        <w:ind w:firstLine="480" w:firstLineChars="200"/>
        <w:jc w:val="left"/>
        <w:rPr>
          <w:color w:val="auto"/>
          <w:sz w:val="24"/>
        </w:rPr>
      </w:pPr>
      <w:r>
        <w:rPr>
          <w:color w:val="auto"/>
          <w:sz w:val="24"/>
        </w:rPr>
        <w:t>根据工程分析及以上计算结果，充分考虑建设单位实际治理能力，得出本项目的污染物排放总量控制建议指标。</w:t>
      </w:r>
    </w:p>
    <w:p>
      <w:pPr>
        <w:pStyle w:val="32"/>
        <w:spacing w:line="360" w:lineRule="auto"/>
        <w:ind w:firstLine="480" w:firstLineChars="200"/>
        <w:rPr>
          <w:color w:val="auto"/>
        </w:rPr>
      </w:pPr>
      <w:bookmarkStart w:id="497" w:name="_Toc332635846"/>
      <w:r>
        <w:rPr>
          <w:rFonts w:hint="eastAsia"/>
          <w:color w:val="auto"/>
        </w:rPr>
        <w:t>（1）</w:t>
      </w:r>
      <w:r>
        <w:rPr>
          <w:color w:val="auto"/>
        </w:rPr>
        <w:t>水污染物总量控制</w:t>
      </w:r>
      <w:bookmarkEnd w:id="497"/>
      <w:r>
        <w:rPr>
          <w:color w:val="auto"/>
        </w:rPr>
        <w:t>指标</w:t>
      </w:r>
    </w:p>
    <w:p>
      <w:pPr>
        <w:autoSpaceDE w:val="0"/>
        <w:autoSpaceDN w:val="0"/>
        <w:adjustRightInd w:val="0"/>
        <w:spacing w:line="360" w:lineRule="auto"/>
        <w:ind w:firstLine="480" w:firstLineChars="200"/>
        <w:jc w:val="left"/>
        <w:rPr>
          <w:color w:val="auto"/>
          <w:sz w:val="24"/>
        </w:rPr>
      </w:pPr>
      <w:r>
        <w:rPr>
          <w:color w:val="auto"/>
          <w:sz w:val="24"/>
        </w:rPr>
        <w:t>项目采用“清污分流、雨污分流、分质回用、循环用水”设计理念</w:t>
      </w:r>
      <w:r>
        <w:rPr>
          <w:rFonts w:hint="eastAsia"/>
          <w:color w:val="auto"/>
          <w:sz w:val="24"/>
        </w:rPr>
        <w:t>。项目的生产废水经沉淀处理后回用于生产，不外排。项目的冷却水循环使用，不外排。</w:t>
      </w:r>
      <w:r>
        <w:rPr>
          <w:color w:val="auto"/>
          <w:sz w:val="24"/>
        </w:rPr>
        <w:t>生活污水经三级化粪池预处理达到广东省地方标准《水污染物排放限值》（DB44/26-2001）第二时段三级标准和</w:t>
      </w:r>
      <w:r>
        <w:rPr>
          <w:rFonts w:hint="eastAsia"/>
          <w:color w:val="auto"/>
          <w:sz w:val="24"/>
          <w:lang w:eastAsia="zh-CN"/>
        </w:rPr>
        <w:t>石角污水处理厂</w:t>
      </w:r>
      <w:r>
        <w:rPr>
          <w:color w:val="auto"/>
          <w:sz w:val="24"/>
        </w:rPr>
        <w:t>进水水质标准较严值后经</w:t>
      </w:r>
      <w:r>
        <w:rPr>
          <w:rFonts w:hint="eastAsia"/>
          <w:color w:val="auto"/>
          <w:sz w:val="24"/>
        </w:rPr>
        <w:t>市政</w:t>
      </w:r>
      <w:r>
        <w:rPr>
          <w:color w:val="auto"/>
          <w:sz w:val="24"/>
        </w:rPr>
        <w:t>管网进入</w:t>
      </w:r>
      <w:r>
        <w:rPr>
          <w:rFonts w:hint="eastAsia"/>
          <w:color w:val="auto"/>
          <w:sz w:val="24"/>
        </w:rPr>
        <w:t>石角</w:t>
      </w:r>
      <w:r>
        <w:rPr>
          <w:color w:val="auto"/>
          <w:sz w:val="24"/>
        </w:rPr>
        <w:t>污水处理厂</w:t>
      </w:r>
      <w:r>
        <w:rPr>
          <w:rFonts w:hint="eastAsia"/>
          <w:color w:val="auto"/>
          <w:sz w:val="24"/>
        </w:rPr>
        <w:t>集中处理</w:t>
      </w:r>
      <w:r>
        <w:rPr>
          <w:color w:val="auto"/>
          <w:sz w:val="24"/>
        </w:rPr>
        <w:t>，</w:t>
      </w:r>
      <w:r>
        <w:rPr>
          <w:rFonts w:hint="eastAsia"/>
          <w:color w:val="auto"/>
          <w:sz w:val="24"/>
        </w:rPr>
        <w:t>最后尾水达标排入</w:t>
      </w:r>
      <w:r>
        <w:rPr>
          <w:color w:val="auto"/>
          <w:sz w:val="24"/>
        </w:rPr>
        <w:t>沙埗溪。项目水污染物总量控制指标纳入</w:t>
      </w:r>
      <w:r>
        <w:rPr>
          <w:rFonts w:hint="eastAsia"/>
          <w:color w:val="auto"/>
          <w:sz w:val="24"/>
        </w:rPr>
        <w:t>石角污水处理厂</w:t>
      </w:r>
      <w:r>
        <w:rPr>
          <w:color w:val="auto"/>
          <w:sz w:val="24"/>
        </w:rPr>
        <w:t>统一管理，不另设水污染物总量控制指标。</w:t>
      </w:r>
    </w:p>
    <w:p>
      <w:pPr>
        <w:autoSpaceDE w:val="0"/>
        <w:autoSpaceDN w:val="0"/>
        <w:adjustRightInd w:val="0"/>
        <w:spacing w:line="360" w:lineRule="auto"/>
        <w:ind w:firstLine="480" w:firstLineChars="200"/>
        <w:jc w:val="left"/>
        <w:rPr>
          <w:color w:val="auto"/>
          <w:sz w:val="24"/>
        </w:rPr>
      </w:pPr>
      <w:r>
        <w:rPr>
          <w:rFonts w:hint="eastAsia"/>
          <w:color w:val="auto"/>
          <w:sz w:val="24"/>
        </w:rPr>
        <w:t>（2）</w:t>
      </w:r>
      <w:r>
        <w:rPr>
          <w:color w:val="auto"/>
          <w:sz w:val="24"/>
        </w:rPr>
        <w:t>大气污染物总量控制指标</w:t>
      </w:r>
    </w:p>
    <w:p>
      <w:pPr>
        <w:autoSpaceDE w:val="0"/>
        <w:autoSpaceDN w:val="0"/>
        <w:adjustRightInd w:val="0"/>
        <w:spacing w:line="360" w:lineRule="auto"/>
        <w:ind w:firstLine="480" w:firstLineChars="200"/>
        <w:jc w:val="left"/>
        <w:rPr>
          <w:color w:val="auto"/>
          <w:sz w:val="24"/>
        </w:rPr>
      </w:pPr>
      <w:r>
        <w:rPr>
          <w:color w:val="auto"/>
          <w:sz w:val="24"/>
        </w:rPr>
        <w:t>根据工程分析核算，项目大气污染物排放量如下表所示。</w:t>
      </w:r>
    </w:p>
    <w:p>
      <w:pPr>
        <w:autoSpaceDE w:val="0"/>
        <w:autoSpaceDN w:val="0"/>
        <w:adjustRightInd w:val="0"/>
        <w:snapToGrid w:val="0"/>
        <w:spacing w:before="159" w:beforeLines="50" w:line="360" w:lineRule="auto"/>
        <w:jc w:val="center"/>
        <w:rPr>
          <w:b/>
          <w:color w:val="auto"/>
          <w:sz w:val="22"/>
        </w:rPr>
      </w:pPr>
      <w:r>
        <w:rPr>
          <w:b/>
          <w:color w:val="auto"/>
          <w:kern w:val="0"/>
          <w:szCs w:val="21"/>
        </w:rPr>
        <w:t>表</w:t>
      </w:r>
      <w:r>
        <w:rPr>
          <w:rFonts w:hint="eastAsia"/>
          <w:b/>
          <w:color w:val="auto"/>
          <w:kern w:val="0"/>
          <w:szCs w:val="21"/>
        </w:rPr>
        <w:t>4.6-1</w:t>
      </w:r>
      <w:r>
        <w:rPr>
          <w:b/>
          <w:color w:val="auto"/>
          <w:kern w:val="0"/>
          <w:szCs w:val="21"/>
        </w:rPr>
        <w:t xml:space="preserve"> </w:t>
      </w:r>
      <w:r>
        <w:rPr>
          <w:rFonts w:hint="eastAsia"/>
          <w:b/>
          <w:color w:val="auto"/>
          <w:kern w:val="0"/>
          <w:szCs w:val="21"/>
        </w:rPr>
        <w:t xml:space="preserve"> </w:t>
      </w:r>
      <w:r>
        <w:rPr>
          <w:b/>
          <w:color w:val="auto"/>
          <w:kern w:val="0"/>
          <w:szCs w:val="21"/>
        </w:rPr>
        <w:t>项目大气污染总量控制因子及其建议值</w:t>
      </w:r>
      <w:r>
        <w:rPr>
          <w:b/>
          <w:color w:val="auto"/>
          <w:szCs w:val="21"/>
        </w:rPr>
        <w:t>（</w:t>
      </w:r>
      <w:r>
        <w:rPr>
          <w:rFonts w:hint="eastAsia"/>
          <w:b/>
          <w:color w:val="auto"/>
          <w:szCs w:val="21"/>
        </w:rPr>
        <w:t>单位：t/a）</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1"/>
        <w:gridCol w:w="1809"/>
        <w:gridCol w:w="2116"/>
        <w:gridCol w:w="2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2481" w:type="dxa"/>
            <w:shd w:val="clear" w:color="auto" w:fill="auto"/>
            <w:vAlign w:val="center"/>
          </w:tcPr>
          <w:p>
            <w:pPr>
              <w:widowControl/>
              <w:spacing w:line="300" w:lineRule="auto"/>
              <w:jc w:val="center"/>
              <w:rPr>
                <w:color w:val="auto"/>
                <w:kern w:val="0"/>
                <w:szCs w:val="21"/>
              </w:rPr>
            </w:pPr>
            <w:r>
              <w:rPr>
                <w:color w:val="auto"/>
                <w:kern w:val="0"/>
                <w:szCs w:val="21"/>
              </w:rPr>
              <w:t>污染物</w:t>
            </w:r>
          </w:p>
        </w:tc>
        <w:tc>
          <w:tcPr>
            <w:tcW w:w="1809" w:type="dxa"/>
            <w:shd w:val="clear" w:color="auto" w:fill="auto"/>
            <w:vAlign w:val="center"/>
          </w:tcPr>
          <w:p>
            <w:pPr>
              <w:widowControl/>
              <w:spacing w:line="300" w:lineRule="auto"/>
              <w:jc w:val="center"/>
              <w:rPr>
                <w:color w:val="auto"/>
                <w:kern w:val="0"/>
                <w:szCs w:val="21"/>
              </w:rPr>
            </w:pPr>
            <w:r>
              <w:rPr>
                <w:color w:val="auto"/>
                <w:kern w:val="0"/>
                <w:szCs w:val="21"/>
              </w:rPr>
              <w:t>SO</w:t>
            </w:r>
            <w:r>
              <w:rPr>
                <w:color w:val="auto"/>
                <w:kern w:val="0"/>
                <w:szCs w:val="21"/>
                <w:vertAlign w:val="subscript"/>
              </w:rPr>
              <w:t>2</w:t>
            </w:r>
          </w:p>
        </w:tc>
        <w:tc>
          <w:tcPr>
            <w:tcW w:w="2116" w:type="dxa"/>
            <w:shd w:val="clear" w:color="auto" w:fill="auto"/>
            <w:vAlign w:val="center"/>
          </w:tcPr>
          <w:p>
            <w:pPr>
              <w:widowControl/>
              <w:spacing w:line="300" w:lineRule="auto"/>
              <w:jc w:val="center"/>
              <w:rPr>
                <w:color w:val="auto"/>
                <w:kern w:val="0"/>
                <w:szCs w:val="21"/>
              </w:rPr>
            </w:pPr>
            <w:r>
              <w:rPr>
                <w:color w:val="auto"/>
                <w:kern w:val="0"/>
                <w:szCs w:val="21"/>
              </w:rPr>
              <w:t>NO</w:t>
            </w:r>
            <w:r>
              <w:rPr>
                <w:color w:val="auto"/>
                <w:kern w:val="0"/>
                <w:szCs w:val="21"/>
                <w:vertAlign w:val="subscript"/>
              </w:rPr>
              <w:t>X</w:t>
            </w:r>
          </w:p>
        </w:tc>
        <w:tc>
          <w:tcPr>
            <w:tcW w:w="2116" w:type="dxa"/>
          </w:tcPr>
          <w:p>
            <w:pPr>
              <w:widowControl/>
              <w:spacing w:line="300" w:lineRule="auto"/>
              <w:jc w:val="center"/>
              <w:rPr>
                <w:color w:val="auto"/>
                <w:kern w:val="0"/>
                <w:szCs w:val="21"/>
              </w:rPr>
            </w:pPr>
            <w:r>
              <w:rPr>
                <w:color w:val="auto"/>
                <w:kern w:val="0"/>
                <w:szCs w:val="21"/>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2481" w:type="dxa"/>
            <w:shd w:val="clear" w:color="auto" w:fill="auto"/>
            <w:vAlign w:val="center"/>
          </w:tcPr>
          <w:p>
            <w:pPr>
              <w:widowControl/>
              <w:spacing w:line="300" w:lineRule="auto"/>
              <w:jc w:val="center"/>
              <w:rPr>
                <w:color w:val="auto"/>
                <w:kern w:val="0"/>
                <w:szCs w:val="21"/>
              </w:rPr>
            </w:pPr>
            <w:r>
              <w:rPr>
                <w:color w:val="auto"/>
                <w:kern w:val="0"/>
                <w:szCs w:val="21"/>
              </w:rPr>
              <w:t>建议指标值</w:t>
            </w:r>
          </w:p>
        </w:tc>
        <w:tc>
          <w:tcPr>
            <w:tcW w:w="1809" w:type="dxa"/>
            <w:shd w:val="clear" w:color="auto" w:fill="auto"/>
            <w:vAlign w:val="center"/>
          </w:tcPr>
          <w:p>
            <w:pPr>
              <w:widowControl/>
              <w:spacing w:line="300" w:lineRule="auto"/>
              <w:jc w:val="center"/>
              <w:rPr>
                <w:color w:val="auto"/>
                <w:kern w:val="0"/>
                <w:szCs w:val="21"/>
              </w:rPr>
            </w:pPr>
            <w:r>
              <w:rPr>
                <w:color w:val="auto"/>
                <w:kern w:val="0"/>
                <w:szCs w:val="21"/>
                <w:lang w:bidi="ar"/>
              </w:rPr>
              <w:t>0.</w:t>
            </w:r>
            <w:r>
              <w:rPr>
                <w:rFonts w:hint="eastAsia"/>
                <w:color w:val="auto"/>
                <w:kern w:val="0"/>
                <w:szCs w:val="21"/>
                <w:lang w:val="en-US" w:eastAsia="zh-CN" w:bidi="ar"/>
              </w:rPr>
              <w:t>2</w:t>
            </w:r>
            <w:r>
              <w:rPr>
                <w:color w:val="auto"/>
                <w:kern w:val="0"/>
                <w:szCs w:val="21"/>
                <w:lang w:bidi="ar"/>
              </w:rPr>
              <w:t>2</w:t>
            </w:r>
          </w:p>
        </w:tc>
        <w:tc>
          <w:tcPr>
            <w:tcW w:w="2116" w:type="dxa"/>
            <w:shd w:val="clear" w:color="auto" w:fill="auto"/>
            <w:vAlign w:val="center"/>
          </w:tcPr>
          <w:p>
            <w:pPr>
              <w:widowControl/>
              <w:spacing w:line="300" w:lineRule="auto"/>
              <w:jc w:val="center"/>
              <w:rPr>
                <w:rFonts w:hint="eastAsia" w:eastAsia="宋体"/>
                <w:color w:val="auto"/>
                <w:kern w:val="0"/>
                <w:szCs w:val="21"/>
                <w:lang w:eastAsia="zh-CN"/>
              </w:rPr>
            </w:pPr>
            <w:r>
              <w:rPr>
                <w:rFonts w:hint="eastAsia"/>
                <w:color w:val="auto"/>
                <w:kern w:val="0"/>
                <w:szCs w:val="21"/>
                <w:lang w:val="en-US" w:eastAsia="zh-CN"/>
              </w:rPr>
              <w:t>2.3743</w:t>
            </w:r>
          </w:p>
        </w:tc>
        <w:tc>
          <w:tcPr>
            <w:tcW w:w="2116" w:type="dxa"/>
          </w:tcPr>
          <w:p>
            <w:pPr>
              <w:widowControl/>
              <w:spacing w:line="300" w:lineRule="auto"/>
              <w:jc w:val="center"/>
              <w:rPr>
                <w:color w:val="auto"/>
                <w:szCs w:val="21"/>
              </w:rPr>
            </w:pPr>
            <w:r>
              <w:rPr>
                <w:rFonts w:hint="eastAsia"/>
                <w:color w:val="auto"/>
                <w:szCs w:val="21"/>
              </w:rPr>
              <w:t>0.2914</w:t>
            </w:r>
          </w:p>
        </w:tc>
      </w:tr>
    </w:tbl>
    <w:p>
      <w:pPr>
        <w:autoSpaceDE w:val="0"/>
        <w:autoSpaceDN w:val="0"/>
        <w:adjustRightInd w:val="0"/>
        <w:spacing w:line="360" w:lineRule="auto"/>
        <w:ind w:firstLine="480" w:firstLineChars="200"/>
        <w:jc w:val="left"/>
        <w:rPr>
          <w:bCs/>
          <w:color w:val="auto"/>
          <w:kern w:val="0"/>
          <w:sz w:val="24"/>
        </w:rPr>
      </w:pPr>
      <w:bookmarkStart w:id="498" w:name="_Toc268099960"/>
      <w:r>
        <w:rPr>
          <w:bCs/>
          <w:color w:val="auto"/>
          <w:kern w:val="0"/>
          <w:sz w:val="24"/>
        </w:rPr>
        <w:t>各污染物的排放量指标须向当地环保部门申请</w:t>
      </w:r>
      <w:r>
        <w:rPr>
          <w:rFonts w:hint="eastAsia"/>
          <w:bCs/>
          <w:color w:val="auto"/>
          <w:kern w:val="0"/>
          <w:sz w:val="24"/>
        </w:rPr>
        <w:t>。</w:t>
      </w:r>
    </w:p>
    <w:bookmarkEnd w:id="498"/>
    <w:p>
      <w:pPr>
        <w:pStyle w:val="44"/>
        <w:numPr>
          <w:ilvl w:val="2"/>
          <w:numId w:val="0"/>
        </w:numPr>
        <w:tabs>
          <w:tab w:val="clear" w:pos="720"/>
        </w:tabs>
        <w:spacing w:before="159" w:after="159" w:line="360" w:lineRule="auto"/>
        <w:jc w:val="both"/>
        <w:rPr>
          <w:color w:val="auto"/>
          <w:sz w:val="28"/>
          <w:szCs w:val="28"/>
        </w:rPr>
      </w:pPr>
      <w:bookmarkStart w:id="499" w:name="_Toc8363"/>
      <w:bookmarkStart w:id="500" w:name="_Toc142727444"/>
      <w:bookmarkStart w:id="501" w:name="_Toc196103186"/>
      <w:r>
        <w:rPr>
          <w:rFonts w:hint="eastAsia"/>
          <w:color w:val="auto"/>
          <w:sz w:val="28"/>
          <w:szCs w:val="28"/>
        </w:rPr>
        <w:t>4.6.3  总量控制指标可达性分析</w:t>
      </w:r>
      <w:bookmarkEnd w:id="499"/>
      <w:bookmarkEnd w:id="500"/>
      <w:bookmarkEnd w:id="501"/>
    </w:p>
    <w:p>
      <w:pPr>
        <w:spacing w:line="360" w:lineRule="auto"/>
        <w:ind w:firstLine="424" w:firstLineChars="177"/>
        <w:rPr>
          <w:color w:val="auto"/>
          <w:sz w:val="24"/>
        </w:rPr>
      </w:pPr>
      <w:r>
        <w:rPr>
          <w:color w:val="auto"/>
          <w:sz w:val="24"/>
        </w:rPr>
        <w:t>目前国家正在实行“节能减排”政策，上述总量控制指标需要在清城区调配</w:t>
      </w:r>
      <w:r>
        <w:rPr>
          <w:rFonts w:hint="eastAsia"/>
          <w:color w:val="auto"/>
          <w:sz w:val="24"/>
        </w:rPr>
        <w:t>。</w:t>
      </w:r>
      <w:r>
        <w:rPr>
          <w:color w:val="auto"/>
          <w:sz w:val="24"/>
        </w:rPr>
        <w:t>污染物排放量的总量控制是以各配套环保设施的正常运行、定期维护作为前提的。因此，排放总量控制指标的完成有赖于以下几点：</w:t>
      </w:r>
    </w:p>
    <w:p>
      <w:pPr>
        <w:adjustRightInd w:val="0"/>
        <w:snapToGrid w:val="0"/>
        <w:spacing w:line="360" w:lineRule="auto"/>
        <w:ind w:firstLine="484" w:firstLineChars="202"/>
        <w:rPr>
          <w:color w:val="auto"/>
          <w:sz w:val="24"/>
        </w:rPr>
      </w:pPr>
      <w:r>
        <w:rPr>
          <w:color w:val="auto"/>
          <w:sz w:val="24"/>
        </w:rPr>
        <w:t>（1）建设单位不断更新工艺，提高清洁生产水平，从源头上减少污染物的产生；</w:t>
      </w:r>
    </w:p>
    <w:p>
      <w:pPr>
        <w:adjustRightInd w:val="0"/>
        <w:snapToGrid w:val="0"/>
        <w:spacing w:line="360" w:lineRule="auto"/>
        <w:ind w:firstLine="484" w:firstLineChars="202"/>
        <w:rPr>
          <w:color w:val="auto"/>
          <w:sz w:val="24"/>
        </w:rPr>
      </w:pPr>
      <w:r>
        <w:rPr>
          <w:color w:val="auto"/>
          <w:sz w:val="24"/>
        </w:rPr>
        <w:t>（2）建设单位根据本报告书提出的各项污染防治措施，做好厂内污染治理工作，确保各类污染物达标排放；</w:t>
      </w:r>
    </w:p>
    <w:p>
      <w:pPr>
        <w:adjustRightInd w:val="0"/>
        <w:snapToGrid w:val="0"/>
        <w:spacing w:line="360" w:lineRule="auto"/>
        <w:ind w:firstLine="484" w:firstLineChars="202"/>
        <w:rPr>
          <w:color w:val="auto"/>
          <w:sz w:val="24"/>
        </w:rPr>
      </w:pPr>
      <w:r>
        <w:rPr>
          <w:color w:val="auto"/>
          <w:sz w:val="24"/>
        </w:rPr>
        <w:t>（3）制定合理有效的环境管理与监测计划，确保污染防治措施的正常运行和定期维护；</w:t>
      </w:r>
    </w:p>
    <w:p>
      <w:pPr>
        <w:adjustRightInd w:val="0"/>
        <w:snapToGrid w:val="0"/>
        <w:spacing w:line="360" w:lineRule="auto"/>
        <w:ind w:firstLine="484" w:firstLineChars="202"/>
        <w:rPr>
          <w:color w:val="auto"/>
          <w:sz w:val="24"/>
        </w:rPr>
      </w:pPr>
      <w:r>
        <w:rPr>
          <w:color w:val="auto"/>
          <w:sz w:val="24"/>
        </w:rPr>
        <w:t>（4）严格控制并努力地持续削减装置的各项污染物的排放总量指标。</w:t>
      </w:r>
    </w:p>
    <w:p>
      <w:pPr>
        <w:tabs>
          <w:tab w:val="left" w:pos="1081"/>
        </w:tabs>
        <w:adjustRightInd w:val="0"/>
        <w:snapToGrid w:val="0"/>
        <w:spacing w:line="360" w:lineRule="auto"/>
        <w:ind w:firstLine="480"/>
        <w:rPr>
          <w:color w:val="auto"/>
          <w:sz w:val="24"/>
        </w:rPr>
      </w:pPr>
    </w:p>
    <w:p>
      <w:pPr>
        <w:tabs>
          <w:tab w:val="left" w:pos="1081"/>
        </w:tabs>
        <w:adjustRightInd w:val="0"/>
        <w:snapToGrid w:val="0"/>
        <w:spacing w:line="360" w:lineRule="auto"/>
        <w:ind w:firstLine="480"/>
        <w:rPr>
          <w:color w:val="auto"/>
          <w:sz w:val="24"/>
        </w:rPr>
      </w:pPr>
    </w:p>
    <w:p>
      <w:pPr>
        <w:rPr>
          <w:color w:val="auto"/>
        </w:rPr>
      </w:pPr>
    </w:p>
    <w:p>
      <w:pPr>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4"/>
        <w:numPr>
          <w:ilvl w:val="0"/>
          <w:numId w:val="0"/>
        </w:numPr>
        <w:spacing w:before="159" w:after="159"/>
        <w:ind w:left="568"/>
        <w:rPr>
          <w:color w:val="auto"/>
          <w:sz w:val="44"/>
          <w:szCs w:val="44"/>
        </w:rPr>
      </w:pPr>
      <w:bookmarkStart w:id="502" w:name="_Toc12959314"/>
      <w:bookmarkStart w:id="503" w:name="_Toc3504"/>
      <w:bookmarkStart w:id="504" w:name="_Toc6828"/>
      <w:r>
        <w:rPr>
          <w:rFonts w:hint="eastAsia"/>
          <w:color w:val="auto"/>
          <w:sz w:val="44"/>
          <w:szCs w:val="44"/>
        </w:rPr>
        <w:t xml:space="preserve">5  </w:t>
      </w:r>
      <w:r>
        <w:rPr>
          <w:color w:val="auto"/>
          <w:sz w:val="44"/>
          <w:szCs w:val="44"/>
        </w:rPr>
        <w:t>环境现状调查与评价</w:t>
      </w:r>
      <w:bookmarkEnd w:id="502"/>
      <w:bookmarkEnd w:id="503"/>
      <w:bookmarkEnd w:id="504"/>
    </w:p>
    <w:p>
      <w:pPr>
        <w:pStyle w:val="5"/>
        <w:numPr>
          <w:ilvl w:val="1"/>
          <w:numId w:val="0"/>
        </w:numPr>
        <w:tabs>
          <w:tab w:val="clear" w:pos="720"/>
        </w:tabs>
        <w:spacing w:before="159" w:after="159"/>
        <w:rPr>
          <w:color w:val="auto"/>
          <w:sz w:val="32"/>
          <w:szCs w:val="32"/>
        </w:rPr>
      </w:pPr>
      <w:bookmarkStart w:id="505" w:name="_Toc12959315"/>
      <w:bookmarkStart w:id="506" w:name="_Toc17307"/>
      <w:bookmarkStart w:id="507" w:name="_Toc4894"/>
      <w:r>
        <w:rPr>
          <w:rFonts w:hint="eastAsia"/>
          <w:color w:val="auto"/>
          <w:sz w:val="32"/>
          <w:szCs w:val="32"/>
        </w:rPr>
        <w:t xml:space="preserve">5.1  </w:t>
      </w:r>
      <w:r>
        <w:rPr>
          <w:color w:val="auto"/>
          <w:sz w:val="32"/>
          <w:szCs w:val="32"/>
        </w:rPr>
        <w:t>自然环境概况</w:t>
      </w:r>
      <w:bookmarkEnd w:id="505"/>
      <w:bookmarkEnd w:id="506"/>
      <w:bookmarkEnd w:id="507"/>
    </w:p>
    <w:p>
      <w:pPr>
        <w:pStyle w:val="7"/>
        <w:numPr>
          <w:ilvl w:val="2"/>
          <w:numId w:val="0"/>
        </w:numPr>
        <w:tabs>
          <w:tab w:val="clear" w:pos="720"/>
        </w:tabs>
        <w:spacing w:before="159" w:after="159"/>
        <w:rPr>
          <w:color w:val="auto"/>
        </w:rPr>
      </w:pPr>
      <w:bookmarkStart w:id="508" w:name="_Toc22160"/>
      <w:r>
        <w:rPr>
          <w:rFonts w:hint="eastAsia"/>
          <w:color w:val="auto"/>
        </w:rPr>
        <w:t xml:space="preserve">5.1.1  </w:t>
      </w:r>
      <w:r>
        <w:rPr>
          <w:color w:val="auto"/>
        </w:rPr>
        <w:t>地理位置</w:t>
      </w:r>
      <w:bookmarkEnd w:id="508"/>
    </w:p>
    <w:p>
      <w:pPr>
        <w:autoSpaceDE w:val="0"/>
        <w:autoSpaceDN w:val="0"/>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清远市清城区信兴金属回收加工有限公司原厂位于清远市清城区，本项目厂址位于广东清远市清城区石角镇界牌村石角工业园内。</w:t>
      </w:r>
    </w:p>
    <w:p>
      <w:pPr>
        <w:adjustRightInd w:val="0"/>
        <w:snapToGrid w:val="0"/>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清远市，1988年1月7日经国务院批准设立，位于中国广东省中部，北江中下游，北面和东北面与韶关市为邻，东南和南面接广州市，南与佛山市接壤，西与肇庆市相连，是广东省面积最大的地级市。现辖清城区、清新区、佛冈县、阳山县、连南瑶族自治县、连山壮族瑶族自治县，并代管英德市、连州市两个县级市，共2区2市4县，总面积1.9万平方公里。</w:t>
      </w:r>
    </w:p>
    <w:p>
      <w:pPr>
        <w:adjustRightInd w:val="0"/>
        <w:snapToGrid w:val="0"/>
        <w:spacing w:line="360" w:lineRule="auto"/>
        <w:ind w:firstLine="480"/>
        <w:rPr>
          <w:color w:val="auto"/>
          <w:sz w:val="24"/>
        </w:rPr>
      </w:pPr>
      <w:r>
        <w:rPr>
          <w:rFonts w:hint="default" w:ascii="Times New Roman" w:hAnsi="Times New Roman" w:eastAsia="宋体" w:cs="Times New Roman"/>
          <w:color w:val="auto"/>
          <w:sz w:val="24"/>
        </w:rPr>
        <w:t>清城区是1988年1月设立的市辖县级区，位于广东省中部、清远市中南部，北江中下游，被誉为“北江明珠”“珠三角后花园”。北与清新区为邻，南接广州市花都区，东与佛冈县、广州市从化区相连，西与三水市接壤，是珠</w:t>
      </w:r>
      <w:r>
        <w:rPr>
          <w:color w:val="auto"/>
          <w:sz w:val="24"/>
        </w:rPr>
        <w:t>江三角洲地区和粤北山区的政治、经济、文化交流的主要汇集区之一，是清远市委、市政府所在地，也是全市的交通总汇和广州地区北端的运输枢纽。地理坐标为东经112 °52’～113 °22’、北纬23 °26’～23 °47’。地域东西宽，南北窄，东西直线距离50km，南北直线距离50km。</w:t>
      </w:r>
    </w:p>
    <w:p>
      <w:pPr>
        <w:adjustRightInd w:val="0"/>
        <w:snapToGrid w:val="0"/>
        <w:spacing w:line="360" w:lineRule="auto"/>
        <w:ind w:firstLine="480"/>
        <w:rPr>
          <w:color w:val="auto"/>
        </w:rPr>
      </w:pPr>
      <w:r>
        <w:rPr>
          <w:color w:val="auto"/>
          <w:sz w:val="24"/>
        </w:rPr>
        <w:t>石角镇是广东省重点工业卫星镇之一，位于清远市最南端，珠三角开放区的最北端。地处清远、广州、佛山三市的交汇点，距清远市区20km、广州50km、佛山60km，属三市一小时车程生活圈范围。清远港、清远火车站、花都国际机场均在30km以内，与境内S114 线、S253 线、S269 线、环镇公路和G107 形成一个快速便捷的“海陆空”立体交通网。</w:t>
      </w:r>
      <w:r>
        <w:rPr>
          <w:color w:val="auto"/>
        </w:rPr>
        <w:t xml:space="preserve"> </w:t>
      </w:r>
    </w:p>
    <w:p>
      <w:pPr>
        <w:pStyle w:val="7"/>
        <w:numPr>
          <w:ilvl w:val="2"/>
          <w:numId w:val="0"/>
        </w:numPr>
        <w:tabs>
          <w:tab w:val="clear" w:pos="720"/>
        </w:tabs>
        <w:spacing w:before="159" w:after="159"/>
        <w:rPr>
          <w:color w:val="auto"/>
        </w:rPr>
      </w:pPr>
      <w:bookmarkStart w:id="509" w:name="_Toc9596"/>
      <w:r>
        <w:rPr>
          <w:rFonts w:hint="eastAsia"/>
          <w:color w:val="auto"/>
        </w:rPr>
        <w:t xml:space="preserve">5.1.2  </w:t>
      </w:r>
      <w:r>
        <w:rPr>
          <w:color w:val="auto"/>
        </w:rPr>
        <w:t>地形地貌</w:t>
      </w:r>
      <w:bookmarkEnd w:id="509"/>
    </w:p>
    <w:p>
      <w:pPr>
        <w:autoSpaceDE w:val="0"/>
        <w:autoSpaceDN w:val="0"/>
        <w:adjustRightInd w:val="0"/>
        <w:spacing w:line="360" w:lineRule="auto"/>
        <w:ind w:firstLine="480" w:firstLineChars="200"/>
        <w:jc w:val="left"/>
        <w:rPr>
          <w:color w:val="auto"/>
          <w:sz w:val="24"/>
        </w:rPr>
      </w:pPr>
      <w:r>
        <w:rPr>
          <w:color w:val="auto"/>
          <w:sz w:val="24"/>
        </w:rPr>
        <w:t xml:space="preserve">清城区地势东北高西南低，大部分地区属平原与低山丘陵。北部山岭海拔高度从700余米至数10米不等，其间清城区有少部分高山，山地地形割切明显，地貌景致秀丽。东南部地区为砂板岩、花岗岩，花岗岩风化壳普遍发育，一般高程在海拔数10米至500米之间。中部、西南部为红层及第四系分布，地势平缓，海拔高度在数10米之内。区境处东桂湘赣褶皱带的粤中拗褶束与湘粤拗褶束交接部位、粤桂隆起边缘，为华南褶皱系的一部分。同时，亦是佛冈—丰良纬向构造带与吴川—四会新华夏断裂带的交汇复合部位，由于不同构造体系的发育、迭加，加上海西—印支以及燕山早期大规模岩浆侵入活动，区境内的地质构造较为复杂。 </w:t>
      </w:r>
    </w:p>
    <w:p>
      <w:pPr>
        <w:autoSpaceDE w:val="0"/>
        <w:autoSpaceDN w:val="0"/>
        <w:adjustRightInd w:val="0"/>
        <w:spacing w:line="360" w:lineRule="auto"/>
        <w:ind w:firstLine="480" w:firstLineChars="200"/>
        <w:jc w:val="left"/>
        <w:rPr>
          <w:color w:val="auto"/>
          <w:sz w:val="24"/>
        </w:rPr>
      </w:pPr>
      <w:r>
        <w:rPr>
          <w:color w:val="auto"/>
          <w:sz w:val="24"/>
        </w:rPr>
        <w:t>清城区地形以平原和低山丘陵为主。整体地势是东南部多丘陵，地势较高，西部较低平，北江在区内北部由东向西，到区内西部又由北向南流过，北江河两岸有宽窄不一的滨河平原，形成西部以平原、低丘为主。境内有山地、丘陵、台地、平原、河流、滩地，全区山地丘陵与台地平原的面积基本上各占一半。北部地区有海拔较高的飞霞山、笔架山、大帽山等山地，其位于清远附城江埗管理区内，距白庙渔村旅游区4公里，离飞来峡风景名胜区6公里的大帽山海拔778.9米，为清城区境内最高峰。东部地区主要是海拔较低的丘陵，坡度较少，是清城区林木、水果、药材等经济作物的生产地。清城区南部是北江冲积平原，是精耕细作、土地肥沃、高产稳产的水稻土，面积28万多亩，主要种植双季水稻，这里不仅是清城区主要的粮产区，也是广东省重点产粮区之一，每年粮食产量达14.6万吨以上。</w:t>
      </w:r>
    </w:p>
    <w:p>
      <w:pPr>
        <w:pStyle w:val="7"/>
        <w:numPr>
          <w:ilvl w:val="2"/>
          <w:numId w:val="0"/>
        </w:numPr>
        <w:tabs>
          <w:tab w:val="clear" w:pos="720"/>
        </w:tabs>
        <w:spacing w:before="159" w:after="159"/>
        <w:rPr>
          <w:color w:val="auto"/>
        </w:rPr>
      </w:pPr>
      <w:bookmarkStart w:id="510" w:name="_Toc28581"/>
      <w:r>
        <w:rPr>
          <w:rFonts w:hint="eastAsia"/>
          <w:color w:val="auto"/>
        </w:rPr>
        <w:t xml:space="preserve">5.1.3  </w:t>
      </w:r>
      <w:r>
        <w:rPr>
          <w:color w:val="auto"/>
        </w:rPr>
        <w:t>气象气候</w:t>
      </w:r>
      <w:bookmarkEnd w:id="510"/>
    </w:p>
    <w:p>
      <w:pPr>
        <w:autoSpaceDE w:val="0"/>
        <w:autoSpaceDN w:val="0"/>
        <w:adjustRightInd w:val="0"/>
        <w:spacing w:line="360" w:lineRule="auto"/>
        <w:ind w:firstLine="480" w:firstLineChars="200"/>
        <w:jc w:val="left"/>
        <w:rPr>
          <w:color w:val="auto"/>
          <w:sz w:val="24"/>
        </w:rPr>
      </w:pPr>
      <w:r>
        <w:rPr>
          <w:color w:val="auto"/>
          <w:sz w:val="24"/>
        </w:rPr>
        <w:t xml:space="preserve">清城区位于北回归线附近，属亚热带季风性湿润气候，热量充足，年平均气温在22.1之间；夏季高温多雨，极端高温为39.0℃；冬季温和小雨，极端低温－1.1℃，多年平均降雨量2014.3多毫米，降水类型以锋面雨和夏秋季的台风雨为主。多年平均日照时数达1696.3小时，一年中日照时数分布不均匀，以夏季最多，春季最少，清城区年平均相对湿度约为75%，年平均蒸发量为1500多毫米，从降水量与蒸发量对比关系来看，属于湿润区。秋、冬季区境内盛行偏北气流，其中以东北风为主；春季，区境内盛行风向比较凌乱；夏季区境内盛行偏南风。全区年平均风速为2.8米/秒。 </w:t>
      </w:r>
    </w:p>
    <w:p>
      <w:pPr>
        <w:autoSpaceDE w:val="0"/>
        <w:autoSpaceDN w:val="0"/>
        <w:adjustRightInd w:val="0"/>
        <w:spacing w:line="360" w:lineRule="auto"/>
        <w:ind w:firstLine="480" w:firstLineChars="200"/>
        <w:jc w:val="left"/>
        <w:rPr>
          <w:color w:val="auto"/>
          <w:sz w:val="24"/>
        </w:rPr>
      </w:pPr>
      <w:r>
        <w:rPr>
          <w:color w:val="auto"/>
          <w:sz w:val="24"/>
        </w:rPr>
        <w:t xml:space="preserve">清城区属于以中亚热带气候为主的湿润性季风气候，一年四季均受季风影响，气候分明：春季冷暖空气交替频繁，多低温阴雨。夏季炎热酷暑，盛夏午后多雷阵雨。秋季晴朗，秋高气爽，昼夜温差大。冬季较为寒冷，每年均有低温天气出现，一些年份还有霜冻出现。气候资源比较丰富，日照充足，降水充沛，雨、热基本同季，对农作物生长有利，气候条件比较优越，但同时也有暴雨、干旱、低温阴雨、冰雹、寒露风、霜冻和大风等多种气象灾害。 </w:t>
      </w:r>
    </w:p>
    <w:p>
      <w:pPr>
        <w:pStyle w:val="7"/>
        <w:numPr>
          <w:ilvl w:val="2"/>
          <w:numId w:val="0"/>
        </w:numPr>
        <w:tabs>
          <w:tab w:val="clear" w:pos="720"/>
        </w:tabs>
        <w:spacing w:before="159" w:after="159"/>
        <w:rPr>
          <w:color w:val="auto"/>
        </w:rPr>
      </w:pPr>
      <w:bookmarkStart w:id="511" w:name="_Toc9298"/>
      <w:r>
        <w:rPr>
          <w:rFonts w:hint="eastAsia"/>
          <w:color w:val="auto"/>
        </w:rPr>
        <w:t xml:space="preserve">5.1.4  </w:t>
      </w:r>
      <w:r>
        <w:rPr>
          <w:color w:val="auto"/>
        </w:rPr>
        <w:t>河流水文</w:t>
      </w:r>
      <w:bookmarkEnd w:id="511"/>
    </w:p>
    <w:p>
      <w:pPr>
        <w:autoSpaceDE w:val="0"/>
        <w:autoSpaceDN w:val="0"/>
        <w:adjustRightInd w:val="0"/>
        <w:spacing w:line="360" w:lineRule="auto"/>
        <w:ind w:firstLine="480" w:firstLineChars="200"/>
        <w:jc w:val="left"/>
        <w:rPr>
          <w:color w:val="auto"/>
          <w:sz w:val="24"/>
        </w:rPr>
      </w:pPr>
      <w:r>
        <w:rPr>
          <w:color w:val="auto"/>
          <w:sz w:val="24"/>
        </w:rPr>
        <w:t>项目区及周边河流属珠江流域北江水系。</w:t>
      </w:r>
    </w:p>
    <w:p>
      <w:pPr>
        <w:spacing w:line="360" w:lineRule="auto"/>
        <w:ind w:firstLine="480"/>
        <w:rPr>
          <w:color w:val="auto"/>
          <w:sz w:val="24"/>
        </w:rPr>
      </w:pPr>
      <w:r>
        <w:rPr>
          <w:color w:val="auto"/>
          <w:sz w:val="24"/>
        </w:rPr>
        <w:t>北江是珠江流域第二大水系，又是广东省境内流域面积最大的河流。北江干流源头有发源于江西省信丰县大庾岭南麓西溪湾的浈江和发源于湖南省临武县水头圩的武江。</w:t>
      </w:r>
    </w:p>
    <w:p>
      <w:pPr>
        <w:spacing w:line="360" w:lineRule="auto"/>
        <w:ind w:firstLine="480"/>
        <w:rPr>
          <w:color w:val="auto"/>
          <w:sz w:val="24"/>
        </w:rPr>
      </w:pPr>
      <w:r>
        <w:rPr>
          <w:color w:val="auto"/>
          <w:sz w:val="24"/>
        </w:rPr>
        <w:t>浈江、武江流至广东省韶关市汇合后称北江。北江流贯韶关、曲江、英德以及清新的昇平、江口，在飞来峡上峡口流入区境内，流经附城、洲心、清城、横荷、石角，在石角界排莲花村出区境流入佛山市三水思贤滘与西江相汇，流入珠江。北江在清城区境内的过境河道长40.2公里，河流平均比降为0.14‰，总落差为305米，枯水期落差为7.2米，年平均过境客水量为422.5亿立方米（北江石角水文站）。河面宽度平均约为 1050 米，其中清城段约1000米。从飞来峡上峡口至石角界排莲花村区境内的北江段，自上游而下，从左岸汇入北江的较大河流有大燕河、乐排河，在右岸汇入北江的较大河流有文洞河、笔架河、滨江河、秦皇河、三坑河（又称漫水河，与滨江河、秦皇河同属清新县境域）。</w:t>
      </w:r>
    </w:p>
    <w:p>
      <w:pPr>
        <w:spacing w:line="360" w:lineRule="auto"/>
        <w:ind w:firstLine="480"/>
        <w:rPr>
          <w:color w:val="auto"/>
          <w:sz w:val="24"/>
        </w:rPr>
      </w:pPr>
      <w:r>
        <w:rPr>
          <w:color w:val="auto"/>
          <w:sz w:val="24"/>
        </w:rPr>
        <w:t>本项目生活污水经石角镇污水处理厂深化处理后，尾水排至沙埗溪。沙埗溪全长20km，源头位于石角镇的界牌圩的中心屋附近，水源主要是依靠上游零散分布的小水库的下泄水及周边地表径流水，沙埗溪平均河宽3.5m，平均水深1.5m，多年平均流量0.75m</w:t>
      </w:r>
      <w:r>
        <w:rPr>
          <w:color w:val="auto"/>
          <w:sz w:val="24"/>
          <w:vertAlign w:val="superscript"/>
        </w:rPr>
        <w:t>3</w:t>
      </w:r>
      <w:r>
        <w:rPr>
          <w:color w:val="auto"/>
          <w:sz w:val="24"/>
        </w:rPr>
        <w:t>/s。沙埗溪汇入九曲河。</w:t>
      </w:r>
    </w:p>
    <w:p>
      <w:pPr>
        <w:pStyle w:val="7"/>
        <w:numPr>
          <w:ilvl w:val="2"/>
          <w:numId w:val="0"/>
        </w:numPr>
        <w:tabs>
          <w:tab w:val="clear" w:pos="720"/>
        </w:tabs>
        <w:spacing w:before="159" w:after="159"/>
        <w:rPr>
          <w:color w:val="auto"/>
        </w:rPr>
      </w:pPr>
      <w:bookmarkStart w:id="512" w:name="_Toc25859"/>
      <w:r>
        <w:rPr>
          <w:rFonts w:hint="eastAsia"/>
          <w:color w:val="auto"/>
        </w:rPr>
        <w:t xml:space="preserve">5.1.5  </w:t>
      </w:r>
      <w:r>
        <w:rPr>
          <w:color w:val="auto"/>
        </w:rPr>
        <w:t>土壤与植被</w:t>
      </w:r>
      <w:bookmarkEnd w:id="512"/>
    </w:p>
    <w:p>
      <w:pPr>
        <w:spacing w:line="360" w:lineRule="auto"/>
        <w:ind w:firstLine="480"/>
        <w:rPr>
          <w:color w:val="auto"/>
          <w:sz w:val="24"/>
        </w:rPr>
      </w:pPr>
      <w:r>
        <w:rPr>
          <w:color w:val="auto"/>
          <w:sz w:val="24"/>
        </w:rPr>
        <w:t>项目区域主要的土类土种有黄壤、红壤、赤红壤、红色石灰石、水稻土等类。黄壤主要分布在海拔600～1500米以上的山地，适宜作茶叶、林业及某些药材的生产基地。红壤主要分布在海拔300～600米之间的丘陵山地，可以种植水果、茶叶、药材及发展林牧业。赤红壤主要分布在南部的清城、清新、三水等县（市、区）海拔300米以下的低山丘陵，适合各类经济作物生产。红色石灰土广泛分布于清新区的石灰岩山区，适合玉米、木薯等粮食作物和经济作物以及药材生产。水稻土则广泛分布于规划河段两岸，适宜水稻、番薯、桑叶、甘庶、水果、蔬菜等作物的生长。</w:t>
      </w:r>
    </w:p>
    <w:p>
      <w:pPr>
        <w:pStyle w:val="7"/>
        <w:numPr>
          <w:ilvl w:val="2"/>
          <w:numId w:val="0"/>
        </w:numPr>
        <w:tabs>
          <w:tab w:val="clear" w:pos="720"/>
        </w:tabs>
        <w:spacing w:before="159" w:after="159"/>
        <w:rPr>
          <w:color w:val="auto"/>
        </w:rPr>
      </w:pPr>
      <w:bookmarkStart w:id="513" w:name="_Toc32314"/>
      <w:r>
        <w:rPr>
          <w:rFonts w:hint="eastAsia"/>
          <w:color w:val="auto"/>
        </w:rPr>
        <w:t xml:space="preserve">5.1.6  </w:t>
      </w:r>
      <w:r>
        <w:rPr>
          <w:color w:val="auto"/>
        </w:rPr>
        <w:t>自然资源</w:t>
      </w:r>
      <w:bookmarkEnd w:id="513"/>
    </w:p>
    <w:p>
      <w:pPr>
        <w:autoSpaceDE w:val="0"/>
        <w:autoSpaceDN w:val="0"/>
        <w:adjustRightInd w:val="0"/>
        <w:spacing w:line="360" w:lineRule="auto"/>
        <w:ind w:firstLine="480" w:firstLineChars="200"/>
        <w:jc w:val="left"/>
        <w:rPr>
          <w:color w:val="auto"/>
          <w:sz w:val="24"/>
        </w:rPr>
      </w:pPr>
      <w:r>
        <w:rPr>
          <w:color w:val="auto"/>
          <w:sz w:val="24"/>
        </w:rPr>
        <w:t xml:space="preserve">清城区位于清远市的最南端，矿产资源丰富，已探明的矿产有8种，核定矿区开采总面积为2.96平方公里，开采方式均为露天开采作业。其中储量大、品位高的有钠长石、钾长石、高岭土、瓷沙、铕矿、稀土、建筑用花岗岩、河沙，还有低品位铁矿、偏硅酸矿泉水等，可广泛应用于日用、建筑、陶瓷、公路建设和水泥生产等行业，为当地及周边地区提供充足原料，极具开发利用潜力。矿产资源主要分布在源潭、飞来峡、石角等地，其中：源潭镇主要矿种有钠长石、钾长石、瓷沙、高岭土、建筑用花岗岩、低品位铁矿等；飞来峡镇主要矿种有瓷泥、瓷沙、铕矿、稀土、铁矿等；石角镇主要矿种有高岭土、粘土、河沙等。此外，洲心、横荷、东城街道办事处有大量粘土、河沙，源潭镇有偏硅酸矿泉水等资源。 </w:t>
      </w:r>
    </w:p>
    <w:p>
      <w:pPr>
        <w:pStyle w:val="5"/>
        <w:numPr>
          <w:ilvl w:val="1"/>
          <w:numId w:val="0"/>
        </w:numPr>
        <w:tabs>
          <w:tab w:val="clear" w:pos="720"/>
        </w:tabs>
        <w:spacing w:before="159" w:after="159"/>
        <w:rPr>
          <w:color w:val="auto"/>
          <w:sz w:val="32"/>
          <w:szCs w:val="32"/>
        </w:rPr>
      </w:pPr>
      <w:bookmarkStart w:id="514" w:name="_Toc509845862"/>
      <w:bookmarkStart w:id="515" w:name="_Toc31332"/>
      <w:bookmarkStart w:id="516" w:name="_Toc23740"/>
      <w:bookmarkStart w:id="517" w:name="_Toc3905747"/>
      <w:bookmarkStart w:id="518" w:name="_Toc1016_WPSOffice_Level1"/>
      <w:bookmarkStart w:id="519" w:name="_Toc29759425"/>
      <w:bookmarkStart w:id="520" w:name="_Toc24067"/>
      <w:bookmarkStart w:id="521" w:name="_Toc21879_WPSOffice_Level1"/>
      <w:bookmarkStart w:id="522" w:name="_Toc24051"/>
      <w:r>
        <w:rPr>
          <w:rFonts w:hint="eastAsia"/>
          <w:color w:val="auto"/>
          <w:sz w:val="32"/>
          <w:szCs w:val="32"/>
        </w:rPr>
        <w:t xml:space="preserve">5.2  </w:t>
      </w:r>
      <w:r>
        <w:rPr>
          <w:color w:val="auto"/>
          <w:sz w:val="32"/>
          <w:szCs w:val="32"/>
        </w:rPr>
        <w:t>石角工业园</w:t>
      </w:r>
      <w:bookmarkEnd w:id="514"/>
      <w:r>
        <w:rPr>
          <w:color w:val="auto"/>
          <w:sz w:val="32"/>
          <w:szCs w:val="32"/>
        </w:rPr>
        <w:t>概况</w:t>
      </w:r>
      <w:bookmarkEnd w:id="515"/>
      <w:bookmarkEnd w:id="516"/>
      <w:bookmarkEnd w:id="517"/>
      <w:bookmarkEnd w:id="518"/>
      <w:bookmarkEnd w:id="519"/>
      <w:bookmarkEnd w:id="520"/>
      <w:bookmarkEnd w:id="521"/>
      <w:bookmarkEnd w:id="522"/>
    </w:p>
    <w:p>
      <w:pPr>
        <w:adjustRightInd w:val="0"/>
        <w:snapToGrid w:val="0"/>
        <w:spacing w:line="360" w:lineRule="auto"/>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本项目位于石角工业园内。石角工业园位于清远市石角镇区以南，广清产业转移园和美林湖社区以西，根据清远市空间规划信息网2019年1月公布的《清远市石角工业园控制性详细规划》可知，清远市石角工业园规划范围为北至规划灵州大道，西至北江，西南至清远市行政边界，东至石角镇镇界，南以广清产业园A区及其扩园范围为界，面积26.22km</w:t>
      </w:r>
      <w:r>
        <w:rPr>
          <w:color w:val="auto"/>
          <w:sz w:val="24"/>
          <w:vertAlign w:val="superscript"/>
        </w:rPr>
        <w:t>2</w:t>
      </w:r>
      <w:r>
        <w:rPr>
          <w:color w:val="auto"/>
          <w:sz w:val="24"/>
        </w:rPr>
        <w:t>。规划城市建设用地942.87公顷，包括居住用地、公共管理与公共服务设施用地、商业服务业设施用地、道路与交通设施用地、公用设施用地、绿地及广场用地6大类，其中规划居住用地42.56公顷，规划绿地与广场用地85.86公顷，规划公共管理与公共服务设施用地13.56公顷。</w:t>
      </w:r>
    </w:p>
    <w:p>
      <w:pPr>
        <w:pStyle w:val="5"/>
        <w:numPr>
          <w:ilvl w:val="1"/>
          <w:numId w:val="0"/>
        </w:numPr>
        <w:tabs>
          <w:tab w:val="clear" w:pos="720"/>
        </w:tabs>
        <w:spacing w:before="159" w:after="159"/>
        <w:rPr>
          <w:rFonts w:hint="eastAsia"/>
          <w:color w:val="auto"/>
          <w:sz w:val="32"/>
          <w:szCs w:val="32"/>
        </w:rPr>
      </w:pPr>
      <w:bookmarkStart w:id="523" w:name="_Toc3905748"/>
      <w:bookmarkStart w:id="524" w:name="_Toc12859"/>
      <w:bookmarkStart w:id="525" w:name="_Toc24934"/>
      <w:bookmarkStart w:id="526" w:name="_Toc28735"/>
      <w:bookmarkStart w:id="527" w:name="_Toc29759426"/>
      <w:bookmarkStart w:id="528" w:name="_Toc19133_WPSOffice_Level2"/>
      <w:bookmarkStart w:id="529" w:name="_Toc22911_WPSOffice_Level2"/>
      <w:r>
        <w:rPr>
          <w:rFonts w:hint="eastAsia"/>
          <w:color w:val="auto"/>
          <w:sz w:val="32"/>
          <w:szCs w:val="32"/>
        </w:rPr>
        <w:t>5.3  周边污染源调查</w:t>
      </w:r>
      <w:bookmarkEnd w:id="523"/>
      <w:bookmarkEnd w:id="524"/>
      <w:bookmarkEnd w:id="525"/>
      <w:bookmarkEnd w:id="526"/>
      <w:bookmarkEnd w:id="527"/>
    </w:p>
    <w:bookmarkEnd w:id="528"/>
    <w:bookmarkEnd w:id="529"/>
    <w:p>
      <w:pPr>
        <w:adjustRightInd w:val="0"/>
        <w:snapToGrid w:val="0"/>
        <w:spacing w:line="360" w:lineRule="auto"/>
        <w:ind w:firstLine="480" w:firstLineChars="200"/>
        <w:rPr>
          <w:color w:val="auto"/>
          <w:sz w:val="24"/>
        </w:rPr>
      </w:pPr>
      <w:r>
        <w:rPr>
          <w:color w:val="auto"/>
          <w:sz w:val="24"/>
        </w:rPr>
        <w:t>根据清远市生态环境局网站建设项环境影响评价信息公告栏（2014年1月至今）、清城区人民政府清城区重点领域信息公开专栏（2015年1月至今）、广东省生态环境厅公众网环评公示栏（2015年1月至今）公布信息可知，本次大气评价范围内的主要已批在建（拟建）项目如下表所示。</w:t>
      </w:r>
    </w:p>
    <w:p>
      <w:pPr>
        <w:jc w:val="center"/>
        <w:rPr>
          <w:color w:val="auto"/>
        </w:rPr>
      </w:pPr>
      <w:r>
        <w:rPr>
          <w:b/>
          <w:bCs/>
          <w:color w:val="auto"/>
        </w:rPr>
        <w:t>表</w:t>
      </w:r>
      <w:r>
        <w:rPr>
          <w:rFonts w:hint="eastAsia"/>
          <w:b/>
          <w:bCs/>
          <w:color w:val="auto"/>
        </w:rPr>
        <w:t>5</w:t>
      </w:r>
      <w:r>
        <w:rPr>
          <w:b/>
          <w:bCs/>
          <w:color w:val="auto"/>
        </w:rPr>
        <w:t>.</w:t>
      </w:r>
      <w:r>
        <w:rPr>
          <w:rFonts w:hint="eastAsia"/>
          <w:b/>
          <w:bCs/>
          <w:color w:val="auto"/>
        </w:rPr>
        <w:t>3</w:t>
      </w:r>
      <w:r>
        <w:rPr>
          <w:b/>
          <w:bCs/>
          <w:color w:val="auto"/>
        </w:rPr>
        <w:t>-1</w:t>
      </w:r>
      <w:r>
        <w:rPr>
          <w:rFonts w:hint="eastAsia"/>
          <w:b/>
          <w:bCs/>
          <w:color w:val="auto"/>
        </w:rPr>
        <w:t xml:space="preserve">  </w:t>
      </w:r>
      <w:r>
        <w:rPr>
          <w:b/>
          <w:bCs/>
          <w:color w:val="auto"/>
        </w:rPr>
        <w:t>评价范围内已批在建（拟建）项目的信息一览表</w:t>
      </w:r>
    </w:p>
    <w:tbl>
      <w:tblPr>
        <w:tblStyle w:val="2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1"/>
        <w:gridCol w:w="1218"/>
        <w:gridCol w:w="3027"/>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581" w:type="dxa"/>
            <w:vAlign w:val="center"/>
          </w:tcPr>
          <w:p>
            <w:pPr>
              <w:jc w:val="center"/>
              <w:rPr>
                <w:color w:val="auto"/>
                <w:szCs w:val="21"/>
              </w:rPr>
            </w:pPr>
            <w:r>
              <w:rPr>
                <w:color w:val="auto"/>
                <w:szCs w:val="21"/>
              </w:rPr>
              <w:t>项目名称</w:t>
            </w:r>
          </w:p>
        </w:tc>
        <w:tc>
          <w:tcPr>
            <w:tcW w:w="1218" w:type="dxa"/>
            <w:vAlign w:val="center"/>
          </w:tcPr>
          <w:p>
            <w:pPr>
              <w:jc w:val="center"/>
              <w:rPr>
                <w:color w:val="auto"/>
                <w:szCs w:val="21"/>
              </w:rPr>
            </w:pPr>
            <w:r>
              <w:rPr>
                <w:color w:val="auto"/>
                <w:szCs w:val="21"/>
              </w:rPr>
              <w:t>环评批复文件</w:t>
            </w:r>
          </w:p>
        </w:tc>
        <w:tc>
          <w:tcPr>
            <w:tcW w:w="3027" w:type="dxa"/>
            <w:vAlign w:val="center"/>
          </w:tcPr>
          <w:p>
            <w:pPr>
              <w:jc w:val="center"/>
              <w:rPr>
                <w:color w:val="auto"/>
                <w:szCs w:val="21"/>
              </w:rPr>
            </w:pPr>
            <w:r>
              <w:rPr>
                <w:color w:val="auto"/>
                <w:szCs w:val="21"/>
              </w:rPr>
              <w:t>主要产品情况</w:t>
            </w:r>
          </w:p>
        </w:tc>
        <w:tc>
          <w:tcPr>
            <w:tcW w:w="1702" w:type="dxa"/>
            <w:vAlign w:val="center"/>
          </w:tcPr>
          <w:p>
            <w:pPr>
              <w:jc w:val="center"/>
              <w:rPr>
                <w:color w:val="auto"/>
                <w:szCs w:val="21"/>
              </w:rPr>
            </w:pPr>
            <w:r>
              <w:rPr>
                <w:color w:val="auto"/>
                <w:szCs w:val="21"/>
              </w:rPr>
              <w:t>废气污染排放情况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1" w:type="dxa"/>
            <w:vAlign w:val="center"/>
          </w:tcPr>
          <w:p>
            <w:pPr>
              <w:jc w:val="center"/>
              <w:rPr>
                <w:color w:val="auto"/>
                <w:szCs w:val="21"/>
              </w:rPr>
            </w:pPr>
            <w:r>
              <w:rPr>
                <w:color w:val="auto"/>
                <w:szCs w:val="21"/>
              </w:rPr>
              <w:t>广东雅和生物科技有限公司广清新园厂项目</w:t>
            </w:r>
          </w:p>
        </w:tc>
        <w:tc>
          <w:tcPr>
            <w:tcW w:w="1218" w:type="dxa"/>
            <w:vAlign w:val="center"/>
          </w:tcPr>
          <w:p>
            <w:pPr>
              <w:pStyle w:val="20"/>
              <w:shd w:val="clear" w:color="auto" w:fill="FFFFFF"/>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shd w:val="clear" w:color="auto" w:fill="FFFFFF"/>
              </w:rPr>
              <w:t>广清环影字〔2018〕19号</w:t>
            </w:r>
          </w:p>
        </w:tc>
        <w:tc>
          <w:tcPr>
            <w:tcW w:w="3027" w:type="dxa"/>
            <w:vAlign w:val="center"/>
          </w:tcPr>
          <w:p>
            <w:pPr>
              <w:jc w:val="center"/>
              <w:rPr>
                <w:color w:val="auto"/>
                <w:szCs w:val="21"/>
              </w:rPr>
            </w:pPr>
            <w:r>
              <w:rPr>
                <w:color w:val="auto"/>
                <w:szCs w:val="21"/>
              </w:rPr>
              <w:t>主要生产食品用香精及日化用香精，生产总规模为31510t/a。产品种类主要包括八大类：食用液体香精、食用粉末香精（包括拌和型粉末香精及微胶囊粉末香精）、食用膏状香精、食用乳化香精、食用天然提取香料、合成香料、食品添加剂、日化用液体香精。</w:t>
            </w:r>
          </w:p>
        </w:tc>
        <w:tc>
          <w:tcPr>
            <w:tcW w:w="1702" w:type="dxa"/>
            <w:vAlign w:val="center"/>
          </w:tcPr>
          <w:p>
            <w:pPr>
              <w:jc w:val="center"/>
              <w:rPr>
                <w:color w:val="auto"/>
                <w:szCs w:val="21"/>
              </w:rPr>
            </w:pPr>
            <w:r>
              <w:rPr>
                <w:color w:val="auto"/>
                <w:szCs w:val="21"/>
              </w:rPr>
              <w:t>TVOC、粉尘、乙醇、SO</w:t>
            </w:r>
            <w:r>
              <w:rPr>
                <w:color w:val="auto"/>
                <w:szCs w:val="21"/>
                <w:vertAlign w:val="subscript"/>
              </w:rPr>
              <w:t>2.</w:t>
            </w:r>
            <w:r>
              <w:rPr>
                <w:color w:val="auto"/>
                <w:szCs w:val="21"/>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1" w:type="dxa"/>
            <w:vAlign w:val="center"/>
          </w:tcPr>
          <w:p>
            <w:pPr>
              <w:jc w:val="center"/>
              <w:rPr>
                <w:color w:val="auto"/>
                <w:szCs w:val="21"/>
              </w:rPr>
            </w:pPr>
            <w:r>
              <w:rPr>
                <w:color w:val="auto"/>
                <w:szCs w:val="21"/>
              </w:rPr>
              <w:t>广东金发科技有限公司年产10万吨高性能再生塑料建设项目</w:t>
            </w:r>
          </w:p>
        </w:tc>
        <w:tc>
          <w:tcPr>
            <w:tcW w:w="1218" w:type="dxa"/>
            <w:vAlign w:val="center"/>
          </w:tcPr>
          <w:p>
            <w:pPr>
              <w:jc w:val="center"/>
              <w:rPr>
                <w:color w:val="auto"/>
                <w:szCs w:val="21"/>
              </w:rPr>
            </w:pPr>
            <w:r>
              <w:rPr>
                <w:color w:val="auto"/>
                <w:szCs w:val="21"/>
              </w:rPr>
              <w:t>清环[2016]250号</w:t>
            </w:r>
          </w:p>
        </w:tc>
        <w:tc>
          <w:tcPr>
            <w:tcW w:w="3027" w:type="dxa"/>
            <w:vAlign w:val="center"/>
          </w:tcPr>
          <w:p>
            <w:pPr>
              <w:jc w:val="center"/>
              <w:rPr>
                <w:color w:val="auto"/>
                <w:szCs w:val="21"/>
              </w:rPr>
            </w:pPr>
            <w:r>
              <w:rPr>
                <w:color w:val="auto"/>
                <w:szCs w:val="21"/>
              </w:rPr>
              <w:t>以PE、AB、PP、PS、PC、PA等废旧塑料为原料，年加工再生10万吨塑料颗粒</w:t>
            </w:r>
          </w:p>
        </w:tc>
        <w:tc>
          <w:tcPr>
            <w:tcW w:w="1702" w:type="dxa"/>
            <w:vAlign w:val="center"/>
          </w:tcPr>
          <w:p>
            <w:pPr>
              <w:jc w:val="center"/>
              <w:rPr>
                <w:color w:val="auto"/>
                <w:szCs w:val="21"/>
              </w:rPr>
            </w:pPr>
            <w:r>
              <w:rPr>
                <w:color w:val="auto"/>
                <w:szCs w:val="21"/>
              </w:rPr>
              <w:t>非甲烷总烃、二甲苯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1" w:type="dxa"/>
            <w:vAlign w:val="center"/>
          </w:tcPr>
          <w:p>
            <w:pPr>
              <w:jc w:val="center"/>
              <w:rPr>
                <w:color w:val="auto"/>
                <w:szCs w:val="21"/>
              </w:rPr>
            </w:pPr>
            <w:r>
              <w:rPr>
                <w:color w:val="auto"/>
                <w:szCs w:val="21"/>
              </w:rPr>
              <w:t>广东信基新材料科技有限公司年加工11.9万吨进口废塑料及年产3.6万吨高性能再生塑料建设项目</w:t>
            </w:r>
          </w:p>
        </w:tc>
        <w:tc>
          <w:tcPr>
            <w:tcW w:w="1218" w:type="dxa"/>
            <w:vAlign w:val="center"/>
          </w:tcPr>
          <w:p>
            <w:pPr>
              <w:pStyle w:val="20"/>
              <w:shd w:val="clear" w:color="auto" w:fill="FFFFFF"/>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shd w:val="clear" w:color="auto" w:fill="FFFFFF"/>
              </w:rPr>
              <w:t>清环〔2017〕190号</w:t>
            </w:r>
          </w:p>
          <w:p>
            <w:pPr>
              <w:jc w:val="center"/>
              <w:rPr>
                <w:color w:val="auto"/>
                <w:szCs w:val="21"/>
              </w:rPr>
            </w:pPr>
          </w:p>
        </w:tc>
        <w:tc>
          <w:tcPr>
            <w:tcW w:w="3027" w:type="dxa"/>
            <w:vAlign w:val="center"/>
          </w:tcPr>
          <w:p>
            <w:pPr>
              <w:jc w:val="center"/>
              <w:rPr>
                <w:color w:val="auto"/>
                <w:szCs w:val="21"/>
              </w:rPr>
            </w:pPr>
            <w:r>
              <w:rPr>
                <w:color w:val="auto"/>
                <w:szCs w:val="21"/>
              </w:rPr>
              <w:t>年加工11.9万吨进口废塑料及年产 3.6 万吨高性能再生塑料</w:t>
            </w:r>
          </w:p>
        </w:tc>
        <w:tc>
          <w:tcPr>
            <w:tcW w:w="1702" w:type="dxa"/>
            <w:vAlign w:val="center"/>
          </w:tcPr>
          <w:p>
            <w:pPr>
              <w:jc w:val="center"/>
              <w:rPr>
                <w:color w:val="auto"/>
                <w:szCs w:val="21"/>
              </w:rPr>
            </w:pPr>
            <w:r>
              <w:rPr>
                <w:color w:val="auto"/>
                <w:szCs w:val="21"/>
              </w:rPr>
              <w:t>粉尘、非甲烷总烃、丙烯腈、甲苯、乙苯、苯乙稀、丁二烯、苯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1" w:type="dxa"/>
            <w:vAlign w:val="center"/>
          </w:tcPr>
          <w:p>
            <w:pPr>
              <w:jc w:val="center"/>
              <w:rPr>
                <w:color w:val="auto"/>
                <w:szCs w:val="21"/>
              </w:rPr>
            </w:pPr>
            <w:r>
              <w:rPr>
                <w:color w:val="auto"/>
                <w:szCs w:val="21"/>
              </w:rPr>
              <w:t>立邦涂料（清远）有限公司二期工程</w:t>
            </w:r>
          </w:p>
        </w:tc>
        <w:tc>
          <w:tcPr>
            <w:tcW w:w="1218" w:type="dxa"/>
            <w:vAlign w:val="center"/>
          </w:tcPr>
          <w:p>
            <w:pPr>
              <w:pStyle w:val="20"/>
              <w:shd w:val="clear" w:color="auto" w:fill="FFFFFF"/>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shd w:val="clear" w:color="auto" w:fill="FFFFFF"/>
              </w:rPr>
              <w:t>广清环影字〔2018〕16号</w:t>
            </w:r>
          </w:p>
          <w:p>
            <w:pPr>
              <w:jc w:val="center"/>
              <w:rPr>
                <w:color w:val="auto"/>
                <w:szCs w:val="21"/>
              </w:rPr>
            </w:pPr>
          </w:p>
        </w:tc>
        <w:tc>
          <w:tcPr>
            <w:tcW w:w="3027" w:type="dxa"/>
            <w:vAlign w:val="center"/>
          </w:tcPr>
          <w:p>
            <w:pPr>
              <w:jc w:val="center"/>
              <w:rPr>
                <w:color w:val="auto"/>
                <w:szCs w:val="21"/>
              </w:rPr>
            </w:pPr>
            <w:r>
              <w:rPr>
                <w:color w:val="auto"/>
                <w:szCs w:val="21"/>
              </w:rPr>
              <w:t>主要有油性涂料（套装）、水性涂料和聚氨酯固化剂等，均为液态产品，总共计划年产各类油性涂料（套装）约 36500 t、各类水性涂料约 10300 t、聚氨酯树脂约 4500 t</w:t>
            </w:r>
          </w:p>
        </w:tc>
        <w:tc>
          <w:tcPr>
            <w:tcW w:w="1702" w:type="dxa"/>
            <w:vAlign w:val="center"/>
          </w:tcPr>
          <w:p>
            <w:pPr>
              <w:jc w:val="center"/>
              <w:rPr>
                <w:color w:val="auto"/>
                <w:szCs w:val="21"/>
              </w:rPr>
            </w:pPr>
            <w:r>
              <w:rPr>
                <w:color w:val="auto"/>
                <w:szCs w:val="21"/>
              </w:rPr>
              <w:t>颗粒物、二甲苯、苯乙烯、VOCs、SO</w:t>
            </w:r>
            <w:r>
              <w:rPr>
                <w:color w:val="auto"/>
                <w:szCs w:val="21"/>
                <w:vertAlign w:val="subscript"/>
              </w:rPr>
              <w:t>2</w:t>
            </w:r>
            <w:r>
              <w:rPr>
                <w:color w:val="auto"/>
                <w:szCs w:val="21"/>
              </w:rPr>
              <w:t>、NOx、H</w:t>
            </w:r>
            <w:r>
              <w:rPr>
                <w:color w:val="auto"/>
                <w:szCs w:val="21"/>
                <w:vertAlign w:val="subscript"/>
              </w:rPr>
              <w:t>2</w:t>
            </w:r>
            <w:r>
              <w:rPr>
                <w:color w:val="auto"/>
                <w:szCs w:val="21"/>
              </w:rPr>
              <w:t>S、臭气浓度、NH</w:t>
            </w:r>
            <w:r>
              <w:rPr>
                <w:color w:val="auto"/>
                <w:szCs w:val="21"/>
                <w:vertAlign w:val="subscript"/>
              </w:rPr>
              <w:t>3</w:t>
            </w:r>
            <w:r>
              <w:rPr>
                <w:color w:val="auto"/>
                <w:szCs w:val="21"/>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1" w:type="dxa"/>
            <w:vAlign w:val="center"/>
          </w:tcPr>
          <w:p>
            <w:pPr>
              <w:jc w:val="center"/>
              <w:rPr>
                <w:color w:val="auto"/>
                <w:szCs w:val="21"/>
              </w:rPr>
            </w:pPr>
            <w:r>
              <w:rPr>
                <w:color w:val="auto"/>
                <w:szCs w:val="21"/>
              </w:rPr>
              <w:t>清远炬众节能环保科技有限公司综合利用（10万吨/年）新型高分子材料PCB粉合成无醛零碳防水防火环保板材项目</w:t>
            </w:r>
          </w:p>
        </w:tc>
        <w:tc>
          <w:tcPr>
            <w:tcW w:w="1218" w:type="dxa"/>
            <w:vAlign w:val="center"/>
          </w:tcPr>
          <w:p>
            <w:pPr>
              <w:jc w:val="center"/>
              <w:rPr>
                <w:color w:val="auto"/>
                <w:szCs w:val="21"/>
              </w:rPr>
            </w:pPr>
            <w:r>
              <w:rPr>
                <w:color w:val="auto"/>
                <w:szCs w:val="21"/>
              </w:rPr>
              <w:t>粤环审〔2017〕359号</w:t>
            </w:r>
          </w:p>
        </w:tc>
        <w:tc>
          <w:tcPr>
            <w:tcW w:w="3027" w:type="dxa"/>
            <w:vAlign w:val="center"/>
          </w:tcPr>
          <w:p>
            <w:pPr>
              <w:jc w:val="center"/>
              <w:rPr>
                <w:b/>
                <w:bCs/>
                <w:color w:val="auto"/>
                <w:szCs w:val="21"/>
              </w:rPr>
            </w:pPr>
            <w:r>
              <w:rPr>
                <w:color w:val="auto"/>
                <w:szCs w:val="21"/>
              </w:rPr>
              <w:t>年综合利用有机树脂类废物（HW13）10万吨</w:t>
            </w:r>
          </w:p>
        </w:tc>
        <w:tc>
          <w:tcPr>
            <w:tcW w:w="1702" w:type="dxa"/>
            <w:vAlign w:val="center"/>
          </w:tcPr>
          <w:p>
            <w:pPr>
              <w:jc w:val="center"/>
              <w:rPr>
                <w:color w:val="auto"/>
                <w:szCs w:val="21"/>
              </w:rPr>
            </w:pPr>
            <w:r>
              <w:rPr>
                <w:color w:val="auto"/>
                <w:szCs w:val="21"/>
              </w:rPr>
              <w:t>粉尘、VOCs、SO</w:t>
            </w:r>
            <w:r>
              <w:rPr>
                <w:color w:val="auto"/>
                <w:szCs w:val="21"/>
                <w:vertAlign w:val="subscript"/>
              </w:rPr>
              <w:t>2</w:t>
            </w:r>
            <w:r>
              <w:rPr>
                <w:color w:val="auto"/>
                <w:szCs w:val="21"/>
              </w:rPr>
              <w:t>、NOx、铅及其化合物</w:t>
            </w:r>
          </w:p>
        </w:tc>
      </w:tr>
    </w:tbl>
    <w:p>
      <w:pPr>
        <w:rPr>
          <w:color w:val="auto"/>
        </w:rPr>
      </w:pPr>
      <w:r>
        <w:rPr>
          <w:color w:val="auto"/>
        </w:rPr>
        <w:t>注：上述项目废气排</w:t>
      </w:r>
      <w:r>
        <w:rPr>
          <w:color w:val="auto"/>
          <w:szCs w:val="21"/>
        </w:rPr>
        <w:t>放情况均参考网站已全本公示环评报告信息</w:t>
      </w:r>
    </w:p>
    <w:p>
      <w:pPr>
        <w:pStyle w:val="5"/>
        <w:numPr>
          <w:ilvl w:val="1"/>
          <w:numId w:val="0"/>
        </w:numPr>
        <w:tabs>
          <w:tab w:val="clear" w:pos="720"/>
        </w:tabs>
        <w:spacing w:before="159" w:after="159"/>
        <w:rPr>
          <w:color w:val="auto"/>
          <w:sz w:val="32"/>
          <w:szCs w:val="32"/>
        </w:rPr>
      </w:pPr>
      <w:bookmarkStart w:id="530" w:name="_Toc30985"/>
      <w:bookmarkStart w:id="531" w:name="_Toc16655"/>
      <w:bookmarkStart w:id="532" w:name="_Toc12959316"/>
      <w:r>
        <w:rPr>
          <w:color w:val="auto"/>
          <w:sz w:val="32"/>
          <w:szCs w:val="32"/>
        </w:rPr>
        <w:t>5.4  地表水环境质量现状调查与评价</w:t>
      </w:r>
      <w:bookmarkEnd w:id="530"/>
      <w:bookmarkEnd w:id="531"/>
      <w:bookmarkEnd w:id="532"/>
    </w:p>
    <w:p>
      <w:pPr>
        <w:adjustRightInd w:val="0"/>
        <w:snapToGrid w:val="0"/>
        <w:spacing w:line="360" w:lineRule="auto"/>
        <w:ind w:firstLine="480" w:firstLineChars="200"/>
        <w:rPr>
          <w:color w:val="auto"/>
          <w:sz w:val="24"/>
        </w:rPr>
      </w:pPr>
      <w:bookmarkStart w:id="533" w:name="_Toc1728990"/>
      <w:r>
        <w:rPr>
          <w:color w:val="auto"/>
          <w:sz w:val="24"/>
        </w:rPr>
        <w:t>本项目引用清远市泰业金属模具制品有限公司委托广东杰信检测认证有限公司于2019年9月10日至9月12日对沙埗溪断面检测的水质现状监测数据（报告编号：GH201902000</w:t>
      </w:r>
      <w:r>
        <w:rPr>
          <w:rFonts w:hint="eastAsia"/>
          <w:color w:val="auto"/>
          <w:sz w:val="24"/>
        </w:rPr>
        <w:t>，见附件12</w:t>
      </w:r>
      <w:r>
        <w:rPr>
          <w:color w:val="auto"/>
          <w:sz w:val="24"/>
        </w:rPr>
        <w:t>）。</w:t>
      </w:r>
    </w:p>
    <w:p>
      <w:pPr>
        <w:pStyle w:val="7"/>
        <w:numPr>
          <w:ilvl w:val="2"/>
          <w:numId w:val="0"/>
        </w:numPr>
        <w:tabs>
          <w:tab w:val="clear" w:pos="720"/>
        </w:tabs>
        <w:adjustRightInd/>
        <w:spacing w:before="159" w:after="79" w:afterLines="25"/>
        <w:jc w:val="both"/>
        <w:textAlignment w:val="auto"/>
        <w:rPr>
          <w:color w:val="auto"/>
        </w:rPr>
      </w:pPr>
      <w:bookmarkStart w:id="534" w:name="_Toc11893"/>
      <w:r>
        <w:rPr>
          <w:rFonts w:hint="eastAsia"/>
          <w:color w:val="auto"/>
        </w:rPr>
        <w:t xml:space="preserve">5.4.1  </w:t>
      </w:r>
      <w:r>
        <w:rPr>
          <w:color w:val="auto"/>
        </w:rPr>
        <w:t>环境质量现状监测</w:t>
      </w:r>
      <w:bookmarkEnd w:id="534"/>
    </w:p>
    <w:p>
      <w:pPr>
        <w:tabs>
          <w:tab w:val="left" w:pos="360"/>
        </w:tabs>
        <w:snapToGrid w:val="0"/>
        <w:spacing w:line="360" w:lineRule="auto"/>
        <w:ind w:firstLine="482" w:firstLineChars="200"/>
        <w:rPr>
          <w:b/>
          <w:color w:val="auto"/>
          <w:sz w:val="24"/>
        </w:rPr>
      </w:pPr>
      <w:r>
        <w:rPr>
          <w:b/>
          <w:color w:val="auto"/>
          <w:sz w:val="24"/>
        </w:rPr>
        <w:t>一、监测布点与监测项目</w:t>
      </w:r>
    </w:p>
    <w:p>
      <w:pPr>
        <w:adjustRightInd w:val="0"/>
        <w:snapToGrid w:val="0"/>
        <w:spacing w:line="360" w:lineRule="auto"/>
        <w:ind w:firstLine="480" w:firstLineChars="200"/>
        <w:rPr>
          <w:color w:val="auto"/>
          <w:sz w:val="24"/>
        </w:rPr>
      </w:pPr>
      <w:r>
        <w:rPr>
          <w:color w:val="auto"/>
          <w:sz w:val="24"/>
        </w:rPr>
        <w:t>监测点位布设情况和监测项目见</w:t>
      </w:r>
      <w:r>
        <w:rPr>
          <w:rFonts w:hint="eastAsia"/>
          <w:color w:val="auto"/>
          <w:sz w:val="24"/>
        </w:rPr>
        <w:t>下表</w:t>
      </w:r>
      <w:r>
        <w:rPr>
          <w:color w:val="auto"/>
          <w:sz w:val="24"/>
        </w:rPr>
        <w:t>，位置详见图</w:t>
      </w:r>
      <w:r>
        <w:rPr>
          <w:rFonts w:hint="eastAsia"/>
          <w:color w:val="auto"/>
          <w:sz w:val="24"/>
        </w:rPr>
        <w:t>5.4-1</w:t>
      </w:r>
      <w:r>
        <w:rPr>
          <w:color w:val="auto"/>
          <w:sz w:val="24"/>
        </w:rPr>
        <w:t>。</w:t>
      </w:r>
    </w:p>
    <w:p>
      <w:pPr>
        <w:pStyle w:val="35"/>
        <w:spacing w:before="159" w:beforeLines="50" w:after="0" w:line="360" w:lineRule="auto"/>
        <w:rPr>
          <w:rFonts w:eastAsia="宋体"/>
          <w:color w:val="auto"/>
          <w:sz w:val="21"/>
          <w:szCs w:val="21"/>
        </w:rPr>
      </w:pPr>
      <w:bookmarkStart w:id="535" w:name="_Ref781651"/>
      <w:r>
        <w:rPr>
          <w:rFonts w:eastAsia="宋体"/>
          <w:color w:val="auto"/>
          <w:sz w:val="21"/>
          <w:szCs w:val="21"/>
        </w:rPr>
        <w:t>表</w:t>
      </w:r>
      <w:bookmarkEnd w:id="535"/>
      <w:r>
        <w:rPr>
          <w:rFonts w:hint="eastAsia" w:eastAsia="宋体"/>
          <w:color w:val="auto"/>
          <w:sz w:val="21"/>
          <w:szCs w:val="21"/>
        </w:rPr>
        <w:t>5</w:t>
      </w:r>
      <w:r>
        <w:rPr>
          <w:rFonts w:eastAsia="宋体"/>
          <w:color w:val="auto"/>
          <w:sz w:val="21"/>
          <w:szCs w:val="21"/>
        </w:rPr>
        <w:t xml:space="preserve">.4-1 </w:t>
      </w:r>
      <w:r>
        <w:rPr>
          <w:rFonts w:hint="eastAsia" w:eastAsia="宋体"/>
          <w:color w:val="auto"/>
          <w:sz w:val="21"/>
          <w:szCs w:val="21"/>
        </w:rPr>
        <w:t xml:space="preserve"> </w:t>
      </w:r>
      <w:r>
        <w:rPr>
          <w:rFonts w:eastAsia="宋体"/>
          <w:color w:val="auto"/>
          <w:sz w:val="21"/>
          <w:szCs w:val="21"/>
        </w:rPr>
        <w:t>地表水监测断面布设情况</w:t>
      </w:r>
    </w:p>
    <w:tbl>
      <w:tblPr>
        <w:tblStyle w:val="23"/>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1473"/>
        <w:gridCol w:w="4024"/>
        <w:gridCol w:w="2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blHeader/>
          <w:jc w:val="center"/>
        </w:trPr>
        <w:tc>
          <w:tcPr>
            <w:tcW w:w="1258" w:type="dxa"/>
            <w:vAlign w:val="center"/>
          </w:tcPr>
          <w:p>
            <w:pPr>
              <w:autoSpaceDE w:val="0"/>
              <w:autoSpaceDN w:val="0"/>
              <w:adjustRightInd w:val="0"/>
              <w:snapToGrid w:val="0"/>
              <w:jc w:val="center"/>
              <w:rPr>
                <w:b/>
                <w:bCs/>
                <w:color w:val="auto"/>
                <w:kern w:val="0"/>
                <w:szCs w:val="21"/>
                <w:lang w:val="zh-CN"/>
              </w:rPr>
            </w:pPr>
            <w:r>
              <w:rPr>
                <w:b/>
                <w:bCs/>
                <w:color w:val="auto"/>
                <w:kern w:val="0"/>
                <w:szCs w:val="21"/>
                <w:lang w:val="zh-CN"/>
              </w:rPr>
              <w:t>断面编号</w:t>
            </w:r>
          </w:p>
        </w:tc>
        <w:tc>
          <w:tcPr>
            <w:tcW w:w="1473" w:type="dxa"/>
            <w:vAlign w:val="center"/>
          </w:tcPr>
          <w:p>
            <w:pPr>
              <w:autoSpaceDE w:val="0"/>
              <w:autoSpaceDN w:val="0"/>
              <w:adjustRightInd w:val="0"/>
              <w:snapToGrid w:val="0"/>
              <w:jc w:val="center"/>
              <w:rPr>
                <w:b/>
                <w:bCs/>
                <w:color w:val="auto"/>
                <w:kern w:val="0"/>
                <w:szCs w:val="21"/>
                <w:lang w:val="zh-CN"/>
              </w:rPr>
            </w:pPr>
            <w:r>
              <w:rPr>
                <w:b/>
                <w:bCs/>
                <w:color w:val="auto"/>
                <w:kern w:val="0"/>
                <w:szCs w:val="21"/>
                <w:lang w:val="zh-CN"/>
              </w:rPr>
              <w:t>水体</w:t>
            </w:r>
          </w:p>
        </w:tc>
        <w:tc>
          <w:tcPr>
            <w:tcW w:w="4024" w:type="dxa"/>
            <w:vAlign w:val="center"/>
          </w:tcPr>
          <w:p>
            <w:pPr>
              <w:autoSpaceDE w:val="0"/>
              <w:autoSpaceDN w:val="0"/>
              <w:adjustRightInd w:val="0"/>
              <w:snapToGrid w:val="0"/>
              <w:jc w:val="center"/>
              <w:rPr>
                <w:b/>
                <w:bCs/>
                <w:color w:val="auto"/>
                <w:kern w:val="0"/>
                <w:szCs w:val="21"/>
                <w:lang w:val="zh-CN"/>
              </w:rPr>
            </w:pPr>
            <w:r>
              <w:rPr>
                <w:b/>
                <w:bCs/>
                <w:color w:val="auto"/>
                <w:kern w:val="0"/>
                <w:szCs w:val="21"/>
                <w:lang w:val="zh-CN"/>
              </w:rPr>
              <w:t>断面位置</w:t>
            </w:r>
          </w:p>
        </w:tc>
        <w:tc>
          <w:tcPr>
            <w:tcW w:w="2531" w:type="dxa"/>
            <w:vAlign w:val="center"/>
          </w:tcPr>
          <w:p>
            <w:pPr>
              <w:autoSpaceDE w:val="0"/>
              <w:autoSpaceDN w:val="0"/>
              <w:adjustRightInd w:val="0"/>
              <w:snapToGrid w:val="0"/>
              <w:jc w:val="center"/>
              <w:rPr>
                <w:b/>
                <w:bCs/>
                <w:color w:val="auto"/>
                <w:kern w:val="0"/>
                <w:szCs w:val="21"/>
                <w:lang w:val="zh-CN"/>
              </w:rPr>
            </w:pPr>
            <w:r>
              <w:rPr>
                <w:b/>
                <w:bCs/>
                <w:color w:val="auto"/>
                <w:kern w:val="0"/>
                <w:szCs w:val="21"/>
                <w:lang w:val="zh-CN"/>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258" w:type="dxa"/>
            <w:vAlign w:val="center"/>
          </w:tcPr>
          <w:p>
            <w:pPr>
              <w:adjustRightInd w:val="0"/>
              <w:snapToGrid w:val="0"/>
              <w:jc w:val="center"/>
              <w:rPr>
                <w:color w:val="auto"/>
                <w:szCs w:val="21"/>
                <w:highlight w:val="yellow"/>
              </w:rPr>
            </w:pPr>
            <w:r>
              <w:rPr>
                <w:color w:val="auto"/>
                <w:szCs w:val="21"/>
              </w:rPr>
              <w:t>W1</w:t>
            </w:r>
          </w:p>
        </w:tc>
        <w:tc>
          <w:tcPr>
            <w:tcW w:w="1473" w:type="dxa"/>
            <w:vMerge w:val="restart"/>
            <w:vAlign w:val="center"/>
          </w:tcPr>
          <w:p>
            <w:pPr>
              <w:jc w:val="center"/>
              <w:rPr>
                <w:color w:val="auto"/>
                <w:kern w:val="0"/>
                <w:szCs w:val="21"/>
              </w:rPr>
            </w:pPr>
            <w:r>
              <w:rPr>
                <w:color w:val="auto"/>
                <w:szCs w:val="21"/>
              </w:rPr>
              <w:t>沙埗溪</w:t>
            </w:r>
          </w:p>
        </w:tc>
        <w:tc>
          <w:tcPr>
            <w:tcW w:w="4024" w:type="dxa"/>
            <w:vAlign w:val="center"/>
          </w:tcPr>
          <w:p>
            <w:pPr>
              <w:jc w:val="center"/>
              <w:rPr>
                <w:color w:val="auto"/>
                <w:szCs w:val="21"/>
                <w:highlight w:val="yellow"/>
              </w:rPr>
            </w:pPr>
            <w:r>
              <w:rPr>
                <w:color w:val="auto"/>
                <w:szCs w:val="21"/>
              </w:rPr>
              <w:t>项目排污口上游500m</w:t>
            </w:r>
          </w:p>
        </w:tc>
        <w:tc>
          <w:tcPr>
            <w:tcW w:w="2531" w:type="dxa"/>
            <w:vMerge w:val="restart"/>
            <w:vAlign w:val="center"/>
          </w:tcPr>
          <w:p>
            <w:pPr>
              <w:pStyle w:val="32"/>
              <w:jc w:val="center"/>
              <w:rPr>
                <w:color w:val="auto"/>
                <w:sz w:val="21"/>
                <w:szCs w:val="21"/>
              </w:rPr>
            </w:pPr>
            <w:r>
              <w:rPr>
                <w:color w:val="auto"/>
                <w:sz w:val="21"/>
                <w:szCs w:val="21"/>
              </w:rPr>
              <w:t>水温（6h一次，取当日均值）、pH、溶解氧、高锰酸盐指数、COD、BOD</w:t>
            </w:r>
            <w:r>
              <w:rPr>
                <w:color w:val="auto"/>
                <w:sz w:val="21"/>
                <w:szCs w:val="21"/>
                <w:vertAlign w:val="subscript"/>
              </w:rPr>
              <w:t>5</w:t>
            </w:r>
            <w:r>
              <w:rPr>
                <w:color w:val="auto"/>
                <w:sz w:val="21"/>
                <w:szCs w:val="21"/>
              </w:rPr>
              <w:t>、氨氮、总磷、总氮、铜、锌、氟化物、硒、砷、汞、镉、铬（六价）、铅、氰化物、挥发酚、石油类、LAS、硫化物、粪大肠菌群共计24个因子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1258" w:type="dxa"/>
            <w:vAlign w:val="center"/>
          </w:tcPr>
          <w:p>
            <w:pPr>
              <w:adjustRightInd w:val="0"/>
              <w:snapToGrid w:val="0"/>
              <w:jc w:val="center"/>
              <w:rPr>
                <w:color w:val="auto"/>
                <w:szCs w:val="21"/>
              </w:rPr>
            </w:pPr>
            <w:r>
              <w:rPr>
                <w:color w:val="auto"/>
                <w:szCs w:val="21"/>
              </w:rPr>
              <w:t>W2</w:t>
            </w:r>
          </w:p>
        </w:tc>
        <w:tc>
          <w:tcPr>
            <w:tcW w:w="1473" w:type="dxa"/>
            <w:vMerge w:val="continue"/>
            <w:vAlign w:val="center"/>
          </w:tcPr>
          <w:p>
            <w:pPr>
              <w:jc w:val="center"/>
              <w:rPr>
                <w:color w:val="auto"/>
                <w:szCs w:val="21"/>
                <w:lang w:val="zh-CN"/>
              </w:rPr>
            </w:pPr>
          </w:p>
        </w:tc>
        <w:tc>
          <w:tcPr>
            <w:tcW w:w="4024" w:type="dxa"/>
            <w:vAlign w:val="center"/>
          </w:tcPr>
          <w:p>
            <w:pPr>
              <w:jc w:val="center"/>
              <w:rPr>
                <w:color w:val="auto"/>
                <w:szCs w:val="21"/>
              </w:rPr>
            </w:pPr>
            <w:r>
              <w:rPr>
                <w:color w:val="auto"/>
                <w:szCs w:val="21"/>
              </w:rPr>
              <w:t>项目排污口下游500m</w:t>
            </w:r>
          </w:p>
        </w:tc>
        <w:tc>
          <w:tcPr>
            <w:tcW w:w="2531" w:type="dxa"/>
            <w:vMerge w:val="continue"/>
            <w:vAlign w:val="center"/>
          </w:tcPr>
          <w:p>
            <w:pPr>
              <w:pStyle w:val="32"/>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258" w:type="dxa"/>
            <w:vAlign w:val="center"/>
          </w:tcPr>
          <w:p>
            <w:pPr>
              <w:adjustRightInd w:val="0"/>
              <w:snapToGrid w:val="0"/>
              <w:jc w:val="center"/>
              <w:rPr>
                <w:color w:val="auto"/>
                <w:szCs w:val="21"/>
              </w:rPr>
            </w:pPr>
            <w:r>
              <w:rPr>
                <w:color w:val="auto"/>
                <w:szCs w:val="21"/>
              </w:rPr>
              <w:t>W3</w:t>
            </w:r>
          </w:p>
        </w:tc>
        <w:tc>
          <w:tcPr>
            <w:tcW w:w="1473" w:type="dxa"/>
            <w:vMerge w:val="continue"/>
            <w:vAlign w:val="center"/>
          </w:tcPr>
          <w:p>
            <w:pPr>
              <w:jc w:val="center"/>
              <w:rPr>
                <w:color w:val="auto"/>
                <w:kern w:val="0"/>
                <w:szCs w:val="21"/>
              </w:rPr>
            </w:pPr>
          </w:p>
        </w:tc>
        <w:tc>
          <w:tcPr>
            <w:tcW w:w="4024" w:type="dxa"/>
            <w:vAlign w:val="center"/>
          </w:tcPr>
          <w:p>
            <w:pPr>
              <w:jc w:val="center"/>
              <w:rPr>
                <w:color w:val="auto"/>
                <w:szCs w:val="21"/>
              </w:rPr>
            </w:pPr>
            <w:r>
              <w:rPr>
                <w:color w:val="auto"/>
                <w:szCs w:val="21"/>
              </w:rPr>
              <w:t>项目排污口下游1000m</w:t>
            </w:r>
          </w:p>
        </w:tc>
        <w:tc>
          <w:tcPr>
            <w:tcW w:w="2531" w:type="dxa"/>
            <w:vMerge w:val="continue"/>
            <w:vAlign w:val="center"/>
          </w:tcPr>
          <w:p>
            <w:pPr>
              <w:pStyle w:val="32"/>
              <w:jc w:val="center"/>
              <w:rPr>
                <w:color w:val="auto"/>
                <w:sz w:val="21"/>
                <w:szCs w:val="21"/>
              </w:rPr>
            </w:pPr>
          </w:p>
        </w:tc>
      </w:tr>
    </w:tbl>
    <w:p>
      <w:pPr>
        <w:spacing w:line="360" w:lineRule="auto"/>
        <w:jc w:val="center"/>
        <w:rPr>
          <w:b/>
          <w:color w:val="auto"/>
          <w:sz w:val="24"/>
        </w:rPr>
      </w:pPr>
      <w:r>
        <w:rPr>
          <w:rFonts w:hint="eastAsia"/>
          <w:b/>
          <w:color w:val="auto"/>
          <w:sz w:val="24"/>
        </w:rPr>
        <w:drawing>
          <wp:inline distT="0" distB="0" distL="114300" distR="114300">
            <wp:extent cx="5541010" cy="6236970"/>
            <wp:effectExtent l="0" t="0" r="2540" b="11430"/>
            <wp:docPr id="50" name="图片 50" descr="水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水评价范围"/>
                    <pic:cNvPicPr>
                      <a:picLocks noChangeAspect="1"/>
                    </pic:cNvPicPr>
                  </pic:nvPicPr>
                  <pic:blipFill>
                    <a:blip r:embed="rId70"/>
                    <a:stretch>
                      <a:fillRect/>
                    </a:stretch>
                  </pic:blipFill>
                  <pic:spPr>
                    <a:xfrm>
                      <a:off x="0" y="0"/>
                      <a:ext cx="5541010" cy="6236970"/>
                    </a:xfrm>
                    <a:prstGeom prst="rect">
                      <a:avLst/>
                    </a:prstGeom>
                  </pic:spPr>
                </pic:pic>
              </a:graphicData>
            </a:graphic>
          </wp:inline>
        </w:drawing>
      </w:r>
    </w:p>
    <w:p>
      <w:pPr>
        <w:spacing w:line="360" w:lineRule="auto"/>
        <w:jc w:val="center"/>
        <w:rPr>
          <w:color w:val="auto"/>
          <w:sz w:val="24"/>
        </w:rPr>
      </w:pPr>
      <w:r>
        <w:rPr>
          <w:b/>
          <w:color w:val="auto"/>
          <w:sz w:val="24"/>
        </w:rPr>
        <w:t>图</w:t>
      </w:r>
      <w:r>
        <w:rPr>
          <w:rFonts w:hint="eastAsia"/>
          <w:b/>
          <w:color w:val="auto"/>
          <w:sz w:val="24"/>
        </w:rPr>
        <w:t>5</w:t>
      </w:r>
      <w:r>
        <w:rPr>
          <w:b/>
          <w:color w:val="auto"/>
          <w:sz w:val="24"/>
        </w:rPr>
        <w:t xml:space="preserve">.4-1 </w:t>
      </w:r>
      <w:r>
        <w:rPr>
          <w:rFonts w:hint="eastAsia"/>
          <w:b/>
          <w:color w:val="auto"/>
          <w:sz w:val="24"/>
        </w:rPr>
        <w:t xml:space="preserve"> </w:t>
      </w:r>
      <w:r>
        <w:rPr>
          <w:b/>
          <w:color w:val="auto"/>
          <w:sz w:val="24"/>
        </w:rPr>
        <w:t>地表水环境质量状况监测断面布设图</w:t>
      </w:r>
    </w:p>
    <w:p>
      <w:pPr>
        <w:spacing w:line="360" w:lineRule="auto"/>
        <w:ind w:firstLine="482" w:firstLineChars="200"/>
        <w:rPr>
          <w:b/>
          <w:color w:val="auto"/>
          <w:sz w:val="24"/>
        </w:rPr>
      </w:pPr>
      <w:r>
        <w:rPr>
          <w:b/>
          <w:color w:val="auto"/>
          <w:sz w:val="24"/>
        </w:rPr>
        <w:t>二、监测时间、频次及监测单位</w:t>
      </w:r>
    </w:p>
    <w:p>
      <w:pPr>
        <w:spacing w:line="360" w:lineRule="auto"/>
        <w:ind w:firstLine="480" w:firstLineChars="200"/>
        <w:rPr>
          <w:color w:val="auto"/>
          <w:sz w:val="24"/>
        </w:rPr>
      </w:pPr>
      <w:r>
        <w:rPr>
          <w:color w:val="auto"/>
          <w:sz w:val="24"/>
        </w:rPr>
        <w:t>本次地表水监测水库连续监测三天，每天取样一次。监测时间为2019年9月10日至9月12日。</w:t>
      </w:r>
    </w:p>
    <w:p>
      <w:pPr>
        <w:spacing w:line="360" w:lineRule="auto"/>
        <w:ind w:firstLine="482" w:firstLineChars="200"/>
        <w:rPr>
          <w:b/>
          <w:color w:val="auto"/>
          <w:sz w:val="24"/>
        </w:rPr>
      </w:pPr>
      <w:r>
        <w:rPr>
          <w:b/>
          <w:color w:val="auto"/>
          <w:sz w:val="24"/>
        </w:rPr>
        <w:t>三、采样和分析方法</w:t>
      </w:r>
    </w:p>
    <w:p>
      <w:pPr>
        <w:spacing w:line="360" w:lineRule="auto"/>
        <w:ind w:firstLine="480" w:firstLineChars="200"/>
        <w:rPr>
          <w:color w:val="auto"/>
          <w:sz w:val="24"/>
        </w:rPr>
      </w:pPr>
      <w:r>
        <w:rPr>
          <w:color w:val="auto"/>
          <w:sz w:val="24"/>
        </w:rPr>
        <w:t>地表水采样及分析方法按国家环境监测技术标准及《水和废水监测分析方法》（第四版）中的有关规定进行，监测仪器和最低检出限具体见</w:t>
      </w:r>
      <w:r>
        <w:rPr>
          <w:rFonts w:hint="eastAsia"/>
          <w:color w:val="auto"/>
          <w:sz w:val="24"/>
        </w:rPr>
        <w:t>下表</w:t>
      </w:r>
      <w:r>
        <w:rPr>
          <w:color w:val="auto"/>
          <w:sz w:val="24"/>
        </w:rPr>
        <w:t>。</w:t>
      </w:r>
    </w:p>
    <w:p>
      <w:pPr>
        <w:pStyle w:val="35"/>
        <w:spacing w:before="159" w:beforeLines="50" w:after="0"/>
        <w:rPr>
          <w:rFonts w:eastAsia="宋体"/>
          <w:color w:val="auto"/>
          <w:szCs w:val="24"/>
        </w:rPr>
      </w:pPr>
      <w:bookmarkStart w:id="536" w:name="_Ref781669"/>
    </w:p>
    <w:p>
      <w:pPr>
        <w:pStyle w:val="35"/>
        <w:spacing w:before="159" w:beforeLines="50" w:after="0" w:line="360" w:lineRule="auto"/>
        <w:rPr>
          <w:rFonts w:eastAsia="宋体"/>
          <w:color w:val="auto"/>
          <w:sz w:val="21"/>
          <w:szCs w:val="21"/>
        </w:rPr>
      </w:pPr>
      <w:r>
        <w:rPr>
          <w:rFonts w:eastAsia="宋体"/>
          <w:color w:val="auto"/>
          <w:sz w:val="21"/>
          <w:szCs w:val="21"/>
        </w:rPr>
        <w:t>表</w:t>
      </w:r>
      <w:bookmarkEnd w:id="536"/>
      <w:r>
        <w:rPr>
          <w:rFonts w:hint="eastAsia" w:eastAsia="宋体"/>
          <w:color w:val="auto"/>
          <w:sz w:val="21"/>
          <w:szCs w:val="21"/>
        </w:rPr>
        <w:t>5</w:t>
      </w:r>
      <w:r>
        <w:rPr>
          <w:rFonts w:eastAsia="宋体"/>
          <w:color w:val="auto"/>
          <w:sz w:val="21"/>
          <w:szCs w:val="21"/>
        </w:rPr>
        <w:t>.4-</w:t>
      </w:r>
      <w:r>
        <w:rPr>
          <w:rFonts w:hint="eastAsia" w:eastAsia="宋体"/>
          <w:color w:val="auto"/>
          <w:sz w:val="21"/>
          <w:szCs w:val="21"/>
        </w:rPr>
        <w:t>3</w:t>
      </w:r>
      <w:r>
        <w:rPr>
          <w:rFonts w:eastAsia="宋体"/>
          <w:color w:val="auto"/>
          <w:sz w:val="21"/>
          <w:szCs w:val="21"/>
        </w:rPr>
        <w:t xml:space="preserve"> </w:t>
      </w:r>
      <w:r>
        <w:rPr>
          <w:rFonts w:hint="eastAsia" w:eastAsia="宋体"/>
          <w:color w:val="auto"/>
          <w:sz w:val="21"/>
          <w:szCs w:val="21"/>
        </w:rPr>
        <w:t xml:space="preserve"> </w:t>
      </w:r>
      <w:r>
        <w:rPr>
          <w:rFonts w:eastAsia="宋体"/>
          <w:color w:val="auto"/>
          <w:sz w:val="21"/>
          <w:szCs w:val="21"/>
        </w:rPr>
        <w:t>地表水监测项目监测仪器和最低检出限一览表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3745"/>
        <w:gridCol w:w="2041"/>
        <w:gridCol w:w="1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363" w:type="dxa"/>
            <w:vAlign w:val="center"/>
          </w:tcPr>
          <w:p>
            <w:pPr>
              <w:widowControl/>
              <w:jc w:val="center"/>
              <w:rPr>
                <w:color w:val="auto"/>
                <w:kern w:val="0"/>
                <w:szCs w:val="21"/>
              </w:rPr>
            </w:pPr>
            <w:r>
              <w:rPr>
                <w:color w:val="auto"/>
                <w:kern w:val="0"/>
                <w:szCs w:val="21"/>
              </w:rPr>
              <w:t>检测项目</w:t>
            </w:r>
          </w:p>
        </w:tc>
        <w:tc>
          <w:tcPr>
            <w:tcW w:w="3745" w:type="dxa"/>
            <w:vAlign w:val="center"/>
          </w:tcPr>
          <w:p>
            <w:pPr>
              <w:widowControl/>
              <w:jc w:val="center"/>
              <w:rPr>
                <w:color w:val="auto"/>
                <w:kern w:val="0"/>
                <w:szCs w:val="21"/>
              </w:rPr>
            </w:pPr>
            <w:r>
              <w:rPr>
                <w:color w:val="auto"/>
                <w:kern w:val="0"/>
                <w:szCs w:val="21"/>
              </w:rPr>
              <w:t>检测标准</w:t>
            </w:r>
          </w:p>
        </w:tc>
        <w:tc>
          <w:tcPr>
            <w:tcW w:w="2041" w:type="dxa"/>
            <w:vAlign w:val="center"/>
          </w:tcPr>
          <w:p>
            <w:pPr>
              <w:widowControl/>
              <w:jc w:val="center"/>
              <w:rPr>
                <w:color w:val="auto"/>
                <w:kern w:val="0"/>
                <w:szCs w:val="21"/>
              </w:rPr>
            </w:pPr>
            <w:r>
              <w:rPr>
                <w:color w:val="auto"/>
                <w:kern w:val="0"/>
                <w:szCs w:val="21"/>
              </w:rPr>
              <w:t>使用仪器</w:t>
            </w:r>
          </w:p>
        </w:tc>
        <w:tc>
          <w:tcPr>
            <w:tcW w:w="1799" w:type="dxa"/>
            <w:vAlign w:val="center"/>
          </w:tcPr>
          <w:p>
            <w:pPr>
              <w:widowControl/>
              <w:jc w:val="center"/>
              <w:rPr>
                <w:color w:val="auto"/>
                <w:kern w:val="0"/>
                <w:szCs w:val="21"/>
              </w:rPr>
            </w:pPr>
            <w:r>
              <w:rPr>
                <w:color w:val="auto"/>
                <w:kern w:val="0"/>
                <w:szCs w:val="21"/>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水温</w:t>
            </w:r>
          </w:p>
        </w:tc>
        <w:tc>
          <w:tcPr>
            <w:tcW w:w="3745" w:type="dxa"/>
            <w:vAlign w:val="center"/>
          </w:tcPr>
          <w:p>
            <w:pPr>
              <w:widowControl/>
              <w:jc w:val="center"/>
              <w:rPr>
                <w:color w:val="auto"/>
                <w:kern w:val="0"/>
                <w:szCs w:val="21"/>
              </w:rPr>
            </w:pPr>
            <w:r>
              <w:rPr>
                <w:color w:val="auto"/>
                <w:kern w:val="0"/>
                <w:szCs w:val="21"/>
              </w:rPr>
              <w:t>《水质 水温的测定 温度计或颠倒温度计测定法》GB/T 13195-1991</w:t>
            </w:r>
          </w:p>
        </w:tc>
        <w:tc>
          <w:tcPr>
            <w:tcW w:w="2041" w:type="dxa"/>
            <w:vAlign w:val="center"/>
          </w:tcPr>
          <w:p>
            <w:pPr>
              <w:widowControl/>
              <w:jc w:val="center"/>
              <w:rPr>
                <w:color w:val="auto"/>
                <w:kern w:val="0"/>
                <w:szCs w:val="21"/>
              </w:rPr>
            </w:pPr>
            <w:r>
              <w:rPr>
                <w:color w:val="auto"/>
                <w:kern w:val="0"/>
                <w:szCs w:val="21"/>
              </w:rPr>
              <w:t>玻璃温度计0-50℃</w:t>
            </w:r>
          </w:p>
        </w:tc>
        <w:tc>
          <w:tcPr>
            <w:tcW w:w="1799" w:type="dxa"/>
            <w:vAlign w:val="center"/>
          </w:tcPr>
          <w:p>
            <w:pPr>
              <w:widowControl/>
              <w:jc w:val="center"/>
              <w:rPr>
                <w:color w:val="auto"/>
                <w:kern w:val="0"/>
                <w:szCs w:val="21"/>
              </w:rPr>
            </w:pP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pH 值</w:t>
            </w:r>
          </w:p>
        </w:tc>
        <w:tc>
          <w:tcPr>
            <w:tcW w:w="3745" w:type="dxa"/>
            <w:vAlign w:val="center"/>
          </w:tcPr>
          <w:p>
            <w:pPr>
              <w:widowControl/>
              <w:jc w:val="center"/>
              <w:rPr>
                <w:color w:val="auto"/>
                <w:kern w:val="0"/>
                <w:szCs w:val="21"/>
              </w:rPr>
            </w:pPr>
            <w:r>
              <w:rPr>
                <w:color w:val="auto"/>
                <w:kern w:val="0"/>
                <w:szCs w:val="21"/>
              </w:rPr>
              <w:t>《水质 pH 值的测定 玻璃电极法》GB/T 6920-1986</w:t>
            </w:r>
          </w:p>
        </w:tc>
        <w:tc>
          <w:tcPr>
            <w:tcW w:w="2041" w:type="dxa"/>
            <w:vAlign w:val="center"/>
          </w:tcPr>
          <w:p>
            <w:pPr>
              <w:widowControl/>
              <w:jc w:val="center"/>
              <w:rPr>
                <w:color w:val="auto"/>
                <w:kern w:val="0"/>
                <w:szCs w:val="21"/>
              </w:rPr>
            </w:pPr>
            <w:r>
              <w:rPr>
                <w:color w:val="auto"/>
                <w:kern w:val="0"/>
                <w:szCs w:val="21"/>
              </w:rPr>
              <w:t>精密酸度计PHS-3C</w:t>
            </w:r>
          </w:p>
        </w:tc>
        <w:tc>
          <w:tcPr>
            <w:tcW w:w="1799" w:type="dxa"/>
            <w:vAlign w:val="center"/>
          </w:tcPr>
          <w:p>
            <w:pPr>
              <w:widowControl/>
              <w:jc w:val="center"/>
              <w:rPr>
                <w:color w:val="auto"/>
                <w:kern w:val="0"/>
                <w:szCs w:val="21"/>
              </w:rPr>
            </w:pPr>
            <w:r>
              <w:rPr>
                <w:color w:val="auto"/>
                <w:kern w:val="0"/>
                <w:szCs w:val="21"/>
              </w:rPr>
              <w:t>0.01 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悬浮物</w:t>
            </w:r>
          </w:p>
        </w:tc>
        <w:tc>
          <w:tcPr>
            <w:tcW w:w="3745" w:type="dxa"/>
            <w:vAlign w:val="center"/>
          </w:tcPr>
          <w:p>
            <w:pPr>
              <w:widowControl/>
              <w:jc w:val="center"/>
              <w:rPr>
                <w:color w:val="auto"/>
                <w:kern w:val="0"/>
                <w:szCs w:val="21"/>
              </w:rPr>
            </w:pPr>
            <w:r>
              <w:rPr>
                <w:color w:val="auto"/>
                <w:kern w:val="0"/>
                <w:szCs w:val="21"/>
              </w:rPr>
              <w:t>《水质 悬浮物的测定 重量法》GB/T 11901-1989</w:t>
            </w:r>
          </w:p>
        </w:tc>
        <w:tc>
          <w:tcPr>
            <w:tcW w:w="2041" w:type="dxa"/>
            <w:vAlign w:val="center"/>
          </w:tcPr>
          <w:p>
            <w:pPr>
              <w:widowControl/>
              <w:jc w:val="center"/>
              <w:rPr>
                <w:color w:val="auto"/>
                <w:kern w:val="0"/>
                <w:szCs w:val="21"/>
              </w:rPr>
            </w:pPr>
            <w:r>
              <w:rPr>
                <w:color w:val="auto"/>
                <w:kern w:val="0"/>
                <w:szCs w:val="21"/>
              </w:rPr>
              <w:t>电子天平BSA124S</w:t>
            </w:r>
          </w:p>
        </w:tc>
        <w:tc>
          <w:tcPr>
            <w:tcW w:w="1799" w:type="dxa"/>
            <w:vAlign w:val="center"/>
          </w:tcPr>
          <w:p>
            <w:pPr>
              <w:widowControl/>
              <w:jc w:val="center"/>
              <w:rPr>
                <w:color w:val="auto"/>
                <w:kern w:val="0"/>
                <w:szCs w:val="21"/>
              </w:rPr>
            </w:pPr>
            <w:r>
              <w:rPr>
                <w:color w:val="auto"/>
                <w:kern w:val="0"/>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溶解氧</w:t>
            </w:r>
          </w:p>
        </w:tc>
        <w:tc>
          <w:tcPr>
            <w:tcW w:w="3745" w:type="dxa"/>
            <w:vAlign w:val="center"/>
          </w:tcPr>
          <w:p>
            <w:pPr>
              <w:widowControl/>
              <w:jc w:val="center"/>
              <w:rPr>
                <w:color w:val="auto"/>
                <w:kern w:val="0"/>
                <w:szCs w:val="21"/>
              </w:rPr>
            </w:pPr>
            <w:r>
              <w:rPr>
                <w:color w:val="auto"/>
                <w:kern w:val="0"/>
                <w:szCs w:val="21"/>
              </w:rPr>
              <w:t>《水质 溶解氧的测定 电化学探头法》HJ 506-2009</w:t>
            </w:r>
          </w:p>
        </w:tc>
        <w:tc>
          <w:tcPr>
            <w:tcW w:w="2041" w:type="dxa"/>
            <w:vAlign w:val="center"/>
          </w:tcPr>
          <w:p>
            <w:pPr>
              <w:widowControl/>
              <w:jc w:val="center"/>
              <w:rPr>
                <w:color w:val="auto"/>
                <w:kern w:val="0"/>
                <w:szCs w:val="21"/>
              </w:rPr>
            </w:pPr>
            <w:r>
              <w:rPr>
                <w:color w:val="auto"/>
                <w:kern w:val="0"/>
                <w:szCs w:val="21"/>
              </w:rPr>
              <w:t>溶解氧测定仪JPSJ-605</w:t>
            </w:r>
          </w:p>
        </w:tc>
        <w:tc>
          <w:tcPr>
            <w:tcW w:w="1799" w:type="dxa"/>
            <w:vAlign w:val="center"/>
          </w:tcPr>
          <w:p>
            <w:pPr>
              <w:widowControl/>
              <w:jc w:val="center"/>
              <w:rPr>
                <w:color w:val="auto"/>
                <w:kern w:val="0"/>
                <w:szCs w:val="21"/>
              </w:rPr>
            </w:pPr>
            <w:r>
              <w:rPr>
                <w:color w:val="auto"/>
                <w:kern w:val="0"/>
                <w:szCs w:val="21"/>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化学需氧量COD</w:t>
            </w:r>
            <w:r>
              <w:rPr>
                <w:color w:val="auto"/>
                <w:kern w:val="0"/>
                <w:szCs w:val="21"/>
                <w:vertAlign w:val="subscript"/>
              </w:rPr>
              <w:t>Cr</w:t>
            </w:r>
          </w:p>
        </w:tc>
        <w:tc>
          <w:tcPr>
            <w:tcW w:w="3745" w:type="dxa"/>
            <w:vAlign w:val="center"/>
          </w:tcPr>
          <w:p>
            <w:pPr>
              <w:widowControl/>
              <w:jc w:val="center"/>
              <w:rPr>
                <w:color w:val="auto"/>
                <w:kern w:val="0"/>
                <w:szCs w:val="21"/>
              </w:rPr>
            </w:pPr>
            <w:r>
              <w:rPr>
                <w:color w:val="auto"/>
                <w:kern w:val="0"/>
                <w:szCs w:val="21"/>
              </w:rPr>
              <w:t>《水质 化学需氧量的测定 重铬酸盐法》GB/T 11914-1989</w:t>
            </w:r>
          </w:p>
        </w:tc>
        <w:tc>
          <w:tcPr>
            <w:tcW w:w="2041" w:type="dxa"/>
            <w:vAlign w:val="center"/>
          </w:tcPr>
          <w:p>
            <w:pPr>
              <w:widowControl/>
              <w:jc w:val="center"/>
              <w:rPr>
                <w:color w:val="auto"/>
                <w:kern w:val="0"/>
                <w:szCs w:val="21"/>
              </w:rPr>
            </w:pPr>
            <w:r>
              <w:rPr>
                <w:color w:val="auto"/>
                <w:kern w:val="0"/>
                <w:szCs w:val="21"/>
              </w:rPr>
              <w:t>滴定管 50ml</w:t>
            </w:r>
          </w:p>
        </w:tc>
        <w:tc>
          <w:tcPr>
            <w:tcW w:w="1799" w:type="dxa"/>
            <w:vAlign w:val="center"/>
          </w:tcPr>
          <w:p>
            <w:pPr>
              <w:widowControl/>
              <w:jc w:val="center"/>
              <w:rPr>
                <w:color w:val="auto"/>
                <w:kern w:val="0"/>
                <w:szCs w:val="21"/>
              </w:rPr>
            </w:pPr>
            <w:r>
              <w:rPr>
                <w:color w:val="auto"/>
                <w:kern w:val="0"/>
                <w:szCs w:val="21"/>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五日生化需氧量(BOD</w:t>
            </w:r>
            <w:r>
              <w:rPr>
                <w:color w:val="auto"/>
                <w:kern w:val="0"/>
                <w:szCs w:val="21"/>
                <w:vertAlign w:val="subscript"/>
              </w:rPr>
              <w:t>5</w:t>
            </w:r>
            <w:r>
              <w:rPr>
                <w:color w:val="auto"/>
                <w:kern w:val="0"/>
                <w:szCs w:val="21"/>
              </w:rPr>
              <w:t>)</w:t>
            </w:r>
          </w:p>
        </w:tc>
        <w:tc>
          <w:tcPr>
            <w:tcW w:w="3745" w:type="dxa"/>
            <w:vAlign w:val="center"/>
          </w:tcPr>
          <w:p>
            <w:pPr>
              <w:widowControl/>
              <w:jc w:val="center"/>
              <w:rPr>
                <w:color w:val="auto"/>
                <w:kern w:val="0"/>
                <w:szCs w:val="21"/>
              </w:rPr>
            </w:pPr>
            <w:r>
              <w:rPr>
                <w:color w:val="auto"/>
                <w:kern w:val="0"/>
                <w:szCs w:val="21"/>
              </w:rPr>
              <w:t>《水质 五日生化需氧量（BOD5）的测定 稀释与接种法》HJ 505-2009</w:t>
            </w:r>
          </w:p>
        </w:tc>
        <w:tc>
          <w:tcPr>
            <w:tcW w:w="2041" w:type="dxa"/>
            <w:vAlign w:val="center"/>
          </w:tcPr>
          <w:p>
            <w:pPr>
              <w:widowControl/>
              <w:jc w:val="center"/>
              <w:rPr>
                <w:color w:val="auto"/>
                <w:kern w:val="0"/>
                <w:szCs w:val="21"/>
              </w:rPr>
            </w:pPr>
            <w:r>
              <w:rPr>
                <w:color w:val="auto"/>
                <w:kern w:val="0"/>
                <w:szCs w:val="21"/>
              </w:rPr>
              <w:t>生化培养箱SPX-250B</w:t>
            </w:r>
          </w:p>
        </w:tc>
        <w:tc>
          <w:tcPr>
            <w:tcW w:w="1799" w:type="dxa"/>
            <w:vAlign w:val="center"/>
          </w:tcPr>
          <w:p>
            <w:pPr>
              <w:widowControl/>
              <w:jc w:val="center"/>
              <w:rPr>
                <w:color w:val="auto"/>
                <w:kern w:val="0"/>
                <w:szCs w:val="21"/>
              </w:rPr>
            </w:pPr>
            <w:r>
              <w:rPr>
                <w:color w:val="auto"/>
                <w:kern w:val="0"/>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氨氮</w:t>
            </w:r>
          </w:p>
        </w:tc>
        <w:tc>
          <w:tcPr>
            <w:tcW w:w="3745" w:type="dxa"/>
            <w:vAlign w:val="center"/>
          </w:tcPr>
          <w:p>
            <w:pPr>
              <w:widowControl/>
              <w:jc w:val="center"/>
              <w:rPr>
                <w:color w:val="auto"/>
                <w:kern w:val="0"/>
                <w:szCs w:val="21"/>
              </w:rPr>
            </w:pPr>
            <w:r>
              <w:rPr>
                <w:color w:val="auto"/>
                <w:kern w:val="0"/>
                <w:szCs w:val="21"/>
              </w:rPr>
              <w:t>《水质 氨氮的测定 纳氏试剂分光光度法》HJ 535-2009</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总磷</w:t>
            </w:r>
          </w:p>
        </w:tc>
        <w:tc>
          <w:tcPr>
            <w:tcW w:w="3745" w:type="dxa"/>
            <w:vAlign w:val="center"/>
          </w:tcPr>
          <w:p>
            <w:pPr>
              <w:widowControl/>
              <w:jc w:val="center"/>
              <w:rPr>
                <w:color w:val="auto"/>
                <w:kern w:val="0"/>
                <w:szCs w:val="21"/>
              </w:rPr>
            </w:pPr>
            <w:r>
              <w:rPr>
                <w:color w:val="auto"/>
                <w:kern w:val="0"/>
                <w:szCs w:val="21"/>
              </w:rPr>
              <w:t>《水质 总磷的测定 钼酸铵分光光度法》GB/T 11893-1989</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石油类</w:t>
            </w:r>
          </w:p>
        </w:tc>
        <w:tc>
          <w:tcPr>
            <w:tcW w:w="3745" w:type="dxa"/>
            <w:vAlign w:val="center"/>
          </w:tcPr>
          <w:p>
            <w:pPr>
              <w:widowControl/>
              <w:jc w:val="center"/>
              <w:rPr>
                <w:color w:val="auto"/>
                <w:kern w:val="0"/>
                <w:szCs w:val="21"/>
              </w:rPr>
            </w:pPr>
            <w:r>
              <w:rPr>
                <w:color w:val="auto"/>
                <w:kern w:val="0"/>
                <w:szCs w:val="21"/>
              </w:rPr>
              <w:t>《水质 石油类和动植物油类的测定 红外分光光度法》HJ 637-2012</w:t>
            </w:r>
          </w:p>
        </w:tc>
        <w:tc>
          <w:tcPr>
            <w:tcW w:w="2041" w:type="dxa"/>
            <w:vAlign w:val="center"/>
          </w:tcPr>
          <w:p>
            <w:pPr>
              <w:widowControl/>
              <w:jc w:val="center"/>
              <w:rPr>
                <w:color w:val="auto"/>
                <w:kern w:val="0"/>
                <w:szCs w:val="21"/>
              </w:rPr>
            </w:pPr>
            <w:r>
              <w:rPr>
                <w:color w:val="auto"/>
                <w:kern w:val="0"/>
                <w:szCs w:val="21"/>
              </w:rPr>
              <w:t>红外分光测油仪LT-21A</w:t>
            </w:r>
          </w:p>
        </w:tc>
        <w:tc>
          <w:tcPr>
            <w:tcW w:w="1799" w:type="dxa"/>
            <w:vAlign w:val="center"/>
          </w:tcPr>
          <w:p>
            <w:pPr>
              <w:widowControl/>
              <w:jc w:val="center"/>
              <w:rPr>
                <w:color w:val="auto"/>
                <w:kern w:val="0"/>
                <w:szCs w:val="21"/>
              </w:rPr>
            </w:pPr>
            <w:r>
              <w:rPr>
                <w:color w:val="auto"/>
                <w:kern w:val="0"/>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阴离子表面活性剂</w:t>
            </w:r>
          </w:p>
        </w:tc>
        <w:tc>
          <w:tcPr>
            <w:tcW w:w="3745" w:type="dxa"/>
            <w:vAlign w:val="center"/>
          </w:tcPr>
          <w:p>
            <w:pPr>
              <w:widowControl/>
              <w:jc w:val="center"/>
              <w:rPr>
                <w:color w:val="auto"/>
                <w:kern w:val="0"/>
                <w:szCs w:val="21"/>
              </w:rPr>
            </w:pPr>
            <w:r>
              <w:rPr>
                <w:color w:val="auto"/>
                <w:kern w:val="0"/>
                <w:szCs w:val="21"/>
              </w:rPr>
              <w:t>《水质 阴离子表面活性剂的测 亚甲蓝分光光度法》GB/T 7494-1987</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挥发酚</w:t>
            </w:r>
          </w:p>
        </w:tc>
        <w:tc>
          <w:tcPr>
            <w:tcW w:w="3745" w:type="dxa"/>
            <w:vAlign w:val="center"/>
          </w:tcPr>
          <w:p>
            <w:pPr>
              <w:widowControl/>
              <w:jc w:val="center"/>
              <w:rPr>
                <w:color w:val="auto"/>
                <w:kern w:val="0"/>
                <w:szCs w:val="21"/>
              </w:rPr>
            </w:pPr>
            <w:r>
              <w:rPr>
                <w:color w:val="auto"/>
                <w:kern w:val="0"/>
                <w:szCs w:val="21"/>
              </w:rPr>
              <w:t>《水质 挥发酚的测定 4-氨基安替比林分光光度法》HJ 503-2009</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氰化物</w:t>
            </w:r>
          </w:p>
        </w:tc>
        <w:tc>
          <w:tcPr>
            <w:tcW w:w="3745" w:type="dxa"/>
            <w:vAlign w:val="center"/>
          </w:tcPr>
          <w:p>
            <w:pPr>
              <w:widowControl/>
              <w:jc w:val="center"/>
              <w:rPr>
                <w:color w:val="auto"/>
                <w:kern w:val="0"/>
                <w:szCs w:val="21"/>
              </w:rPr>
            </w:pPr>
            <w:r>
              <w:rPr>
                <w:color w:val="auto"/>
                <w:kern w:val="0"/>
                <w:szCs w:val="21"/>
              </w:rPr>
              <w:t>《水质 氰化物的测定 容量法和分光光度法》HJ 484-2009 异烟酸-吡唑啉酮</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氟化物</w:t>
            </w:r>
          </w:p>
        </w:tc>
        <w:tc>
          <w:tcPr>
            <w:tcW w:w="3745" w:type="dxa"/>
            <w:vAlign w:val="center"/>
          </w:tcPr>
          <w:p>
            <w:pPr>
              <w:widowControl/>
              <w:jc w:val="center"/>
              <w:rPr>
                <w:color w:val="auto"/>
                <w:kern w:val="0"/>
                <w:szCs w:val="21"/>
              </w:rPr>
            </w:pPr>
            <w:r>
              <w:rPr>
                <w:color w:val="auto"/>
                <w:kern w:val="0"/>
                <w:szCs w:val="21"/>
              </w:rPr>
              <w:t>《水质 氟化物的测定 离子选择电极法》GB/T 7484-1987</w:t>
            </w:r>
          </w:p>
        </w:tc>
        <w:tc>
          <w:tcPr>
            <w:tcW w:w="2041" w:type="dxa"/>
            <w:vAlign w:val="center"/>
          </w:tcPr>
          <w:p>
            <w:pPr>
              <w:widowControl/>
              <w:jc w:val="center"/>
              <w:rPr>
                <w:color w:val="auto"/>
                <w:kern w:val="0"/>
                <w:szCs w:val="21"/>
              </w:rPr>
            </w:pPr>
            <w:r>
              <w:rPr>
                <w:color w:val="auto"/>
                <w:kern w:val="0"/>
                <w:szCs w:val="21"/>
              </w:rPr>
              <w:t>氟离子计 PF-1</w:t>
            </w:r>
          </w:p>
        </w:tc>
        <w:tc>
          <w:tcPr>
            <w:tcW w:w="1799" w:type="dxa"/>
            <w:vAlign w:val="center"/>
          </w:tcPr>
          <w:p>
            <w:pPr>
              <w:widowControl/>
              <w:jc w:val="center"/>
              <w:rPr>
                <w:color w:val="auto"/>
                <w:kern w:val="0"/>
                <w:szCs w:val="21"/>
              </w:rPr>
            </w:pPr>
            <w:r>
              <w:rPr>
                <w:color w:val="auto"/>
                <w:kern w:val="0"/>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硫酸盐</w:t>
            </w:r>
          </w:p>
        </w:tc>
        <w:tc>
          <w:tcPr>
            <w:tcW w:w="3745" w:type="dxa"/>
            <w:vAlign w:val="center"/>
          </w:tcPr>
          <w:p>
            <w:pPr>
              <w:widowControl/>
              <w:jc w:val="center"/>
              <w:rPr>
                <w:color w:val="auto"/>
                <w:kern w:val="0"/>
                <w:szCs w:val="21"/>
              </w:rPr>
            </w:pPr>
            <w:r>
              <w:rPr>
                <w:color w:val="auto"/>
                <w:kern w:val="0"/>
                <w:szCs w:val="21"/>
              </w:rPr>
              <w:t>《水质 硫酸盐的测定 铬酸钡分光光度计法（试行）》HJ/T 342-2007</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硝酸盐</w:t>
            </w:r>
          </w:p>
        </w:tc>
        <w:tc>
          <w:tcPr>
            <w:tcW w:w="3745" w:type="dxa"/>
            <w:vAlign w:val="center"/>
          </w:tcPr>
          <w:p>
            <w:pPr>
              <w:widowControl/>
              <w:jc w:val="center"/>
              <w:rPr>
                <w:color w:val="auto"/>
                <w:kern w:val="0"/>
                <w:szCs w:val="21"/>
              </w:rPr>
            </w:pPr>
            <w:r>
              <w:rPr>
                <w:color w:val="auto"/>
                <w:kern w:val="0"/>
                <w:szCs w:val="21"/>
              </w:rPr>
              <w:t>《水质 硝酸盐的测定 酚二磺酸分光光度计法》GB/T 7480-1987</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硫化物</w:t>
            </w:r>
          </w:p>
        </w:tc>
        <w:tc>
          <w:tcPr>
            <w:tcW w:w="3745" w:type="dxa"/>
            <w:vAlign w:val="center"/>
          </w:tcPr>
          <w:p>
            <w:pPr>
              <w:widowControl/>
              <w:jc w:val="center"/>
              <w:rPr>
                <w:color w:val="auto"/>
                <w:kern w:val="0"/>
                <w:szCs w:val="21"/>
              </w:rPr>
            </w:pPr>
            <w:r>
              <w:rPr>
                <w:color w:val="auto"/>
                <w:kern w:val="0"/>
                <w:szCs w:val="21"/>
              </w:rPr>
              <w:t>《水质 硫化物的测定 亚甲基蓝分光光度法》GB/T 16489-1996</w:t>
            </w:r>
          </w:p>
        </w:tc>
        <w:tc>
          <w:tcPr>
            <w:tcW w:w="2041" w:type="dxa"/>
            <w:vAlign w:val="center"/>
          </w:tcPr>
          <w:p>
            <w:pPr>
              <w:widowControl/>
              <w:jc w:val="center"/>
              <w:rPr>
                <w:color w:val="auto"/>
                <w:kern w:val="0"/>
                <w:szCs w:val="21"/>
              </w:rPr>
            </w:pPr>
            <w:r>
              <w:rPr>
                <w:color w:val="auto"/>
                <w:kern w:val="0"/>
                <w:szCs w:val="21"/>
              </w:rPr>
              <w:t>紫外可见分光光度计UV759</w:t>
            </w:r>
          </w:p>
        </w:tc>
        <w:tc>
          <w:tcPr>
            <w:tcW w:w="1799" w:type="dxa"/>
            <w:vAlign w:val="center"/>
          </w:tcPr>
          <w:p>
            <w:pPr>
              <w:widowControl/>
              <w:jc w:val="center"/>
              <w:rPr>
                <w:color w:val="auto"/>
                <w:kern w:val="0"/>
                <w:szCs w:val="21"/>
              </w:rPr>
            </w:pPr>
            <w:r>
              <w:rPr>
                <w:color w:val="auto"/>
                <w:kern w:val="0"/>
                <w:szCs w:val="21"/>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铅</w:t>
            </w:r>
          </w:p>
        </w:tc>
        <w:tc>
          <w:tcPr>
            <w:tcW w:w="3745" w:type="dxa"/>
            <w:vAlign w:val="center"/>
          </w:tcPr>
          <w:p>
            <w:pPr>
              <w:widowControl/>
              <w:jc w:val="center"/>
              <w:rPr>
                <w:color w:val="auto"/>
                <w:kern w:val="0"/>
                <w:szCs w:val="21"/>
              </w:rPr>
            </w:pPr>
            <w:r>
              <w:rPr>
                <w:color w:val="auto"/>
                <w:kern w:val="0"/>
                <w:szCs w:val="21"/>
              </w:rPr>
              <w:t>《水质 铜、锌、铅、镉的测定 原子吸收分光光度法》GB/T 7475-1987</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硒</w:t>
            </w:r>
          </w:p>
        </w:tc>
        <w:tc>
          <w:tcPr>
            <w:tcW w:w="3745" w:type="dxa"/>
            <w:vAlign w:val="center"/>
          </w:tcPr>
          <w:p>
            <w:pPr>
              <w:widowControl/>
              <w:jc w:val="center"/>
              <w:rPr>
                <w:color w:val="auto"/>
                <w:kern w:val="0"/>
                <w:szCs w:val="21"/>
              </w:rPr>
            </w:pPr>
            <w:r>
              <w:rPr>
                <w:color w:val="auto"/>
                <w:kern w:val="0"/>
                <w:szCs w:val="21"/>
              </w:rPr>
              <w:t>《水质 汞、砷、硒、铋和锑的测定》HJ 694-2014 原子荧光法</w:t>
            </w:r>
          </w:p>
        </w:tc>
        <w:tc>
          <w:tcPr>
            <w:tcW w:w="2041" w:type="dxa"/>
            <w:vAlign w:val="center"/>
          </w:tcPr>
          <w:p>
            <w:pPr>
              <w:widowControl/>
              <w:jc w:val="center"/>
              <w:rPr>
                <w:color w:val="auto"/>
                <w:kern w:val="0"/>
                <w:szCs w:val="21"/>
              </w:rPr>
            </w:pPr>
            <w:r>
              <w:rPr>
                <w:color w:val="auto"/>
                <w:kern w:val="0"/>
                <w:szCs w:val="21"/>
              </w:rPr>
              <w:t>非色散原子荧光光度计PF6-1</w:t>
            </w:r>
          </w:p>
        </w:tc>
        <w:tc>
          <w:tcPr>
            <w:tcW w:w="1799" w:type="dxa"/>
            <w:vAlign w:val="center"/>
          </w:tcPr>
          <w:p>
            <w:pPr>
              <w:widowControl/>
              <w:jc w:val="center"/>
              <w:rPr>
                <w:color w:val="auto"/>
                <w:kern w:val="0"/>
                <w:szCs w:val="21"/>
              </w:rPr>
            </w:pPr>
            <w:r>
              <w:rPr>
                <w:color w:val="auto"/>
                <w:kern w:val="0"/>
                <w:szCs w:val="21"/>
              </w:rPr>
              <w:t>0.04×10</w:t>
            </w:r>
            <w:r>
              <w:rPr>
                <w:color w:val="auto"/>
                <w:kern w:val="0"/>
                <w:szCs w:val="21"/>
                <w:vertAlign w:val="superscript"/>
              </w:rPr>
              <w:t>-3</w:t>
            </w:r>
            <w:r>
              <w:rPr>
                <w:color w:val="auto"/>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镉</w:t>
            </w:r>
          </w:p>
        </w:tc>
        <w:tc>
          <w:tcPr>
            <w:tcW w:w="3745" w:type="dxa"/>
            <w:vAlign w:val="center"/>
          </w:tcPr>
          <w:p>
            <w:pPr>
              <w:widowControl/>
              <w:jc w:val="center"/>
              <w:rPr>
                <w:color w:val="auto"/>
                <w:kern w:val="0"/>
                <w:szCs w:val="21"/>
              </w:rPr>
            </w:pPr>
            <w:r>
              <w:rPr>
                <w:color w:val="auto"/>
                <w:kern w:val="0"/>
                <w:szCs w:val="21"/>
              </w:rPr>
              <w:t>《水质 铜、锌、铅、镉的测定 原子吸收分光光度法》GB/T 7475-1987</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铜</w:t>
            </w:r>
          </w:p>
        </w:tc>
        <w:tc>
          <w:tcPr>
            <w:tcW w:w="3745" w:type="dxa"/>
            <w:vAlign w:val="center"/>
          </w:tcPr>
          <w:p>
            <w:pPr>
              <w:widowControl/>
              <w:jc w:val="center"/>
              <w:rPr>
                <w:color w:val="auto"/>
                <w:kern w:val="0"/>
                <w:szCs w:val="21"/>
              </w:rPr>
            </w:pPr>
            <w:r>
              <w:rPr>
                <w:color w:val="auto"/>
                <w:kern w:val="0"/>
                <w:szCs w:val="21"/>
              </w:rPr>
              <w:t>《水质 铜、锌、铅、镉的测定 原子吸收分光光度法》GB/T 7475-1987</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锌</w:t>
            </w:r>
          </w:p>
        </w:tc>
        <w:tc>
          <w:tcPr>
            <w:tcW w:w="3745" w:type="dxa"/>
            <w:vAlign w:val="center"/>
          </w:tcPr>
          <w:p>
            <w:pPr>
              <w:widowControl/>
              <w:jc w:val="center"/>
              <w:rPr>
                <w:color w:val="auto"/>
                <w:kern w:val="0"/>
                <w:szCs w:val="21"/>
              </w:rPr>
            </w:pPr>
            <w:r>
              <w:rPr>
                <w:color w:val="auto"/>
                <w:kern w:val="0"/>
                <w:szCs w:val="21"/>
              </w:rPr>
              <w:t>《水质 铜、锌、铅、镉的测定 原子吸收分光光度法》GB/T 7475-1987</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砷</w:t>
            </w:r>
          </w:p>
        </w:tc>
        <w:tc>
          <w:tcPr>
            <w:tcW w:w="3745" w:type="dxa"/>
            <w:vAlign w:val="center"/>
          </w:tcPr>
          <w:p>
            <w:pPr>
              <w:widowControl/>
              <w:jc w:val="center"/>
              <w:rPr>
                <w:color w:val="auto"/>
                <w:kern w:val="0"/>
                <w:szCs w:val="21"/>
              </w:rPr>
            </w:pPr>
            <w:r>
              <w:rPr>
                <w:color w:val="auto"/>
                <w:kern w:val="0"/>
                <w:szCs w:val="21"/>
              </w:rPr>
              <w:t>《水质 汞、砷、硒、铋和锑的测定》HJ 694-2014 原子荧光法</w:t>
            </w:r>
          </w:p>
        </w:tc>
        <w:tc>
          <w:tcPr>
            <w:tcW w:w="2041" w:type="dxa"/>
            <w:vAlign w:val="center"/>
          </w:tcPr>
          <w:p>
            <w:pPr>
              <w:widowControl/>
              <w:jc w:val="center"/>
              <w:rPr>
                <w:color w:val="auto"/>
                <w:kern w:val="0"/>
                <w:szCs w:val="21"/>
              </w:rPr>
            </w:pPr>
            <w:r>
              <w:rPr>
                <w:color w:val="auto"/>
                <w:kern w:val="0"/>
                <w:szCs w:val="21"/>
              </w:rPr>
              <w:t>非色散原子荧光光度计PF6-1</w:t>
            </w:r>
          </w:p>
        </w:tc>
        <w:tc>
          <w:tcPr>
            <w:tcW w:w="1799" w:type="dxa"/>
            <w:vAlign w:val="center"/>
          </w:tcPr>
          <w:p>
            <w:pPr>
              <w:widowControl/>
              <w:jc w:val="center"/>
              <w:rPr>
                <w:color w:val="auto"/>
                <w:kern w:val="0"/>
                <w:szCs w:val="21"/>
              </w:rPr>
            </w:pPr>
            <w:r>
              <w:rPr>
                <w:color w:val="auto"/>
                <w:kern w:val="0"/>
                <w:szCs w:val="21"/>
              </w:rPr>
              <w:t>0.3×10</w:t>
            </w:r>
            <w:r>
              <w:rPr>
                <w:color w:val="auto"/>
                <w:kern w:val="0"/>
                <w:szCs w:val="21"/>
                <w:vertAlign w:val="superscript"/>
              </w:rPr>
              <w:t>-3</w:t>
            </w:r>
            <w:r>
              <w:rPr>
                <w:color w:val="auto"/>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锰</w:t>
            </w:r>
          </w:p>
        </w:tc>
        <w:tc>
          <w:tcPr>
            <w:tcW w:w="3745" w:type="dxa"/>
            <w:vAlign w:val="center"/>
          </w:tcPr>
          <w:p>
            <w:pPr>
              <w:widowControl/>
              <w:jc w:val="center"/>
              <w:rPr>
                <w:color w:val="auto"/>
                <w:kern w:val="0"/>
                <w:szCs w:val="21"/>
              </w:rPr>
            </w:pPr>
            <w:r>
              <w:rPr>
                <w:color w:val="auto"/>
                <w:kern w:val="0"/>
                <w:szCs w:val="21"/>
              </w:rPr>
              <w:t>《水质 铁、锰的测定 火焰原子吸收分光光度法》GB/T 11911-1989</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3" w:type="dxa"/>
            <w:vAlign w:val="center"/>
          </w:tcPr>
          <w:p>
            <w:pPr>
              <w:widowControl/>
              <w:jc w:val="center"/>
              <w:rPr>
                <w:color w:val="auto"/>
                <w:kern w:val="0"/>
                <w:szCs w:val="21"/>
              </w:rPr>
            </w:pPr>
            <w:r>
              <w:rPr>
                <w:color w:val="auto"/>
                <w:kern w:val="0"/>
                <w:szCs w:val="21"/>
              </w:rPr>
              <w:t>镍</w:t>
            </w:r>
          </w:p>
        </w:tc>
        <w:tc>
          <w:tcPr>
            <w:tcW w:w="3745" w:type="dxa"/>
            <w:vAlign w:val="center"/>
          </w:tcPr>
          <w:p>
            <w:pPr>
              <w:widowControl/>
              <w:jc w:val="center"/>
              <w:rPr>
                <w:color w:val="auto"/>
                <w:kern w:val="0"/>
                <w:szCs w:val="21"/>
              </w:rPr>
            </w:pPr>
            <w:r>
              <w:rPr>
                <w:color w:val="auto"/>
                <w:kern w:val="0"/>
                <w:szCs w:val="21"/>
              </w:rPr>
              <w:t>《水质 镍的测定 火焰原子吸收分光光度法》GB/T11912-1989</w:t>
            </w:r>
          </w:p>
        </w:tc>
        <w:tc>
          <w:tcPr>
            <w:tcW w:w="2041" w:type="dxa"/>
            <w:vAlign w:val="center"/>
          </w:tcPr>
          <w:p>
            <w:pPr>
              <w:widowControl/>
              <w:jc w:val="center"/>
              <w:rPr>
                <w:color w:val="auto"/>
                <w:kern w:val="0"/>
                <w:szCs w:val="21"/>
              </w:rPr>
            </w:pPr>
            <w:r>
              <w:rPr>
                <w:color w:val="auto"/>
                <w:kern w:val="0"/>
                <w:szCs w:val="21"/>
              </w:rPr>
              <w:t>原子吸收分光光度计AA6880</w:t>
            </w:r>
          </w:p>
        </w:tc>
        <w:tc>
          <w:tcPr>
            <w:tcW w:w="1799" w:type="dxa"/>
            <w:vAlign w:val="center"/>
          </w:tcPr>
          <w:p>
            <w:pPr>
              <w:widowControl/>
              <w:jc w:val="center"/>
              <w:rPr>
                <w:color w:val="auto"/>
                <w:kern w:val="0"/>
                <w:szCs w:val="21"/>
              </w:rPr>
            </w:pPr>
            <w:r>
              <w:rPr>
                <w:color w:val="auto"/>
                <w:kern w:val="0"/>
                <w:szCs w:val="21"/>
              </w:rPr>
              <w:t>0.05mg/L</w:t>
            </w:r>
          </w:p>
        </w:tc>
      </w:tr>
    </w:tbl>
    <w:p>
      <w:pPr>
        <w:pStyle w:val="7"/>
        <w:numPr>
          <w:ilvl w:val="2"/>
          <w:numId w:val="0"/>
        </w:numPr>
        <w:tabs>
          <w:tab w:val="clear" w:pos="720"/>
        </w:tabs>
        <w:adjustRightInd/>
        <w:spacing w:before="159" w:after="79" w:afterLines="25"/>
        <w:jc w:val="both"/>
        <w:textAlignment w:val="auto"/>
        <w:rPr>
          <w:color w:val="auto"/>
        </w:rPr>
      </w:pPr>
      <w:bookmarkStart w:id="537" w:name="_Toc8658"/>
      <w:r>
        <w:rPr>
          <w:rFonts w:hint="eastAsia"/>
          <w:color w:val="auto"/>
        </w:rPr>
        <w:t xml:space="preserve">5.4.2  </w:t>
      </w:r>
      <w:r>
        <w:rPr>
          <w:color w:val="auto"/>
        </w:rPr>
        <w:t>评价标准</w:t>
      </w:r>
      <w:bookmarkEnd w:id="537"/>
    </w:p>
    <w:p>
      <w:pPr>
        <w:spacing w:line="360" w:lineRule="auto"/>
        <w:ind w:firstLine="480" w:firstLineChars="200"/>
        <w:rPr>
          <w:color w:val="auto"/>
          <w:sz w:val="24"/>
        </w:rPr>
      </w:pPr>
      <w:r>
        <w:rPr>
          <w:color w:val="auto"/>
          <w:sz w:val="24"/>
        </w:rPr>
        <w:t>W1-W3断面河流水质执行《地表水环境质量标准》（GB 3838-2002）的Ⅳ类标准。</w:t>
      </w:r>
    </w:p>
    <w:p>
      <w:pPr>
        <w:pStyle w:val="7"/>
        <w:numPr>
          <w:ilvl w:val="2"/>
          <w:numId w:val="0"/>
        </w:numPr>
        <w:tabs>
          <w:tab w:val="clear" w:pos="720"/>
        </w:tabs>
        <w:adjustRightInd/>
        <w:spacing w:before="159" w:after="79" w:afterLines="25"/>
        <w:jc w:val="both"/>
        <w:textAlignment w:val="auto"/>
        <w:rPr>
          <w:color w:val="auto"/>
        </w:rPr>
      </w:pPr>
      <w:bookmarkStart w:id="538" w:name="_Toc13054"/>
      <w:r>
        <w:rPr>
          <w:rFonts w:hint="eastAsia"/>
          <w:color w:val="auto"/>
        </w:rPr>
        <w:t xml:space="preserve">5.4.3  </w:t>
      </w:r>
      <w:r>
        <w:rPr>
          <w:color w:val="auto"/>
        </w:rPr>
        <w:t>评价方法</w:t>
      </w:r>
      <w:bookmarkEnd w:id="538"/>
    </w:p>
    <w:p>
      <w:pPr>
        <w:spacing w:line="360" w:lineRule="auto"/>
        <w:ind w:firstLine="480" w:firstLineChars="200"/>
        <w:rPr>
          <w:color w:val="auto"/>
          <w:sz w:val="24"/>
        </w:rPr>
      </w:pPr>
      <w:r>
        <w:rPr>
          <w:color w:val="auto"/>
          <w:sz w:val="24"/>
        </w:rPr>
        <w:t>本次评价采用《环境影响评价技术导则　地表水环境》（HJ/T 2.3-2018）推荐的单项项目水质参数评价法对地表水环境质量现状进行评价。单因子污染指数的计算方法如下：</w:t>
      </w:r>
    </w:p>
    <w:p>
      <w:pPr>
        <w:keepNext/>
        <w:spacing w:line="360" w:lineRule="auto"/>
        <w:ind w:firstLine="482" w:firstLineChars="200"/>
        <w:rPr>
          <w:b/>
          <w:color w:val="auto"/>
          <w:sz w:val="24"/>
        </w:rPr>
      </w:pPr>
      <w:r>
        <w:rPr>
          <w:b/>
          <w:color w:val="auto"/>
          <w:sz w:val="24"/>
        </w:rPr>
        <w:t>（1）对污染程度随浓度增加的污染物：</w:t>
      </w:r>
    </w:p>
    <w:p>
      <w:pPr>
        <w:spacing w:before="100" w:beforeAutospacing="1" w:after="100" w:afterAutospacing="1"/>
        <w:jc w:val="center"/>
        <w:rPr>
          <w:color w:val="auto"/>
          <w:sz w:val="24"/>
        </w:rPr>
      </w:pPr>
      <w:r>
        <w:rPr>
          <w:i/>
          <w:color w:val="auto"/>
          <w:sz w:val="24"/>
        </w:rPr>
        <w:t>P</w:t>
      </w:r>
      <w:r>
        <w:rPr>
          <w:i/>
          <w:color w:val="auto"/>
          <w:sz w:val="24"/>
          <w:vertAlign w:val="subscript"/>
        </w:rPr>
        <w:t>i</w:t>
      </w:r>
      <w:r>
        <w:rPr>
          <w:color w:val="auto"/>
          <w:sz w:val="24"/>
        </w:rPr>
        <w:t>＝</w:t>
      </w:r>
      <w:r>
        <w:rPr>
          <w:i/>
          <w:color w:val="auto"/>
          <w:sz w:val="24"/>
        </w:rPr>
        <w:t>C</w:t>
      </w:r>
      <w:r>
        <w:rPr>
          <w:i/>
          <w:color w:val="auto"/>
          <w:sz w:val="24"/>
          <w:vertAlign w:val="subscript"/>
        </w:rPr>
        <w:t>i</w:t>
      </w:r>
      <w:r>
        <w:rPr>
          <w:color w:val="auto"/>
          <w:sz w:val="24"/>
        </w:rPr>
        <w:t>/</w:t>
      </w:r>
      <w:r>
        <w:rPr>
          <w:i/>
          <w:color w:val="auto"/>
          <w:sz w:val="24"/>
        </w:rPr>
        <w:t>C</w:t>
      </w:r>
      <w:r>
        <w:rPr>
          <w:color w:val="auto"/>
          <w:sz w:val="24"/>
          <w:vertAlign w:val="subscript"/>
        </w:rPr>
        <w:t>0</w:t>
      </w:r>
      <w:r>
        <w:rPr>
          <w:i/>
          <w:color w:val="auto"/>
          <w:sz w:val="24"/>
          <w:vertAlign w:val="subscript"/>
        </w:rPr>
        <w:t>i</w:t>
      </w:r>
    </w:p>
    <w:p>
      <w:pPr>
        <w:spacing w:line="360" w:lineRule="auto"/>
        <w:ind w:firstLine="480" w:firstLineChars="200"/>
        <w:rPr>
          <w:color w:val="auto"/>
          <w:sz w:val="24"/>
        </w:rPr>
      </w:pPr>
      <w:r>
        <w:rPr>
          <w:color w:val="auto"/>
          <w:sz w:val="24"/>
        </w:rPr>
        <w:t>式中：</w:t>
      </w:r>
      <w:r>
        <w:rPr>
          <w:i/>
          <w:color w:val="auto"/>
          <w:sz w:val="24"/>
        </w:rPr>
        <w:t>P</w:t>
      </w:r>
      <w:r>
        <w:rPr>
          <w:i/>
          <w:color w:val="auto"/>
          <w:sz w:val="24"/>
          <w:vertAlign w:val="subscript"/>
        </w:rPr>
        <w:t>i</w:t>
      </w:r>
      <w:r>
        <w:rPr>
          <w:color w:val="auto"/>
          <w:sz w:val="24"/>
        </w:rPr>
        <w:tab/>
      </w:r>
      <w:r>
        <w:rPr>
          <w:color w:val="auto"/>
          <w:sz w:val="24"/>
        </w:rPr>
        <w:t>——浓度指数</w:t>
      </w:r>
    </w:p>
    <w:p>
      <w:pPr>
        <w:spacing w:line="360" w:lineRule="auto"/>
        <w:ind w:left="2157" w:leftChars="570" w:hanging="960" w:hangingChars="400"/>
        <w:rPr>
          <w:color w:val="auto"/>
          <w:sz w:val="24"/>
        </w:rPr>
      </w:pPr>
      <w:r>
        <w:rPr>
          <w:i/>
          <w:color w:val="auto"/>
          <w:sz w:val="24"/>
        </w:rPr>
        <w:t>C</w:t>
      </w:r>
      <w:r>
        <w:rPr>
          <w:i/>
          <w:color w:val="auto"/>
          <w:sz w:val="24"/>
          <w:vertAlign w:val="subscript"/>
        </w:rPr>
        <w:t>i</w:t>
      </w:r>
      <w:r>
        <w:rPr>
          <w:color w:val="auto"/>
          <w:sz w:val="24"/>
        </w:rPr>
        <w:t xml:space="preserve">  ——实测浓度值，本报告采用实测值中的最大值，若实测为“未检出”，则取最低检出限的一半进行计算</w:t>
      </w:r>
    </w:p>
    <w:p>
      <w:pPr>
        <w:spacing w:line="360" w:lineRule="auto"/>
        <w:ind w:firstLine="1200" w:firstLineChars="500"/>
        <w:rPr>
          <w:color w:val="auto"/>
          <w:sz w:val="24"/>
        </w:rPr>
      </w:pPr>
      <w:r>
        <w:rPr>
          <w:i/>
          <w:color w:val="auto"/>
          <w:sz w:val="24"/>
        </w:rPr>
        <w:t>C</w:t>
      </w:r>
      <w:r>
        <w:rPr>
          <w:color w:val="auto"/>
          <w:sz w:val="24"/>
          <w:vertAlign w:val="subscript"/>
        </w:rPr>
        <w:t>0</w:t>
      </w:r>
      <w:r>
        <w:rPr>
          <w:i/>
          <w:color w:val="auto"/>
          <w:sz w:val="24"/>
          <w:vertAlign w:val="subscript"/>
        </w:rPr>
        <w:t>i</w:t>
      </w:r>
      <w:r>
        <w:rPr>
          <w:color w:val="auto"/>
          <w:sz w:val="24"/>
        </w:rPr>
        <w:tab/>
      </w:r>
      <w:r>
        <w:rPr>
          <w:color w:val="auto"/>
          <w:sz w:val="24"/>
        </w:rPr>
        <w:t>——标准值</w:t>
      </w:r>
    </w:p>
    <w:p>
      <w:pPr>
        <w:spacing w:line="360" w:lineRule="auto"/>
        <w:ind w:firstLine="480" w:firstLineChars="200"/>
        <w:rPr>
          <w:color w:val="auto"/>
          <w:sz w:val="24"/>
        </w:rPr>
      </w:pPr>
    </w:p>
    <w:p>
      <w:pPr>
        <w:keepNext/>
        <w:spacing w:line="360" w:lineRule="auto"/>
        <w:ind w:firstLine="482" w:firstLineChars="200"/>
        <w:rPr>
          <w:b/>
          <w:color w:val="auto"/>
          <w:sz w:val="24"/>
        </w:rPr>
      </w:pPr>
      <w:r>
        <w:rPr>
          <w:b/>
          <w:color w:val="auto"/>
          <w:sz w:val="24"/>
        </w:rPr>
        <w:t>（2）对pH值：</w:t>
      </w:r>
    </w:p>
    <w:p>
      <w:pPr>
        <w:spacing w:before="100" w:beforeAutospacing="1" w:after="100" w:afterAutospacing="1"/>
        <w:jc w:val="center"/>
        <w:rPr>
          <w:color w:val="auto"/>
          <w:sz w:val="24"/>
        </w:rPr>
      </w:pPr>
      <w:r>
        <w:rPr>
          <w:i/>
          <w:color w:val="auto"/>
          <w:sz w:val="24"/>
        </w:rPr>
        <w:t>P</w:t>
      </w:r>
      <w:r>
        <w:rPr>
          <w:i/>
          <w:color w:val="auto"/>
          <w:sz w:val="24"/>
          <w:vertAlign w:val="subscript"/>
        </w:rPr>
        <w:t>i</w:t>
      </w:r>
      <w:r>
        <w:rPr>
          <w:color w:val="auto"/>
          <w:sz w:val="24"/>
        </w:rPr>
        <w:t>＝(</w:t>
      </w:r>
      <w:r>
        <w:rPr>
          <w:i/>
          <w:color w:val="auto"/>
          <w:sz w:val="24"/>
        </w:rPr>
        <w:t>C</w:t>
      </w:r>
      <w:r>
        <w:rPr>
          <w:i/>
          <w:color w:val="auto"/>
          <w:sz w:val="24"/>
          <w:vertAlign w:val="subscript"/>
        </w:rPr>
        <w:t>i</w:t>
      </w:r>
      <w:r>
        <w:rPr>
          <w:color w:val="auto"/>
          <w:sz w:val="24"/>
        </w:rPr>
        <w:t>-7)/(</w:t>
      </w:r>
      <w:r>
        <w:rPr>
          <w:i/>
          <w:color w:val="auto"/>
          <w:sz w:val="24"/>
        </w:rPr>
        <w:t>C</w:t>
      </w:r>
      <w:r>
        <w:rPr>
          <w:i/>
          <w:color w:val="auto"/>
          <w:sz w:val="24"/>
          <w:vertAlign w:val="subscript"/>
        </w:rPr>
        <w:t>m</w:t>
      </w:r>
      <w:r>
        <w:rPr>
          <w:color w:val="auto"/>
          <w:sz w:val="24"/>
        </w:rPr>
        <w:t>-7)</w:t>
      </w:r>
    </w:p>
    <w:p>
      <w:pPr>
        <w:spacing w:line="360" w:lineRule="auto"/>
        <w:ind w:firstLine="480" w:firstLineChars="200"/>
        <w:rPr>
          <w:color w:val="auto"/>
          <w:sz w:val="24"/>
        </w:rPr>
      </w:pPr>
      <w:r>
        <w:rPr>
          <w:color w:val="auto"/>
          <w:sz w:val="24"/>
        </w:rPr>
        <w:t>式中：</w:t>
      </w:r>
      <w:r>
        <w:rPr>
          <w:i/>
          <w:color w:val="auto"/>
          <w:sz w:val="24"/>
        </w:rPr>
        <w:t>P</w:t>
      </w:r>
      <w:r>
        <w:rPr>
          <w:i/>
          <w:color w:val="auto"/>
          <w:sz w:val="24"/>
          <w:vertAlign w:val="subscript"/>
        </w:rPr>
        <w:t>i</w:t>
      </w:r>
      <w:r>
        <w:rPr>
          <w:color w:val="auto"/>
          <w:sz w:val="24"/>
        </w:rPr>
        <w:tab/>
      </w:r>
      <w:r>
        <w:rPr>
          <w:color w:val="auto"/>
          <w:sz w:val="24"/>
        </w:rPr>
        <w:t>——浓度指数</w:t>
      </w:r>
    </w:p>
    <w:p>
      <w:pPr>
        <w:spacing w:line="360" w:lineRule="auto"/>
        <w:ind w:firstLine="1200" w:firstLineChars="500"/>
        <w:rPr>
          <w:color w:val="auto"/>
          <w:sz w:val="24"/>
        </w:rPr>
      </w:pPr>
      <w:r>
        <w:rPr>
          <w:i/>
          <w:color w:val="auto"/>
          <w:sz w:val="24"/>
        </w:rPr>
        <w:t>C</w:t>
      </w:r>
      <w:r>
        <w:rPr>
          <w:i/>
          <w:color w:val="auto"/>
          <w:sz w:val="24"/>
          <w:vertAlign w:val="subscript"/>
        </w:rPr>
        <w:t>i</w:t>
      </w:r>
      <w:r>
        <w:rPr>
          <w:color w:val="auto"/>
          <w:sz w:val="24"/>
        </w:rPr>
        <w:tab/>
      </w:r>
      <w:r>
        <w:rPr>
          <w:color w:val="auto"/>
          <w:sz w:val="24"/>
        </w:rPr>
        <w:t>——实测值，本报告采用对应标准指数最大的实测值</w:t>
      </w:r>
    </w:p>
    <w:p>
      <w:pPr>
        <w:spacing w:line="360" w:lineRule="auto"/>
        <w:ind w:left="2157" w:leftChars="570" w:hanging="960" w:hangingChars="400"/>
        <w:rPr>
          <w:color w:val="auto"/>
          <w:sz w:val="24"/>
        </w:rPr>
      </w:pPr>
      <w:r>
        <w:rPr>
          <w:i/>
          <w:color w:val="auto"/>
          <w:sz w:val="24"/>
        </w:rPr>
        <w:t>C</w:t>
      </w:r>
      <w:r>
        <w:rPr>
          <w:i/>
          <w:color w:val="auto"/>
          <w:sz w:val="24"/>
          <w:vertAlign w:val="subscript"/>
        </w:rPr>
        <w:t>m</w:t>
      </w:r>
      <w:r>
        <w:rPr>
          <w:color w:val="auto"/>
          <w:sz w:val="24"/>
        </w:rPr>
        <w:t xml:space="preserve">  ——标准值，当</w:t>
      </w:r>
      <w:r>
        <w:rPr>
          <w:i/>
          <w:color w:val="auto"/>
          <w:sz w:val="24"/>
        </w:rPr>
        <w:t>C</w:t>
      </w:r>
      <w:r>
        <w:rPr>
          <w:i/>
          <w:color w:val="auto"/>
          <w:sz w:val="24"/>
          <w:vertAlign w:val="subscript"/>
        </w:rPr>
        <w:t>i</w:t>
      </w:r>
      <w:r>
        <w:rPr>
          <w:color w:val="auto"/>
          <w:sz w:val="24"/>
        </w:rPr>
        <w:t>≥7时，取标准上限值，当</w:t>
      </w:r>
      <w:r>
        <w:rPr>
          <w:i/>
          <w:color w:val="auto"/>
          <w:sz w:val="24"/>
        </w:rPr>
        <w:t>C</w:t>
      </w:r>
      <w:r>
        <w:rPr>
          <w:i/>
          <w:color w:val="auto"/>
          <w:sz w:val="24"/>
          <w:vertAlign w:val="subscript"/>
        </w:rPr>
        <w:t>i</w:t>
      </w:r>
      <w:r>
        <w:rPr>
          <w:color w:val="auto"/>
          <w:sz w:val="24"/>
        </w:rPr>
        <w:t>＜7时，取标准下限值</w:t>
      </w:r>
    </w:p>
    <w:p>
      <w:pPr>
        <w:spacing w:line="360" w:lineRule="auto"/>
        <w:ind w:firstLine="480" w:firstLineChars="200"/>
        <w:rPr>
          <w:color w:val="auto"/>
          <w:sz w:val="24"/>
        </w:rPr>
      </w:pPr>
    </w:p>
    <w:p>
      <w:pPr>
        <w:keepNext/>
        <w:spacing w:line="360" w:lineRule="auto"/>
        <w:ind w:firstLine="482" w:firstLineChars="200"/>
        <w:rPr>
          <w:b/>
          <w:color w:val="auto"/>
          <w:sz w:val="24"/>
        </w:rPr>
      </w:pPr>
      <w:r>
        <w:rPr>
          <w:b/>
          <w:color w:val="auto"/>
          <w:sz w:val="24"/>
        </w:rPr>
        <w:t>（3）对DO：</w:t>
      </w:r>
    </w:p>
    <w:p>
      <w:pPr>
        <w:spacing w:before="100" w:beforeAutospacing="1" w:after="100" w:afterAutospacing="1"/>
        <w:jc w:val="center"/>
        <w:rPr>
          <w:color w:val="auto"/>
          <w:sz w:val="24"/>
        </w:rPr>
      </w:pPr>
      <w:r>
        <w:rPr>
          <w:i/>
          <w:color w:val="auto"/>
          <w:sz w:val="24"/>
        </w:rPr>
        <w:t>P</w:t>
      </w:r>
      <w:r>
        <w:rPr>
          <w:i/>
          <w:color w:val="auto"/>
          <w:sz w:val="24"/>
          <w:vertAlign w:val="subscript"/>
        </w:rPr>
        <w:t>i</w:t>
      </w:r>
      <w:r>
        <w:rPr>
          <w:color w:val="auto"/>
          <w:sz w:val="24"/>
        </w:rPr>
        <w:t>＝(</w:t>
      </w:r>
      <w:r>
        <w:rPr>
          <w:i/>
          <w:color w:val="auto"/>
          <w:sz w:val="24"/>
        </w:rPr>
        <w:t>C</w:t>
      </w:r>
      <w:r>
        <w:rPr>
          <w:i/>
          <w:color w:val="auto"/>
          <w:sz w:val="24"/>
          <w:vertAlign w:val="subscript"/>
        </w:rPr>
        <w:t>s</w:t>
      </w:r>
      <w:r>
        <w:rPr>
          <w:color w:val="auto"/>
          <w:sz w:val="24"/>
        </w:rPr>
        <w:t>-</w:t>
      </w:r>
      <w:r>
        <w:rPr>
          <w:i/>
          <w:color w:val="auto"/>
          <w:sz w:val="24"/>
        </w:rPr>
        <w:t>C</w:t>
      </w:r>
      <w:r>
        <w:rPr>
          <w:i/>
          <w:color w:val="auto"/>
          <w:sz w:val="24"/>
          <w:vertAlign w:val="subscript"/>
        </w:rPr>
        <w:t>i</w:t>
      </w:r>
      <w:r>
        <w:rPr>
          <w:color w:val="auto"/>
          <w:sz w:val="24"/>
        </w:rPr>
        <w:t>)/(</w:t>
      </w:r>
      <w:r>
        <w:rPr>
          <w:i/>
          <w:color w:val="auto"/>
          <w:sz w:val="24"/>
        </w:rPr>
        <w:t>C</w:t>
      </w:r>
      <w:r>
        <w:rPr>
          <w:i/>
          <w:color w:val="auto"/>
          <w:sz w:val="24"/>
          <w:vertAlign w:val="subscript"/>
        </w:rPr>
        <w:t>s</w:t>
      </w:r>
      <w:r>
        <w:rPr>
          <w:color w:val="auto"/>
          <w:sz w:val="24"/>
        </w:rPr>
        <w:t>-</w:t>
      </w:r>
      <w:r>
        <w:rPr>
          <w:i/>
          <w:color w:val="auto"/>
          <w:sz w:val="24"/>
        </w:rPr>
        <w:t>C</w:t>
      </w:r>
      <w:r>
        <w:rPr>
          <w:color w:val="auto"/>
          <w:sz w:val="24"/>
          <w:vertAlign w:val="subscript"/>
        </w:rPr>
        <w:t>0</w:t>
      </w:r>
      <w:r>
        <w:rPr>
          <w:i/>
          <w:color w:val="auto"/>
          <w:sz w:val="24"/>
          <w:vertAlign w:val="subscript"/>
        </w:rPr>
        <w:t>i</w:t>
      </w:r>
      <w:r>
        <w:rPr>
          <w:color w:val="auto"/>
          <w:sz w:val="24"/>
        </w:rPr>
        <w:t>)</w:t>
      </w:r>
    </w:p>
    <w:p>
      <w:pPr>
        <w:spacing w:line="360" w:lineRule="auto"/>
        <w:ind w:firstLine="480" w:firstLineChars="200"/>
        <w:rPr>
          <w:color w:val="auto"/>
          <w:sz w:val="24"/>
        </w:rPr>
      </w:pPr>
      <w:r>
        <w:rPr>
          <w:color w:val="auto"/>
          <w:sz w:val="24"/>
        </w:rPr>
        <w:t>式中：</w:t>
      </w:r>
      <w:r>
        <w:rPr>
          <w:i/>
          <w:color w:val="auto"/>
          <w:sz w:val="24"/>
        </w:rPr>
        <w:t>P</w:t>
      </w:r>
      <w:r>
        <w:rPr>
          <w:i/>
          <w:color w:val="auto"/>
          <w:sz w:val="24"/>
          <w:vertAlign w:val="subscript"/>
        </w:rPr>
        <w:t>i</w:t>
      </w:r>
      <w:r>
        <w:rPr>
          <w:color w:val="auto"/>
          <w:sz w:val="24"/>
        </w:rPr>
        <w:tab/>
      </w:r>
      <w:r>
        <w:rPr>
          <w:color w:val="auto"/>
          <w:sz w:val="24"/>
        </w:rPr>
        <w:t>——浓度指数</w:t>
      </w:r>
    </w:p>
    <w:p>
      <w:pPr>
        <w:spacing w:line="360" w:lineRule="auto"/>
        <w:ind w:firstLine="1200" w:firstLineChars="500"/>
        <w:rPr>
          <w:color w:val="auto"/>
          <w:sz w:val="24"/>
        </w:rPr>
      </w:pPr>
      <w:r>
        <w:rPr>
          <w:i/>
          <w:color w:val="auto"/>
          <w:sz w:val="24"/>
        </w:rPr>
        <w:t>C</w:t>
      </w:r>
      <w:r>
        <w:rPr>
          <w:i/>
          <w:color w:val="auto"/>
          <w:sz w:val="24"/>
          <w:vertAlign w:val="subscript"/>
        </w:rPr>
        <w:t>i</w:t>
      </w:r>
      <w:r>
        <w:rPr>
          <w:color w:val="auto"/>
          <w:sz w:val="24"/>
        </w:rPr>
        <w:tab/>
      </w:r>
      <w:r>
        <w:rPr>
          <w:color w:val="auto"/>
          <w:sz w:val="24"/>
        </w:rPr>
        <w:t>——实测浓度值，本报告采用实测值中的最小值</w:t>
      </w:r>
    </w:p>
    <w:p>
      <w:pPr>
        <w:spacing w:line="360" w:lineRule="auto"/>
        <w:ind w:firstLine="1200" w:firstLineChars="500"/>
        <w:rPr>
          <w:color w:val="auto"/>
          <w:sz w:val="24"/>
        </w:rPr>
      </w:pPr>
      <w:r>
        <w:rPr>
          <w:i/>
          <w:color w:val="auto"/>
          <w:sz w:val="24"/>
        </w:rPr>
        <w:t>C</w:t>
      </w:r>
      <w:r>
        <w:rPr>
          <w:color w:val="auto"/>
          <w:sz w:val="24"/>
          <w:vertAlign w:val="subscript"/>
        </w:rPr>
        <w:t>0</w:t>
      </w:r>
      <w:r>
        <w:rPr>
          <w:i/>
          <w:color w:val="auto"/>
          <w:sz w:val="24"/>
          <w:vertAlign w:val="subscript"/>
        </w:rPr>
        <w:t>i</w:t>
      </w:r>
      <w:r>
        <w:rPr>
          <w:color w:val="auto"/>
          <w:sz w:val="24"/>
        </w:rPr>
        <w:tab/>
      </w:r>
      <w:r>
        <w:rPr>
          <w:color w:val="auto"/>
          <w:sz w:val="24"/>
        </w:rPr>
        <w:t>——标准值</w:t>
      </w:r>
    </w:p>
    <w:p>
      <w:pPr>
        <w:spacing w:line="360" w:lineRule="auto"/>
        <w:ind w:firstLine="1200" w:firstLineChars="500"/>
        <w:rPr>
          <w:color w:val="auto"/>
          <w:sz w:val="24"/>
        </w:rPr>
      </w:pPr>
      <w:r>
        <w:rPr>
          <w:i/>
          <w:color w:val="auto"/>
          <w:sz w:val="24"/>
        </w:rPr>
        <w:t>C</w:t>
      </w:r>
      <w:r>
        <w:rPr>
          <w:i/>
          <w:color w:val="auto"/>
          <w:sz w:val="24"/>
          <w:vertAlign w:val="subscript"/>
        </w:rPr>
        <w:t>s</w:t>
      </w:r>
      <w:r>
        <w:rPr>
          <w:color w:val="auto"/>
          <w:sz w:val="24"/>
        </w:rPr>
        <w:tab/>
      </w:r>
      <w:r>
        <w:rPr>
          <w:color w:val="auto"/>
          <w:sz w:val="24"/>
        </w:rPr>
        <w:t>——监测时水温（</w:t>
      </w:r>
      <w:r>
        <w:rPr>
          <w:i/>
          <w:color w:val="auto"/>
          <w:sz w:val="24"/>
        </w:rPr>
        <w:t>T</w:t>
      </w:r>
      <w:r>
        <w:rPr>
          <w:color w:val="auto"/>
          <w:sz w:val="24"/>
        </w:rPr>
        <w:t>）下的饱和溶解氧值，</w:t>
      </w:r>
      <w:r>
        <w:rPr>
          <w:i/>
          <w:color w:val="auto"/>
          <w:sz w:val="24"/>
        </w:rPr>
        <w:t>C</w:t>
      </w:r>
      <w:r>
        <w:rPr>
          <w:i/>
          <w:color w:val="auto"/>
          <w:sz w:val="24"/>
          <w:vertAlign w:val="subscript"/>
        </w:rPr>
        <w:t>s</w:t>
      </w:r>
      <w:r>
        <w:rPr>
          <w:color w:val="auto"/>
          <w:sz w:val="24"/>
        </w:rPr>
        <w:t>=468/(31.6+</w:t>
      </w:r>
      <w:r>
        <w:rPr>
          <w:i/>
          <w:color w:val="auto"/>
          <w:sz w:val="24"/>
        </w:rPr>
        <w:t>T</w:t>
      </w:r>
      <w:r>
        <w:rPr>
          <w:color w:val="auto"/>
          <w:sz w:val="24"/>
        </w:rPr>
        <w:t>)</w:t>
      </w:r>
    </w:p>
    <w:p>
      <w:pPr>
        <w:spacing w:line="360" w:lineRule="auto"/>
        <w:ind w:firstLine="480" w:firstLineChars="200"/>
        <w:rPr>
          <w:color w:val="auto"/>
          <w:sz w:val="24"/>
        </w:rPr>
      </w:pPr>
    </w:p>
    <w:p>
      <w:pPr>
        <w:spacing w:line="360" w:lineRule="auto"/>
        <w:ind w:firstLine="480" w:firstLineChars="200"/>
        <w:rPr>
          <w:color w:val="auto"/>
          <w:sz w:val="24"/>
        </w:rPr>
      </w:pPr>
      <w:r>
        <w:rPr>
          <w:color w:val="auto"/>
          <w:sz w:val="24"/>
        </w:rPr>
        <w:t>水质参数的标准指数大于1，表明该水质参数超过了规定的水质标准，不能满足使用要求。标准指数越大，污染程度越重；标准指数越小，污染程度越轻。</w:t>
      </w:r>
    </w:p>
    <w:p>
      <w:pPr>
        <w:pStyle w:val="7"/>
        <w:numPr>
          <w:ilvl w:val="2"/>
          <w:numId w:val="0"/>
        </w:numPr>
        <w:tabs>
          <w:tab w:val="left" w:pos="2310"/>
          <w:tab w:val="clear" w:pos="720"/>
        </w:tabs>
        <w:adjustRightInd/>
        <w:spacing w:before="159" w:after="79" w:afterLines="25"/>
        <w:jc w:val="both"/>
        <w:textAlignment w:val="auto"/>
        <w:rPr>
          <w:color w:val="auto"/>
        </w:rPr>
      </w:pPr>
      <w:bookmarkStart w:id="539" w:name="_Toc9185"/>
      <w:r>
        <w:rPr>
          <w:rFonts w:hint="eastAsia"/>
          <w:color w:val="auto"/>
        </w:rPr>
        <w:t xml:space="preserve">5.4.4  </w:t>
      </w:r>
      <w:r>
        <w:rPr>
          <w:color w:val="auto"/>
        </w:rPr>
        <w:t>地表水环境质量现状监测结果与评价</w:t>
      </w:r>
      <w:bookmarkEnd w:id="539"/>
    </w:p>
    <w:p>
      <w:pPr>
        <w:spacing w:line="360" w:lineRule="auto"/>
        <w:ind w:firstLine="480" w:firstLineChars="200"/>
        <w:rPr>
          <w:b/>
          <w:color w:val="auto"/>
          <w:kern w:val="0"/>
          <w:sz w:val="24"/>
        </w:rPr>
      </w:pPr>
      <w:r>
        <w:rPr>
          <w:color w:val="auto"/>
          <w:sz w:val="24"/>
        </w:rPr>
        <w:t>地表水水质现状监测结果见</w:t>
      </w:r>
      <w:r>
        <w:rPr>
          <w:rFonts w:hint="eastAsia"/>
          <w:color w:val="auto"/>
          <w:sz w:val="24"/>
        </w:rPr>
        <w:t>下表5.4-4</w:t>
      </w:r>
      <w:r>
        <w:rPr>
          <w:color w:val="auto"/>
          <w:sz w:val="24"/>
        </w:rPr>
        <w:t>，地表水水质指数评价结果见表</w:t>
      </w:r>
      <w:r>
        <w:rPr>
          <w:rFonts w:hint="eastAsia"/>
          <w:color w:val="auto"/>
          <w:sz w:val="24"/>
        </w:rPr>
        <w:t>5</w:t>
      </w:r>
      <w:r>
        <w:rPr>
          <w:color w:val="auto"/>
          <w:sz w:val="24"/>
        </w:rPr>
        <w:t>.4-</w:t>
      </w:r>
      <w:r>
        <w:rPr>
          <w:rFonts w:hint="eastAsia"/>
          <w:color w:val="auto"/>
          <w:sz w:val="24"/>
        </w:rPr>
        <w:t>5</w:t>
      </w:r>
      <w:r>
        <w:rPr>
          <w:color w:val="auto"/>
          <w:sz w:val="24"/>
        </w:rPr>
        <w:t>。</w:t>
      </w:r>
    </w:p>
    <w:p>
      <w:pPr>
        <w:pStyle w:val="36"/>
        <w:rPr>
          <w:color w:val="auto"/>
          <w:szCs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bookmarkStart w:id="540" w:name="_Ref4230659"/>
      <w:r>
        <w:rPr>
          <w:color w:val="auto"/>
        </w:rPr>
        <w:t>由监测结果可见，沙埗溪水质中悬浮物满足《环境质量报告书编写技术规范》的</w:t>
      </w:r>
      <w:r>
        <w:rPr>
          <w:rFonts w:hint="eastAsia"/>
          <w:color w:val="auto"/>
        </w:rPr>
        <w:t>二级标准1小时平均浓度限值</w:t>
      </w:r>
      <w:r>
        <w:rPr>
          <w:color w:val="auto"/>
        </w:rPr>
        <w:t>，其余各监测因子均符合《地表水环境质量标准》（GB3838-2002）中Ⅳ类水质的要求。</w:t>
      </w:r>
    </w:p>
    <w:p>
      <w:pPr>
        <w:pStyle w:val="35"/>
        <w:spacing w:before="159" w:beforeLines="50" w:after="0"/>
        <w:rPr>
          <w:rFonts w:eastAsia="宋体"/>
          <w:color w:val="auto"/>
          <w:szCs w:val="24"/>
        </w:rPr>
      </w:pPr>
      <w:r>
        <w:rPr>
          <w:rFonts w:eastAsia="宋体"/>
          <w:color w:val="auto"/>
          <w:szCs w:val="24"/>
        </w:rPr>
        <w:t>表</w:t>
      </w:r>
      <w:r>
        <w:rPr>
          <w:rFonts w:hint="eastAsia" w:eastAsia="宋体"/>
          <w:color w:val="auto"/>
          <w:szCs w:val="24"/>
        </w:rPr>
        <w:t>5</w:t>
      </w:r>
      <w:r>
        <w:rPr>
          <w:rFonts w:eastAsia="宋体"/>
          <w:color w:val="auto"/>
          <w:szCs w:val="24"/>
        </w:rPr>
        <w:t>.4-</w:t>
      </w:r>
      <w:r>
        <w:rPr>
          <w:rFonts w:hint="eastAsia" w:eastAsia="宋体"/>
          <w:color w:val="auto"/>
          <w:szCs w:val="24"/>
        </w:rPr>
        <w:t xml:space="preserve">4  </w:t>
      </w:r>
      <w:r>
        <w:rPr>
          <w:rFonts w:eastAsia="宋体"/>
          <w:color w:val="auto"/>
          <w:szCs w:val="24"/>
        </w:rPr>
        <w:t>地表水水质现状监测结果</w:t>
      </w:r>
    </w:p>
    <w:p>
      <w:pPr>
        <w:rPr>
          <w:color w:val="auto"/>
        </w:rPr>
      </w:pPr>
    </w:p>
    <w:p>
      <w:pPr>
        <w:jc w:val="right"/>
        <w:rPr>
          <w:b/>
          <w:color w:val="auto"/>
        </w:rPr>
      </w:pPr>
      <w:r>
        <w:rPr>
          <w:b/>
          <w:color w:val="auto"/>
        </w:rPr>
        <w:t>单位：水温为℃，pH值无量纲，其他项目为mg/L</w:t>
      </w:r>
    </w:p>
    <w:tbl>
      <w:tblPr>
        <w:tblStyle w:val="23"/>
        <w:tblW w:w="14220" w:type="dxa"/>
        <w:jc w:val="center"/>
        <w:tblLayout w:type="fixed"/>
        <w:tblCellMar>
          <w:top w:w="0" w:type="dxa"/>
          <w:left w:w="108" w:type="dxa"/>
          <w:bottom w:w="0" w:type="dxa"/>
          <w:right w:w="108" w:type="dxa"/>
        </w:tblCellMar>
      </w:tblPr>
      <w:tblGrid>
        <w:gridCol w:w="695"/>
        <w:gridCol w:w="1429"/>
        <w:gridCol w:w="994"/>
        <w:gridCol w:w="994"/>
        <w:gridCol w:w="994"/>
        <w:gridCol w:w="995"/>
        <w:gridCol w:w="994"/>
        <w:gridCol w:w="1257"/>
        <w:gridCol w:w="914"/>
        <w:gridCol w:w="977"/>
        <w:gridCol w:w="994"/>
        <w:gridCol w:w="995"/>
        <w:gridCol w:w="1088"/>
        <w:gridCol w:w="900"/>
      </w:tblGrid>
      <w:tr>
        <w:tblPrEx>
          <w:tblCellMar>
            <w:top w:w="0" w:type="dxa"/>
            <w:left w:w="108" w:type="dxa"/>
            <w:bottom w:w="0" w:type="dxa"/>
            <w:right w:w="108" w:type="dxa"/>
          </w:tblCellMar>
        </w:tblPrEx>
        <w:trPr>
          <w:trHeight w:val="285" w:hRule="atLeast"/>
          <w:jc w:val="center"/>
        </w:trPr>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auto"/>
                <w:sz w:val="22"/>
              </w:rPr>
            </w:pPr>
            <w:r>
              <w:rPr>
                <w:b/>
                <w:bCs/>
                <w:color w:val="auto"/>
                <w:sz w:val="22"/>
              </w:rPr>
              <w:t>检测点位</w:t>
            </w:r>
          </w:p>
        </w:tc>
        <w:tc>
          <w:tcPr>
            <w:tcW w:w="1429"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统计项目</w:t>
            </w:r>
          </w:p>
        </w:tc>
        <w:tc>
          <w:tcPr>
            <w:tcW w:w="99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水温</w:t>
            </w:r>
          </w:p>
        </w:tc>
        <w:tc>
          <w:tcPr>
            <w:tcW w:w="99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pH值</w:t>
            </w:r>
          </w:p>
        </w:tc>
        <w:tc>
          <w:tcPr>
            <w:tcW w:w="99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溶解氧</w:t>
            </w:r>
          </w:p>
        </w:tc>
        <w:tc>
          <w:tcPr>
            <w:tcW w:w="995"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高锰酸盐指数</w:t>
            </w:r>
          </w:p>
        </w:tc>
        <w:tc>
          <w:tcPr>
            <w:tcW w:w="99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BOD5</w:t>
            </w:r>
          </w:p>
        </w:tc>
        <w:tc>
          <w:tcPr>
            <w:tcW w:w="1257"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COD</w:t>
            </w:r>
          </w:p>
        </w:tc>
        <w:tc>
          <w:tcPr>
            <w:tcW w:w="91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氨氮</w:t>
            </w:r>
          </w:p>
        </w:tc>
        <w:tc>
          <w:tcPr>
            <w:tcW w:w="977"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总磷</w:t>
            </w:r>
          </w:p>
        </w:tc>
        <w:tc>
          <w:tcPr>
            <w:tcW w:w="99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总氮</w:t>
            </w:r>
          </w:p>
        </w:tc>
        <w:tc>
          <w:tcPr>
            <w:tcW w:w="995"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LAS</w:t>
            </w:r>
          </w:p>
        </w:tc>
        <w:tc>
          <w:tcPr>
            <w:tcW w:w="1088"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铜</w:t>
            </w:r>
          </w:p>
        </w:tc>
        <w:tc>
          <w:tcPr>
            <w:tcW w:w="900"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sz w:val="22"/>
              </w:rPr>
            </w:pPr>
            <w:r>
              <w:rPr>
                <w:b/>
                <w:bCs/>
                <w:color w:val="auto"/>
                <w:sz w:val="22"/>
              </w:rPr>
              <w:t>锌</w:t>
            </w:r>
          </w:p>
        </w:tc>
      </w:tr>
      <w:tr>
        <w:tblPrEx>
          <w:tblCellMar>
            <w:top w:w="0" w:type="dxa"/>
            <w:left w:w="108" w:type="dxa"/>
            <w:bottom w:w="0" w:type="dxa"/>
            <w:right w:w="108" w:type="dxa"/>
          </w:tblCellMar>
        </w:tblPrEx>
        <w:trPr>
          <w:trHeight w:val="285" w:hRule="atLeast"/>
          <w:jc w:val="center"/>
        </w:trPr>
        <w:tc>
          <w:tcPr>
            <w:tcW w:w="695" w:type="dxa"/>
            <w:vMerge w:val="restart"/>
            <w:tcBorders>
              <w:top w:val="nil"/>
              <w:left w:val="single" w:color="auto" w:sz="4" w:space="0"/>
              <w:bottom w:val="single" w:color="000000" w:sz="4" w:space="0"/>
              <w:right w:val="single" w:color="auto" w:sz="4" w:space="0"/>
            </w:tcBorders>
            <w:shd w:val="clear" w:color="auto" w:fill="auto"/>
            <w:vAlign w:val="center"/>
          </w:tcPr>
          <w:p>
            <w:pPr>
              <w:jc w:val="center"/>
              <w:rPr>
                <w:color w:val="auto"/>
                <w:sz w:val="22"/>
              </w:rPr>
            </w:pPr>
            <w:r>
              <w:rPr>
                <w:color w:val="auto"/>
                <w:sz w:val="22"/>
              </w:rPr>
              <w:t>W1</w:t>
            </w: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9月10日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6.6</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0.7</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28.4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45.3</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183</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4.08</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0.38</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5.12</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0.086</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0.125</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9月11日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6.68</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0.8</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52.9</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194</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3.9</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0.65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5.66</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0.068</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0.107</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9月12日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6.72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0.8</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29.4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49.2</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172</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3.8</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0.64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5.66</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0.092</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0.139</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平均值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33.13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6.67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0.77</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28.27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49.13</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183</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3.9.</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0.56</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5.48</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0.082</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0.124</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标准限值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30</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达标率</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r>
      <w:tr>
        <w:tblPrEx>
          <w:tblCellMar>
            <w:top w:w="0" w:type="dxa"/>
            <w:left w:w="108" w:type="dxa"/>
            <w:bottom w:w="0" w:type="dxa"/>
            <w:right w:w="108" w:type="dxa"/>
          </w:tblCellMar>
        </w:tblPrEx>
        <w:trPr>
          <w:trHeight w:val="285" w:hRule="atLeast"/>
          <w:jc w:val="center"/>
        </w:trPr>
        <w:tc>
          <w:tcPr>
            <w:tcW w:w="695" w:type="dxa"/>
            <w:vMerge w:val="restart"/>
            <w:tcBorders>
              <w:top w:val="nil"/>
              <w:left w:val="single" w:color="auto" w:sz="4" w:space="0"/>
              <w:bottom w:val="single" w:color="000000" w:sz="4" w:space="0"/>
              <w:right w:val="single" w:color="auto" w:sz="4" w:space="0"/>
            </w:tcBorders>
            <w:shd w:val="clear" w:color="auto" w:fill="auto"/>
            <w:vAlign w:val="center"/>
          </w:tcPr>
          <w:p>
            <w:pPr>
              <w:jc w:val="center"/>
              <w:rPr>
                <w:color w:val="auto"/>
                <w:sz w:val="22"/>
              </w:rPr>
            </w:pPr>
            <w:r>
              <w:rPr>
                <w:color w:val="auto"/>
                <w:sz w:val="22"/>
              </w:rPr>
              <w:t>W2</w:t>
            </w: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9月10日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6.82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0.4</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23.3</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81</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1.83</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1.65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4.19</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0.00009L</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0.114</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9月11日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6.88</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28.4</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86</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1.85</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2.06</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2.48</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0.00009L</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0.129</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9月12日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20.2</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75</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1.91</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2.33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3.8</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0.00009L</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0.116</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平均值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33.33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6.87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0.47</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23.97</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80. 67</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1.86</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2.01</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3.49</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0.00009L</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0.120</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标准限值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30</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达标率</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r>
      <w:tr>
        <w:tblPrEx>
          <w:tblCellMar>
            <w:top w:w="0" w:type="dxa"/>
            <w:left w:w="108" w:type="dxa"/>
            <w:bottom w:w="0" w:type="dxa"/>
            <w:right w:w="108" w:type="dxa"/>
          </w:tblCellMar>
        </w:tblPrEx>
        <w:trPr>
          <w:trHeight w:val="285" w:hRule="atLeast"/>
          <w:jc w:val="center"/>
        </w:trPr>
        <w:tc>
          <w:tcPr>
            <w:tcW w:w="695" w:type="dxa"/>
            <w:vMerge w:val="restart"/>
            <w:tcBorders>
              <w:top w:val="nil"/>
              <w:left w:val="single" w:color="auto" w:sz="4" w:space="0"/>
              <w:bottom w:val="single" w:color="000000" w:sz="4" w:space="0"/>
              <w:right w:val="single" w:color="auto" w:sz="4" w:space="0"/>
            </w:tcBorders>
            <w:shd w:val="clear" w:color="auto" w:fill="auto"/>
            <w:vAlign w:val="center"/>
          </w:tcPr>
          <w:p>
            <w:pPr>
              <w:jc w:val="center"/>
              <w:rPr>
                <w:color w:val="auto"/>
                <w:sz w:val="22"/>
              </w:rPr>
            </w:pPr>
            <w:r>
              <w:rPr>
                <w:color w:val="auto"/>
                <w:sz w:val="22"/>
              </w:rPr>
              <w:t>W3</w:t>
            </w: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9月10日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32.6</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7.41</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0.9</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16</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0.923</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1.75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0.00512</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0.294</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9月11日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32.4</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0.9</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10.8</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44</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1.4</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0.6</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2.34</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0.00514</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0.232</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9月12日</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32</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7.49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5.5</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24</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0.737</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0.73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3.02</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0.00509</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0.269</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平均值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32.33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7.47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0.93</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5.03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6.67</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28</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1.02</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0.57</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2.37</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0.05L</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0.005117</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0.265</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标准限值</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6~9</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30</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1.5</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0.3</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2</w:t>
            </w:r>
          </w:p>
        </w:tc>
      </w:tr>
      <w:tr>
        <w:tblPrEx>
          <w:tblCellMar>
            <w:top w:w="0" w:type="dxa"/>
            <w:left w:w="108" w:type="dxa"/>
            <w:bottom w:w="0" w:type="dxa"/>
            <w:right w:w="108" w:type="dxa"/>
          </w:tblCellMar>
        </w:tblPrEx>
        <w:trPr>
          <w:trHeight w:val="285" w:hRule="atLeast"/>
          <w:jc w:val="center"/>
        </w:trPr>
        <w:tc>
          <w:tcPr>
            <w:tcW w:w="695" w:type="dxa"/>
            <w:vMerge w:val="continue"/>
            <w:tcBorders>
              <w:top w:val="nil"/>
              <w:left w:val="single" w:color="auto" w:sz="4" w:space="0"/>
              <w:bottom w:val="single" w:color="000000" w:sz="4" w:space="0"/>
              <w:right w:val="single" w:color="auto" w:sz="4" w:space="0"/>
            </w:tcBorders>
            <w:shd w:val="clear" w:color="auto" w:fill="auto"/>
            <w:vAlign w:val="center"/>
          </w:tcPr>
          <w:p>
            <w:pPr>
              <w:rPr>
                <w:color w:val="auto"/>
                <w:sz w:val="22"/>
              </w:rPr>
            </w:pPr>
          </w:p>
        </w:tc>
        <w:tc>
          <w:tcPr>
            <w:tcW w:w="1429"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达标率</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66.66%</w:t>
            </w:r>
          </w:p>
        </w:tc>
        <w:tc>
          <w:tcPr>
            <w:tcW w:w="125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33.33%</w:t>
            </w:r>
          </w:p>
        </w:tc>
        <w:tc>
          <w:tcPr>
            <w:tcW w:w="91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77"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4"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0%</w:t>
            </w:r>
          </w:p>
        </w:tc>
        <w:tc>
          <w:tcPr>
            <w:tcW w:w="995"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1088"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c>
          <w:tcPr>
            <w:tcW w:w="900" w:type="dxa"/>
            <w:tcBorders>
              <w:top w:val="nil"/>
              <w:left w:val="nil"/>
              <w:bottom w:val="single" w:color="auto" w:sz="4" w:space="0"/>
              <w:right w:val="single" w:color="auto" w:sz="4" w:space="0"/>
            </w:tcBorders>
            <w:shd w:val="clear" w:color="auto" w:fill="auto"/>
            <w:vAlign w:val="center"/>
          </w:tcPr>
          <w:p>
            <w:pPr>
              <w:jc w:val="center"/>
              <w:rPr>
                <w:color w:val="auto"/>
                <w:sz w:val="22"/>
              </w:rPr>
            </w:pPr>
            <w:r>
              <w:rPr>
                <w:color w:val="auto"/>
                <w:sz w:val="22"/>
              </w:rPr>
              <w:t>100%</w:t>
            </w:r>
          </w:p>
        </w:tc>
      </w:tr>
    </w:tbl>
    <w:p>
      <w:pPr>
        <w:jc w:val="left"/>
        <w:rPr>
          <w:b/>
          <w:color w:val="auto"/>
        </w:rPr>
      </w:pPr>
    </w:p>
    <w:p>
      <w:pPr>
        <w:pStyle w:val="2"/>
        <w:ind w:firstLine="402"/>
        <w:rPr>
          <w:rFonts w:ascii="Times New Roman"/>
          <w:b/>
          <w:color w:val="auto"/>
        </w:rPr>
      </w:pPr>
    </w:p>
    <w:p>
      <w:pPr>
        <w:rPr>
          <w:b/>
          <w:color w:val="auto"/>
        </w:rPr>
      </w:pPr>
    </w:p>
    <w:p>
      <w:pPr>
        <w:jc w:val="left"/>
        <w:rPr>
          <w:b/>
          <w:color w:val="auto"/>
        </w:rPr>
      </w:pPr>
      <w:r>
        <w:rPr>
          <w:rFonts w:hint="eastAsia"/>
          <w:b/>
          <w:color w:val="auto"/>
        </w:rPr>
        <w:t>续上表</w:t>
      </w:r>
    </w:p>
    <w:tbl>
      <w:tblPr>
        <w:tblStyle w:val="23"/>
        <w:tblW w:w="14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138"/>
        <w:gridCol w:w="1162"/>
        <w:gridCol w:w="1141"/>
        <w:gridCol w:w="994"/>
        <w:gridCol w:w="994"/>
        <w:gridCol w:w="994"/>
        <w:gridCol w:w="1377"/>
        <w:gridCol w:w="925"/>
        <w:gridCol w:w="1113"/>
        <w:gridCol w:w="730"/>
        <w:gridCol w:w="994"/>
        <w:gridCol w:w="994"/>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670" w:type="dxa"/>
            <w:shd w:val="clear" w:color="auto" w:fill="auto"/>
            <w:vAlign w:val="center"/>
          </w:tcPr>
          <w:p>
            <w:pPr>
              <w:jc w:val="center"/>
              <w:rPr>
                <w:b/>
                <w:bCs/>
                <w:color w:val="auto"/>
                <w:szCs w:val="21"/>
              </w:rPr>
            </w:pPr>
            <w:r>
              <w:rPr>
                <w:b/>
                <w:bCs/>
                <w:color w:val="auto"/>
                <w:szCs w:val="21"/>
              </w:rPr>
              <w:t>检测点位</w:t>
            </w:r>
          </w:p>
        </w:tc>
        <w:tc>
          <w:tcPr>
            <w:tcW w:w="1138" w:type="dxa"/>
            <w:shd w:val="clear" w:color="auto" w:fill="auto"/>
            <w:vAlign w:val="center"/>
          </w:tcPr>
          <w:p>
            <w:pPr>
              <w:jc w:val="center"/>
              <w:rPr>
                <w:b/>
                <w:bCs/>
                <w:color w:val="auto"/>
                <w:szCs w:val="21"/>
              </w:rPr>
            </w:pPr>
            <w:r>
              <w:rPr>
                <w:b/>
                <w:bCs/>
                <w:color w:val="auto"/>
                <w:szCs w:val="21"/>
              </w:rPr>
              <w:t>统计项目</w:t>
            </w:r>
          </w:p>
        </w:tc>
        <w:tc>
          <w:tcPr>
            <w:tcW w:w="1162" w:type="dxa"/>
            <w:shd w:val="clear" w:color="auto" w:fill="auto"/>
            <w:vAlign w:val="center"/>
          </w:tcPr>
          <w:p>
            <w:pPr>
              <w:jc w:val="center"/>
              <w:rPr>
                <w:b/>
                <w:bCs/>
                <w:color w:val="auto"/>
                <w:szCs w:val="21"/>
              </w:rPr>
            </w:pPr>
            <w:r>
              <w:rPr>
                <w:b/>
                <w:bCs/>
                <w:color w:val="auto"/>
                <w:szCs w:val="21"/>
              </w:rPr>
              <w:t>镉</w:t>
            </w:r>
          </w:p>
        </w:tc>
        <w:tc>
          <w:tcPr>
            <w:tcW w:w="1141" w:type="dxa"/>
            <w:shd w:val="clear" w:color="auto" w:fill="auto"/>
            <w:vAlign w:val="center"/>
          </w:tcPr>
          <w:p>
            <w:pPr>
              <w:jc w:val="center"/>
              <w:rPr>
                <w:b/>
                <w:bCs/>
                <w:color w:val="auto"/>
                <w:szCs w:val="21"/>
              </w:rPr>
            </w:pPr>
            <w:r>
              <w:rPr>
                <w:b/>
                <w:bCs/>
                <w:color w:val="auto"/>
                <w:szCs w:val="21"/>
              </w:rPr>
              <w:t>铅</w:t>
            </w:r>
          </w:p>
        </w:tc>
        <w:tc>
          <w:tcPr>
            <w:tcW w:w="994" w:type="dxa"/>
            <w:shd w:val="clear" w:color="auto" w:fill="auto"/>
            <w:vAlign w:val="center"/>
          </w:tcPr>
          <w:p>
            <w:pPr>
              <w:jc w:val="center"/>
              <w:rPr>
                <w:b/>
                <w:bCs/>
                <w:color w:val="auto"/>
                <w:szCs w:val="21"/>
              </w:rPr>
            </w:pPr>
            <w:r>
              <w:rPr>
                <w:b/>
                <w:bCs/>
                <w:color w:val="auto"/>
                <w:szCs w:val="21"/>
              </w:rPr>
              <w:t>氰化物</w:t>
            </w:r>
          </w:p>
        </w:tc>
        <w:tc>
          <w:tcPr>
            <w:tcW w:w="994" w:type="dxa"/>
            <w:shd w:val="clear" w:color="auto" w:fill="auto"/>
            <w:vAlign w:val="center"/>
          </w:tcPr>
          <w:p>
            <w:pPr>
              <w:jc w:val="center"/>
              <w:rPr>
                <w:b/>
                <w:bCs/>
                <w:color w:val="auto"/>
                <w:szCs w:val="21"/>
              </w:rPr>
            </w:pPr>
            <w:r>
              <w:rPr>
                <w:b/>
                <w:bCs/>
                <w:color w:val="auto"/>
                <w:szCs w:val="21"/>
              </w:rPr>
              <w:t>氟化物</w:t>
            </w:r>
          </w:p>
        </w:tc>
        <w:tc>
          <w:tcPr>
            <w:tcW w:w="994" w:type="dxa"/>
            <w:shd w:val="clear" w:color="auto" w:fill="auto"/>
            <w:vAlign w:val="center"/>
          </w:tcPr>
          <w:p>
            <w:pPr>
              <w:jc w:val="center"/>
              <w:rPr>
                <w:b/>
                <w:bCs/>
                <w:color w:val="auto"/>
                <w:szCs w:val="21"/>
              </w:rPr>
            </w:pPr>
            <w:r>
              <w:rPr>
                <w:b/>
                <w:bCs/>
                <w:color w:val="auto"/>
                <w:szCs w:val="21"/>
              </w:rPr>
              <w:t>挥发酚</w:t>
            </w:r>
          </w:p>
        </w:tc>
        <w:tc>
          <w:tcPr>
            <w:tcW w:w="1377" w:type="dxa"/>
            <w:shd w:val="clear" w:color="auto" w:fill="auto"/>
            <w:vAlign w:val="center"/>
          </w:tcPr>
          <w:p>
            <w:pPr>
              <w:jc w:val="center"/>
              <w:rPr>
                <w:b/>
                <w:bCs/>
                <w:color w:val="auto"/>
                <w:szCs w:val="21"/>
              </w:rPr>
            </w:pPr>
            <w:r>
              <w:rPr>
                <w:b/>
                <w:bCs/>
                <w:color w:val="auto"/>
                <w:szCs w:val="21"/>
              </w:rPr>
              <w:t>粪大肠菌群</w:t>
            </w:r>
          </w:p>
        </w:tc>
        <w:tc>
          <w:tcPr>
            <w:tcW w:w="925" w:type="dxa"/>
            <w:shd w:val="clear" w:color="auto" w:fill="auto"/>
            <w:vAlign w:val="center"/>
          </w:tcPr>
          <w:p>
            <w:pPr>
              <w:jc w:val="center"/>
              <w:rPr>
                <w:b/>
                <w:bCs/>
                <w:color w:val="auto"/>
                <w:szCs w:val="21"/>
              </w:rPr>
            </w:pPr>
            <w:r>
              <w:rPr>
                <w:b/>
                <w:bCs/>
                <w:color w:val="auto"/>
                <w:szCs w:val="21"/>
              </w:rPr>
              <w:t>硫化物</w:t>
            </w:r>
          </w:p>
        </w:tc>
        <w:tc>
          <w:tcPr>
            <w:tcW w:w="1113" w:type="dxa"/>
            <w:shd w:val="clear" w:color="auto" w:fill="auto"/>
            <w:vAlign w:val="center"/>
          </w:tcPr>
          <w:p>
            <w:pPr>
              <w:jc w:val="center"/>
              <w:rPr>
                <w:b/>
                <w:bCs/>
                <w:color w:val="auto"/>
                <w:szCs w:val="21"/>
              </w:rPr>
            </w:pPr>
            <w:r>
              <w:rPr>
                <w:b/>
                <w:bCs/>
                <w:color w:val="auto"/>
                <w:szCs w:val="21"/>
              </w:rPr>
              <w:t>汞</w:t>
            </w:r>
          </w:p>
        </w:tc>
        <w:tc>
          <w:tcPr>
            <w:tcW w:w="730" w:type="dxa"/>
            <w:shd w:val="clear" w:color="auto" w:fill="auto"/>
            <w:vAlign w:val="center"/>
          </w:tcPr>
          <w:p>
            <w:pPr>
              <w:jc w:val="center"/>
              <w:rPr>
                <w:b/>
                <w:bCs/>
                <w:color w:val="auto"/>
                <w:szCs w:val="21"/>
              </w:rPr>
            </w:pPr>
            <w:r>
              <w:rPr>
                <w:b/>
                <w:bCs/>
                <w:color w:val="auto"/>
                <w:szCs w:val="21"/>
              </w:rPr>
              <w:t>砷</w:t>
            </w:r>
          </w:p>
        </w:tc>
        <w:tc>
          <w:tcPr>
            <w:tcW w:w="994" w:type="dxa"/>
            <w:shd w:val="clear" w:color="auto" w:fill="auto"/>
            <w:vAlign w:val="center"/>
          </w:tcPr>
          <w:p>
            <w:pPr>
              <w:jc w:val="center"/>
              <w:rPr>
                <w:b/>
                <w:bCs/>
                <w:color w:val="auto"/>
                <w:szCs w:val="21"/>
              </w:rPr>
            </w:pPr>
            <w:r>
              <w:rPr>
                <w:b/>
                <w:bCs/>
                <w:color w:val="auto"/>
                <w:szCs w:val="21"/>
              </w:rPr>
              <w:t>硒</w:t>
            </w:r>
          </w:p>
        </w:tc>
        <w:tc>
          <w:tcPr>
            <w:tcW w:w="994" w:type="dxa"/>
            <w:shd w:val="clear" w:color="auto" w:fill="auto"/>
            <w:vAlign w:val="center"/>
          </w:tcPr>
          <w:p>
            <w:pPr>
              <w:jc w:val="center"/>
              <w:rPr>
                <w:b/>
                <w:bCs/>
                <w:color w:val="auto"/>
                <w:szCs w:val="21"/>
              </w:rPr>
            </w:pPr>
            <w:r>
              <w:rPr>
                <w:b/>
                <w:bCs/>
                <w:color w:val="auto"/>
                <w:szCs w:val="21"/>
              </w:rPr>
              <w:t>六价铬</w:t>
            </w:r>
          </w:p>
        </w:tc>
        <w:tc>
          <w:tcPr>
            <w:tcW w:w="994" w:type="dxa"/>
            <w:shd w:val="clear" w:color="auto" w:fill="auto"/>
            <w:vAlign w:val="center"/>
          </w:tcPr>
          <w:p>
            <w:pPr>
              <w:jc w:val="center"/>
              <w:rPr>
                <w:b/>
                <w:bCs/>
                <w:color w:val="auto"/>
                <w:szCs w:val="21"/>
              </w:rPr>
            </w:pPr>
            <w:r>
              <w:rPr>
                <w:b/>
                <w:bCs/>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restart"/>
            <w:shd w:val="clear" w:color="auto" w:fill="auto"/>
            <w:vAlign w:val="center"/>
          </w:tcPr>
          <w:p>
            <w:pPr>
              <w:jc w:val="center"/>
              <w:rPr>
                <w:color w:val="auto"/>
                <w:szCs w:val="21"/>
              </w:rPr>
            </w:pPr>
            <w:r>
              <w:rPr>
                <w:color w:val="auto"/>
                <w:szCs w:val="21"/>
              </w:rPr>
              <w:t>W1</w:t>
            </w:r>
          </w:p>
        </w:tc>
        <w:tc>
          <w:tcPr>
            <w:tcW w:w="1138" w:type="dxa"/>
            <w:shd w:val="clear" w:color="auto" w:fill="auto"/>
            <w:vAlign w:val="center"/>
          </w:tcPr>
          <w:p>
            <w:pPr>
              <w:jc w:val="center"/>
              <w:rPr>
                <w:color w:val="auto"/>
                <w:szCs w:val="21"/>
              </w:rPr>
            </w:pPr>
            <w:r>
              <w:rPr>
                <w:color w:val="auto"/>
                <w:szCs w:val="21"/>
              </w:rPr>
              <w:t>9月10日</w:t>
            </w:r>
          </w:p>
        </w:tc>
        <w:tc>
          <w:tcPr>
            <w:tcW w:w="1162" w:type="dxa"/>
            <w:shd w:val="clear" w:color="auto" w:fill="auto"/>
            <w:vAlign w:val="center"/>
          </w:tcPr>
          <w:p>
            <w:pPr>
              <w:jc w:val="center"/>
              <w:rPr>
                <w:color w:val="auto"/>
                <w:szCs w:val="21"/>
              </w:rPr>
            </w:pPr>
            <w:r>
              <w:rPr>
                <w:color w:val="auto"/>
                <w:szCs w:val="21"/>
              </w:rPr>
              <w:t>0.00134</w:t>
            </w:r>
          </w:p>
        </w:tc>
        <w:tc>
          <w:tcPr>
            <w:tcW w:w="1141" w:type="dxa"/>
            <w:shd w:val="clear" w:color="auto" w:fill="auto"/>
            <w:vAlign w:val="center"/>
          </w:tcPr>
          <w:p>
            <w:pPr>
              <w:jc w:val="center"/>
              <w:rPr>
                <w:color w:val="auto"/>
                <w:szCs w:val="21"/>
              </w:rPr>
            </w:pPr>
            <w:r>
              <w:rPr>
                <w:color w:val="auto"/>
                <w:szCs w:val="21"/>
              </w:rPr>
              <w:t>0.016</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1.48</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0.016</w:t>
            </w:r>
          </w:p>
        </w:tc>
        <w:tc>
          <w:tcPr>
            <w:tcW w:w="994" w:type="dxa"/>
            <w:shd w:val="clear" w:color="auto" w:fill="auto"/>
            <w:vAlign w:val="center"/>
          </w:tcPr>
          <w:p>
            <w:pPr>
              <w:jc w:val="center"/>
              <w:rPr>
                <w:color w:val="auto"/>
                <w:szCs w:val="21"/>
              </w:rPr>
            </w:pPr>
            <w:r>
              <w:rPr>
                <w:color w:val="auto"/>
                <w:szCs w:val="21"/>
              </w:rPr>
              <w:t>0.00263</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9月11日</w:t>
            </w:r>
          </w:p>
        </w:tc>
        <w:tc>
          <w:tcPr>
            <w:tcW w:w="1162" w:type="dxa"/>
            <w:shd w:val="clear" w:color="auto" w:fill="auto"/>
            <w:vAlign w:val="center"/>
          </w:tcPr>
          <w:p>
            <w:pPr>
              <w:jc w:val="center"/>
              <w:rPr>
                <w:color w:val="auto"/>
                <w:szCs w:val="21"/>
              </w:rPr>
            </w:pPr>
            <w:r>
              <w:rPr>
                <w:color w:val="auto"/>
                <w:szCs w:val="21"/>
              </w:rPr>
              <w:t>0.00107</w:t>
            </w:r>
          </w:p>
        </w:tc>
        <w:tc>
          <w:tcPr>
            <w:tcW w:w="1141" w:type="dxa"/>
            <w:shd w:val="clear" w:color="auto" w:fill="auto"/>
            <w:vAlign w:val="center"/>
          </w:tcPr>
          <w:p>
            <w:pPr>
              <w:jc w:val="center"/>
              <w:rPr>
                <w:color w:val="auto"/>
                <w:szCs w:val="21"/>
              </w:rPr>
            </w:pPr>
            <w:r>
              <w:rPr>
                <w:color w:val="auto"/>
                <w:szCs w:val="21"/>
              </w:rPr>
              <w:t>0.01</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1.54</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0.015</w:t>
            </w:r>
          </w:p>
        </w:tc>
        <w:tc>
          <w:tcPr>
            <w:tcW w:w="994" w:type="dxa"/>
            <w:shd w:val="clear" w:color="auto" w:fill="auto"/>
            <w:vAlign w:val="center"/>
          </w:tcPr>
          <w:p>
            <w:pPr>
              <w:jc w:val="center"/>
              <w:rPr>
                <w:color w:val="auto"/>
                <w:szCs w:val="21"/>
              </w:rPr>
            </w:pPr>
            <w:r>
              <w:rPr>
                <w:color w:val="auto"/>
                <w:szCs w:val="21"/>
              </w:rPr>
              <w:t>0.00109</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9月12日</w:t>
            </w:r>
          </w:p>
        </w:tc>
        <w:tc>
          <w:tcPr>
            <w:tcW w:w="1162" w:type="dxa"/>
            <w:shd w:val="clear" w:color="auto" w:fill="auto"/>
            <w:vAlign w:val="center"/>
          </w:tcPr>
          <w:p>
            <w:pPr>
              <w:jc w:val="center"/>
              <w:rPr>
                <w:color w:val="auto"/>
                <w:szCs w:val="21"/>
              </w:rPr>
            </w:pPr>
            <w:r>
              <w:rPr>
                <w:color w:val="auto"/>
                <w:szCs w:val="21"/>
              </w:rPr>
              <w:t>0.00158</w:t>
            </w:r>
          </w:p>
        </w:tc>
        <w:tc>
          <w:tcPr>
            <w:tcW w:w="1141" w:type="dxa"/>
            <w:shd w:val="clear" w:color="auto" w:fill="auto"/>
            <w:vAlign w:val="center"/>
          </w:tcPr>
          <w:p>
            <w:pPr>
              <w:jc w:val="center"/>
              <w:rPr>
                <w:color w:val="auto"/>
                <w:szCs w:val="21"/>
              </w:rPr>
            </w:pPr>
            <w:r>
              <w:rPr>
                <w:color w:val="auto"/>
                <w:szCs w:val="21"/>
              </w:rPr>
              <w:t>0.017</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1.42</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0.016</w:t>
            </w:r>
          </w:p>
        </w:tc>
        <w:tc>
          <w:tcPr>
            <w:tcW w:w="994" w:type="dxa"/>
            <w:shd w:val="clear" w:color="auto" w:fill="auto"/>
            <w:vAlign w:val="center"/>
          </w:tcPr>
          <w:p>
            <w:pPr>
              <w:jc w:val="center"/>
              <w:rPr>
                <w:color w:val="auto"/>
                <w:szCs w:val="21"/>
              </w:rPr>
            </w:pPr>
            <w:r>
              <w:rPr>
                <w:color w:val="auto"/>
                <w:szCs w:val="21"/>
              </w:rPr>
              <w:t>0.00273</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平均值</w:t>
            </w:r>
          </w:p>
        </w:tc>
        <w:tc>
          <w:tcPr>
            <w:tcW w:w="1162" w:type="dxa"/>
            <w:shd w:val="clear" w:color="auto" w:fill="auto"/>
            <w:vAlign w:val="center"/>
          </w:tcPr>
          <w:p>
            <w:pPr>
              <w:jc w:val="center"/>
              <w:rPr>
                <w:color w:val="auto"/>
                <w:szCs w:val="21"/>
              </w:rPr>
            </w:pPr>
            <w:r>
              <w:rPr>
                <w:color w:val="auto"/>
                <w:szCs w:val="21"/>
              </w:rPr>
              <w:t>0.00133</w:t>
            </w:r>
          </w:p>
        </w:tc>
        <w:tc>
          <w:tcPr>
            <w:tcW w:w="1141" w:type="dxa"/>
            <w:shd w:val="clear" w:color="auto" w:fill="auto"/>
            <w:vAlign w:val="center"/>
          </w:tcPr>
          <w:p>
            <w:pPr>
              <w:jc w:val="center"/>
              <w:rPr>
                <w:color w:val="auto"/>
                <w:szCs w:val="21"/>
              </w:rPr>
            </w:pPr>
            <w:r>
              <w:rPr>
                <w:color w:val="auto"/>
                <w:szCs w:val="21"/>
              </w:rPr>
              <w:t>0.014333</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1.48</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0.015667</w:t>
            </w:r>
          </w:p>
        </w:tc>
        <w:tc>
          <w:tcPr>
            <w:tcW w:w="994" w:type="dxa"/>
            <w:shd w:val="clear" w:color="auto" w:fill="auto"/>
            <w:vAlign w:val="center"/>
          </w:tcPr>
          <w:p>
            <w:pPr>
              <w:jc w:val="center"/>
              <w:rPr>
                <w:color w:val="auto"/>
                <w:szCs w:val="21"/>
              </w:rPr>
            </w:pPr>
            <w:r>
              <w:rPr>
                <w:color w:val="auto"/>
                <w:szCs w:val="21"/>
              </w:rPr>
              <w:t>0.00215</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标准限值</w:t>
            </w:r>
          </w:p>
        </w:tc>
        <w:tc>
          <w:tcPr>
            <w:tcW w:w="1162" w:type="dxa"/>
            <w:shd w:val="clear" w:color="auto" w:fill="auto"/>
            <w:vAlign w:val="center"/>
          </w:tcPr>
          <w:p>
            <w:pPr>
              <w:jc w:val="center"/>
              <w:rPr>
                <w:color w:val="auto"/>
                <w:szCs w:val="21"/>
              </w:rPr>
            </w:pPr>
            <w:r>
              <w:rPr>
                <w:color w:val="auto"/>
                <w:szCs w:val="21"/>
              </w:rPr>
              <w:t>0.005</w:t>
            </w:r>
          </w:p>
        </w:tc>
        <w:tc>
          <w:tcPr>
            <w:tcW w:w="1141"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0.01</w:t>
            </w:r>
          </w:p>
        </w:tc>
        <w:tc>
          <w:tcPr>
            <w:tcW w:w="1377" w:type="dxa"/>
            <w:shd w:val="clear" w:color="auto" w:fill="auto"/>
            <w:vAlign w:val="center"/>
          </w:tcPr>
          <w:p>
            <w:pPr>
              <w:jc w:val="center"/>
              <w:rPr>
                <w:color w:val="auto"/>
                <w:szCs w:val="21"/>
              </w:rPr>
            </w:pPr>
            <w:r>
              <w:rPr>
                <w:color w:val="auto"/>
                <w:szCs w:val="21"/>
              </w:rPr>
              <w:t>20000</w:t>
            </w:r>
          </w:p>
        </w:tc>
        <w:tc>
          <w:tcPr>
            <w:tcW w:w="925" w:type="dxa"/>
            <w:shd w:val="clear" w:color="auto" w:fill="auto"/>
            <w:vAlign w:val="center"/>
          </w:tcPr>
          <w:p>
            <w:pPr>
              <w:jc w:val="center"/>
              <w:rPr>
                <w:color w:val="auto"/>
                <w:szCs w:val="21"/>
              </w:rPr>
            </w:pPr>
            <w:r>
              <w:rPr>
                <w:color w:val="auto"/>
                <w:szCs w:val="21"/>
              </w:rPr>
              <w:t>0.5</w:t>
            </w:r>
          </w:p>
        </w:tc>
        <w:tc>
          <w:tcPr>
            <w:tcW w:w="1113" w:type="dxa"/>
            <w:shd w:val="clear" w:color="auto" w:fill="auto"/>
            <w:vAlign w:val="center"/>
          </w:tcPr>
          <w:p>
            <w:pPr>
              <w:jc w:val="center"/>
              <w:rPr>
                <w:color w:val="auto"/>
                <w:szCs w:val="21"/>
              </w:rPr>
            </w:pPr>
            <w:r>
              <w:rPr>
                <w:color w:val="auto"/>
                <w:szCs w:val="21"/>
              </w:rPr>
              <w:t>0.001</w:t>
            </w:r>
          </w:p>
        </w:tc>
        <w:tc>
          <w:tcPr>
            <w:tcW w:w="730" w:type="dxa"/>
            <w:shd w:val="clear" w:color="auto" w:fill="auto"/>
            <w:vAlign w:val="center"/>
          </w:tcPr>
          <w:p>
            <w:pPr>
              <w:jc w:val="center"/>
              <w:rPr>
                <w:color w:val="auto"/>
                <w:szCs w:val="21"/>
              </w:rPr>
            </w:pPr>
            <w:r>
              <w:rPr>
                <w:color w:val="auto"/>
                <w:szCs w:val="21"/>
              </w:rPr>
              <w:t>0.1</w:t>
            </w:r>
          </w:p>
        </w:tc>
        <w:tc>
          <w:tcPr>
            <w:tcW w:w="994" w:type="dxa"/>
            <w:shd w:val="clear" w:color="auto" w:fill="auto"/>
            <w:vAlign w:val="center"/>
          </w:tcPr>
          <w:p>
            <w:pPr>
              <w:jc w:val="center"/>
              <w:rPr>
                <w:color w:val="auto"/>
                <w:szCs w:val="21"/>
              </w:rPr>
            </w:pPr>
            <w:r>
              <w:rPr>
                <w:color w:val="auto"/>
                <w:szCs w:val="21"/>
              </w:rPr>
              <w:t>0.02</w:t>
            </w:r>
          </w:p>
        </w:tc>
        <w:tc>
          <w:tcPr>
            <w:tcW w:w="994"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达标率</w:t>
            </w:r>
          </w:p>
        </w:tc>
        <w:tc>
          <w:tcPr>
            <w:tcW w:w="1162" w:type="dxa"/>
            <w:shd w:val="clear" w:color="auto" w:fill="auto"/>
            <w:vAlign w:val="center"/>
          </w:tcPr>
          <w:p>
            <w:pPr>
              <w:jc w:val="center"/>
              <w:rPr>
                <w:color w:val="auto"/>
                <w:szCs w:val="21"/>
              </w:rPr>
            </w:pPr>
            <w:r>
              <w:rPr>
                <w:color w:val="auto"/>
                <w:szCs w:val="21"/>
              </w:rPr>
              <w:t>100%</w:t>
            </w:r>
          </w:p>
        </w:tc>
        <w:tc>
          <w:tcPr>
            <w:tcW w:w="1141"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0%</w:t>
            </w:r>
          </w:p>
        </w:tc>
        <w:tc>
          <w:tcPr>
            <w:tcW w:w="994" w:type="dxa"/>
            <w:shd w:val="clear" w:color="auto" w:fill="auto"/>
            <w:vAlign w:val="center"/>
          </w:tcPr>
          <w:p>
            <w:pPr>
              <w:jc w:val="center"/>
              <w:rPr>
                <w:color w:val="auto"/>
                <w:szCs w:val="21"/>
              </w:rPr>
            </w:pPr>
            <w:r>
              <w:rPr>
                <w:color w:val="auto"/>
                <w:szCs w:val="21"/>
              </w:rPr>
              <w:t>100%</w:t>
            </w:r>
          </w:p>
        </w:tc>
        <w:tc>
          <w:tcPr>
            <w:tcW w:w="1377" w:type="dxa"/>
            <w:shd w:val="clear" w:color="auto" w:fill="auto"/>
            <w:vAlign w:val="center"/>
          </w:tcPr>
          <w:p>
            <w:pPr>
              <w:jc w:val="center"/>
              <w:rPr>
                <w:color w:val="auto"/>
                <w:szCs w:val="21"/>
              </w:rPr>
            </w:pPr>
            <w:r>
              <w:rPr>
                <w:color w:val="auto"/>
                <w:szCs w:val="21"/>
              </w:rPr>
              <w:t>0%</w:t>
            </w:r>
          </w:p>
        </w:tc>
        <w:tc>
          <w:tcPr>
            <w:tcW w:w="925" w:type="dxa"/>
            <w:shd w:val="clear" w:color="auto" w:fill="auto"/>
            <w:vAlign w:val="center"/>
          </w:tcPr>
          <w:p>
            <w:pPr>
              <w:jc w:val="center"/>
              <w:rPr>
                <w:color w:val="auto"/>
                <w:szCs w:val="21"/>
              </w:rPr>
            </w:pPr>
            <w:r>
              <w:rPr>
                <w:color w:val="auto"/>
                <w:szCs w:val="21"/>
              </w:rPr>
              <w:t>100%</w:t>
            </w:r>
          </w:p>
        </w:tc>
        <w:tc>
          <w:tcPr>
            <w:tcW w:w="1113" w:type="dxa"/>
            <w:shd w:val="clear" w:color="auto" w:fill="auto"/>
            <w:vAlign w:val="center"/>
          </w:tcPr>
          <w:p>
            <w:pPr>
              <w:jc w:val="center"/>
              <w:rPr>
                <w:color w:val="auto"/>
                <w:szCs w:val="21"/>
              </w:rPr>
            </w:pPr>
            <w:r>
              <w:rPr>
                <w:color w:val="auto"/>
                <w:szCs w:val="21"/>
              </w:rPr>
              <w:t>100%</w:t>
            </w:r>
          </w:p>
        </w:tc>
        <w:tc>
          <w:tcPr>
            <w:tcW w:w="730"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restart"/>
            <w:shd w:val="clear" w:color="auto" w:fill="auto"/>
            <w:vAlign w:val="center"/>
          </w:tcPr>
          <w:p>
            <w:pPr>
              <w:jc w:val="center"/>
              <w:rPr>
                <w:color w:val="auto"/>
                <w:szCs w:val="21"/>
              </w:rPr>
            </w:pPr>
            <w:r>
              <w:rPr>
                <w:color w:val="auto"/>
                <w:szCs w:val="21"/>
              </w:rPr>
              <w:t>W2</w:t>
            </w:r>
          </w:p>
        </w:tc>
        <w:tc>
          <w:tcPr>
            <w:tcW w:w="1138" w:type="dxa"/>
            <w:shd w:val="clear" w:color="auto" w:fill="auto"/>
            <w:vAlign w:val="center"/>
          </w:tcPr>
          <w:p>
            <w:pPr>
              <w:jc w:val="center"/>
              <w:rPr>
                <w:color w:val="auto"/>
                <w:szCs w:val="21"/>
              </w:rPr>
            </w:pPr>
            <w:r>
              <w:rPr>
                <w:color w:val="auto"/>
                <w:szCs w:val="21"/>
              </w:rPr>
              <w:t>9月10日</w:t>
            </w:r>
          </w:p>
        </w:tc>
        <w:tc>
          <w:tcPr>
            <w:tcW w:w="1162" w:type="dxa"/>
            <w:shd w:val="clear" w:color="auto" w:fill="auto"/>
            <w:vAlign w:val="center"/>
          </w:tcPr>
          <w:p>
            <w:pPr>
              <w:jc w:val="center"/>
              <w:rPr>
                <w:color w:val="auto"/>
                <w:szCs w:val="21"/>
              </w:rPr>
            </w:pPr>
            <w:r>
              <w:rPr>
                <w:color w:val="auto"/>
                <w:szCs w:val="21"/>
              </w:rPr>
              <w:t>0.00041</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2.4</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0.121</w:t>
            </w:r>
          </w:p>
        </w:tc>
        <w:tc>
          <w:tcPr>
            <w:tcW w:w="994" w:type="dxa"/>
            <w:shd w:val="clear" w:color="auto" w:fill="auto"/>
            <w:vAlign w:val="center"/>
          </w:tcPr>
          <w:p>
            <w:pPr>
              <w:jc w:val="center"/>
              <w:rPr>
                <w:color w:val="auto"/>
                <w:szCs w:val="21"/>
              </w:rPr>
            </w:pPr>
            <w:r>
              <w:rPr>
                <w:color w:val="auto"/>
                <w:szCs w:val="21"/>
              </w:rPr>
              <w:t>0.018</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9月11日</w:t>
            </w:r>
          </w:p>
        </w:tc>
        <w:tc>
          <w:tcPr>
            <w:tcW w:w="1162" w:type="dxa"/>
            <w:shd w:val="clear" w:color="auto" w:fill="auto"/>
            <w:vAlign w:val="center"/>
          </w:tcPr>
          <w:p>
            <w:pPr>
              <w:jc w:val="center"/>
              <w:rPr>
                <w:color w:val="auto"/>
                <w:szCs w:val="21"/>
              </w:rPr>
            </w:pPr>
            <w:r>
              <w:rPr>
                <w:color w:val="auto"/>
                <w:szCs w:val="21"/>
              </w:rPr>
              <w:t>0.00006L</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2.4</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0.128</w:t>
            </w:r>
          </w:p>
        </w:tc>
        <w:tc>
          <w:tcPr>
            <w:tcW w:w="994" w:type="dxa"/>
            <w:shd w:val="clear" w:color="auto" w:fill="auto"/>
            <w:vAlign w:val="center"/>
          </w:tcPr>
          <w:p>
            <w:pPr>
              <w:jc w:val="center"/>
              <w:rPr>
                <w:color w:val="auto"/>
                <w:szCs w:val="21"/>
              </w:rPr>
            </w:pPr>
            <w:r>
              <w:rPr>
                <w:color w:val="auto"/>
                <w:szCs w:val="21"/>
              </w:rPr>
              <w:t>0.015</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9月12日</w:t>
            </w:r>
          </w:p>
        </w:tc>
        <w:tc>
          <w:tcPr>
            <w:tcW w:w="1162" w:type="dxa"/>
            <w:shd w:val="clear" w:color="auto" w:fill="auto"/>
            <w:vAlign w:val="center"/>
          </w:tcPr>
          <w:p>
            <w:pPr>
              <w:jc w:val="center"/>
              <w:rPr>
                <w:color w:val="auto"/>
                <w:szCs w:val="21"/>
              </w:rPr>
            </w:pPr>
            <w:r>
              <w:rPr>
                <w:color w:val="auto"/>
                <w:szCs w:val="21"/>
              </w:rPr>
              <w:t>0.0004</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2.55</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0.123</w:t>
            </w:r>
          </w:p>
        </w:tc>
        <w:tc>
          <w:tcPr>
            <w:tcW w:w="994" w:type="dxa"/>
            <w:shd w:val="clear" w:color="auto" w:fill="auto"/>
            <w:vAlign w:val="center"/>
          </w:tcPr>
          <w:p>
            <w:pPr>
              <w:jc w:val="center"/>
              <w:rPr>
                <w:color w:val="auto"/>
                <w:szCs w:val="21"/>
              </w:rPr>
            </w:pPr>
            <w:r>
              <w:rPr>
                <w:color w:val="auto"/>
                <w:szCs w:val="21"/>
              </w:rPr>
              <w:t>0.016</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平均值</w:t>
            </w:r>
          </w:p>
        </w:tc>
        <w:tc>
          <w:tcPr>
            <w:tcW w:w="1162" w:type="dxa"/>
            <w:shd w:val="clear" w:color="auto" w:fill="auto"/>
            <w:vAlign w:val="center"/>
          </w:tcPr>
          <w:p>
            <w:pPr>
              <w:jc w:val="center"/>
              <w:rPr>
                <w:color w:val="auto"/>
                <w:szCs w:val="21"/>
              </w:rPr>
            </w:pPr>
            <w:r>
              <w:rPr>
                <w:color w:val="auto"/>
                <w:szCs w:val="21"/>
              </w:rPr>
              <w:t>0.00028</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2.45</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0.124</w:t>
            </w:r>
          </w:p>
        </w:tc>
        <w:tc>
          <w:tcPr>
            <w:tcW w:w="994" w:type="dxa"/>
            <w:shd w:val="clear" w:color="auto" w:fill="auto"/>
            <w:vAlign w:val="center"/>
          </w:tcPr>
          <w:p>
            <w:pPr>
              <w:jc w:val="center"/>
              <w:rPr>
                <w:color w:val="auto"/>
                <w:szCs w:val="21"/>
              </w:rPr>
            </w:pPr>
            <w:r>
              <w:rPr>
                <w:color w:val="auto"/>
                <w:szCs w:val="21"/>
              </w:rPr>
              <w:t>0.016</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标准限值</w:t>
            </w:r>
          </w:p>
        </w:tc>
        <w:tc>
          <w:tcPr>
            <w:tcW w:w="1162" w:type="dxa"/>
            <w:shd w:val="clear" w:color="auto" w:fill="auto"/>
            <w:vAlign w:val="center"/>
          </w:tcPr>
          <w:p>
            <w:pPr>
              <w:jc w:val="center"/>
              <w:rPr>
                <w:color w:val="auto"/>
                <w:szCs w:val="21"/>
              </w:rPr>
            </w:pPr>
            <w:r>
              <w:rPr>
                <w:color w:val="auto"/>
                <w:szCs w:val="21"/>
              </w:rPr>
              <w:t>0.005</w:t>
            </w:r>
          </w:p>
        </w:tc>
        <w:tc>
          <w:tcPr>
            <w:tcW w:w="1141"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0.01</w:t>
            </w:r>
          </w:p>
        </w:tc>
        <w:tc>
          <w:tcPr>
            <w:tcW w:w="1377" w:type="dxa"/>
            <w:shd w:val="clear" w:color="auto" w:fill="auto"/>
            <w:vAlign w:val="center"/>
          </w:tcPr>
          <w:p>
            <w:pPr>
              <w:jc w:val="center"/>
              <w:rPr>
                <w:color w:val="auto"/>
                <w:szCs w:val="21"/>
              </w:rPr>
            </w:pPr>
            <w:r>
              <w:rPr>
                <w:color w:val="auto"/>
                <w:szCs w:val="21"/>
              </w:rPr>
              <w:t>20000</w:t>
            </w:r>
          </w:p>
        </w:tc>
        <w:tc>
          <w:tcPr>
            <w:tcW w:w="925" w:type="dxa"/>
            <w:shd w:val="clear" w:color="auto" w:fill="auto"/>
            <w:vAlign w:val="center"/>
          </w:tcPr>
          <w:p>
            <w:pPr>
              <w:jc w:val="center"/>
              <w:rPr>
                <w:color w:val="auto"/>
                <w:szCs w:val="21"/>
              </w:rPr>
            </w:pPr>
            <w:r>
              <w:rPr>
                <w:color w:val="auto"/>
                <w:szCs w:val="21"/>
              </w:rPr>
              <w:t>0.5</w:t>
            </w:r>
          </w:p>
        </w:tc>
        <w:tc>
          <w:tcPr>
            <w:tcW w:w="1113" w:type="dxa"/>
            <w:shd w:val="clear" w:color="auto" w:fill="auto"/>
            <w:vAlign w:val="center"/>
          </w:tcPr>
          <w:p>
            <w:pPr>
              <w:jc w:val="center"/>
              <w:rPr>
                <w:color w:val="auto"/>
                <w:szCs w:val="21"/>
              </w:rPr>
            </w:pPr>
            <w:r>
              <w:rPr>
                <w:color w:val="auto"/>
                <w:szCs w:val="21"/>
              </w:rPr>
              <w:t>0.001</w:t>
            </w:r>
          </w:p>
        </w:tc>
        <w:tc>
          <w:tcPr>
            <w:tcW w:w="730" w:type="dxa"/>
            <w:shd w:val="clear" w:color="auto" w:fill="auto"/>
            <w:vAlign w:val="center"/>
          </w:tcPr>
          <w:p>
            <w:pPr>
              <w:jc w:val="center"/>
              <w:rPr>
                <w:color w:val="auto"/>
                <w:szCs w:val="21"/>
              </w:rPr>
            </w:pPr>
            <w:r>
              <w:rPr>
                <w:color w:val="auto"/>
                <w:szCs w:val="21"/>
              </w:rPr>
              <w:t>0.1</w:t>
            </w:r>
          </w:p>
        </w:tc>
        <w:tc>
          <w:tcPr>
            <w:tcW w:w="994" w:type="dxa"/>
            <w:shd w:val="clear" w:color="auto" w:fill="auto"/>
            <w:vAlign w:val="center"/>
          </w:tcPr>
          <w:p>
            <w:pPr>
              <w:jc w:val="center"/>
              <w:rPr>
                <w:color w:val="auto"/>
                <w:szCs w:val="21"/>
              </w:rPr>
            </w:pPr>
            <w:r>
              <w:rPr>
                <w:color w:val="auto"/>
                <w:szCs w:val="21"/>
              </w:rPr>
              <w:t>0.02</w:t>
            </w:r>
          </w:p>
        </w:tc>
        <w:tc>
          <w:tcPr>
            <w:tcW w:w="994"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达标率</w:t>
            </w:r>
          </w:p>
        </w:tc>
        <w:tc>
          <w:tcPr>
            <w:tcW w:w="1162" w:type="dxa"/>
            <w:shd w:val="clear" w:color="auto" w:fill="auto"/>
            <w:vAlign w:val="center"/>
          </w:tcPr>
          <w:p>
            <w:pPr>
              <w:jc w:val="center"/>
              <w:rPr>
                <w:color w:val="auto"/>
                <w:szCs w:val="21"/>
              </w:rPr>
            </w:pPr>
            <w:r>
              <w:rPr>
                <w:color w:val="auto"/>
                <w:szCs w:val="21"/>
              </w:rPr>
              <w:t>100%</w:t>
            </w:r>
          </w:p>
        </w:tc>
        <w:tc>
          <w:tcPr>
            <w:tcW w:w="1141"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0%</w:t>
            </w:r>
          </w:p>
        </w:tc>
        <w:tc>
          <w:tcPr>
            <w:tcW w:w="994" w:type="dxa"/>
            <w:shd w:val="clear" w:color="auto" w:fill="auto"/>
            <w:vAlign w:val="center"/>
          </w:tcPr>
          <w:p>
            <w:pPr>
              <w:jc w:val="center"/>
              <w:rPr>
                <w:color w:val="auto"/>
                <w:szCs w:val="21"/>
              </w:rPr>
            </w:pPr>
            <w:r>
              <w:rPr>
                <w:color w:val="auto"/>
                <w:szCs w:val="21"/>
              </w:rPr>
              <w:t>100%</w:t>
            </w:r>
          </w:p>
        </w:tc>
        <w:tc>
          <w:tcPr>
            <w:tcW w:w="1377" w:type="dxa"/>
            <w:shd w:val="clear" w:color="auto" w:fill="auto"/>
            <w:vAlign w:val="center"/>
          </w:tcPr>
          <w:p>
            <w:pPr>
              <w:jc w:val="center"/>
              <w:rPr>
                <w:color w:val="auto"/>
                <w:szCs w:val="21"/>
              </w:rPr>
            </w:pPr>
            <w:r>
              <w:rPr>
                <w:color w:val="auto"/>
                <w:szCs w:val="21"/>
              </w:rPr>
              <w:t>0%</w:t>
            </w:r>
          </w:p>
        </w:tc>
        <w:tc>
          <w:tcPr>
            <w:tcW w:w="925" w:type="dxa"/>
            <w:shd w:val="clear" w:color="auto" w:fill="auto"/>
            <w:vAlign w:val="center"/>
          </w:tcPr>
          <w:p>
            <w:pPr>
              <w:jc w:val="center"/>
              <w:rPr>
                <w:color w:val="auto"/>
                <w:szCs w:val="21"/>
              </w:rPr>
            </w:pPr>
            <w:r>
              <w:rPr>
                <w:color w:val="auto"/>
                <w:szCs w:val="21"/>
              </w:rPr>
              <w:t>100%</w:t>
            </w:r>
          </w:p>
        </w:tc>
        <w:tc>
          <w:tcPr>
            <w:tcW w:w="1113" w:type="dxa"/>
            <w:shd w:val="clear" w:color="auto" w:fill="auto"/>
            <w:vAlign w:val="center"/>
          </w:tcPr>
          <w:p>
            <w:pPr>
              <w:jc w:val="center"/>
              <w:rPr>
                <w:color w:val="auto"/>
                <w:szCs w:val="21"/>
              </w:rPr>
            </w:pPr>
            <w:r>
              <w:rPr>
                <w:color w:val="auto"/>
                <w:szCs w:val="21"/>
              </w:rPr>
              <w:t>100%</w:t>
            </w:r>
          </w:p>
        </w:tc>
        <w:tc>
          <w:tcPr>
            <w:tcW w:w="730" w:type="dxa"/>
            <w:shd w:val="clear" w:color="auto" w:fill="auto"/>
            <w:vAlign w:val="center"/>
          </w:tcPr>
          <w:p>
            <w:pPr>
              <w:jc w:val="center"/>
              <w:rPr>
                <w:color w:val="auto"/>
                <w:szCs w:val="21"/>
              </w:rPr>
            </w:pPr>
            <w:r>
              <w:rPr>
                <w:color w:val="auto"/>
                <w:szCs w:val="21"/>
              </w:rPr>
              <w:t>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restart"/>
            <w:shd w:val="clear" w:color="auto" w:fill="auto"/>
            <w:vAlign w:val="center"/>
          </w:tcPr>
          <w:p>
            <w:pPr>
              <w:jc w:val="center"/>
              <w:rPr>
                <w:color w:val="auto"/>
                <w:szCs w:val="21"/>
              </w:rPr>
            </w:pPr>
            <w:r>
              <w:rPr>
                <w:color w:val="auto"/>
                <w:szCs w:val="21"/>
              </w:rPr>
              <w:t>W3</w:t>
            </w:r>
          </w:p>
        </w:tc>
        <w:tc>
          <w:tcPr>
            <w:tcW w:w="1138" w:type="dxa"/>
            <w:shd w:val="clear" w:color="auto" w:fill="auto"/>
            <w:vAlign w:val="center"/>
          </w:tcPr>
          <w:p>
            <w:pPr>
              <w:jc w:val="center"/>
              <w:rPr>
                <w:color w:val="auto"/>
                <w:szCs w:val="21"/>
              </w:rPr>
            </w:pPr>
            <w:r>
              <w:rPr>
                <w:color w:val="auto"/>
                <w:szCs w:val="21"/>
              </w:rPr>
              <w:t>9月10日</w:t>
            </w:r>
          </w:p>
        </w:tc>
        <w:tc>
          <w:tcPr>
            <w:tcW w:w="1162" w:type="dxa"/>
            <w:shd w:val="clear" w:color="auto" w:fill="auto"/>
            <w:vAlign w:val="center"/>
          </w:tcPr>
          <w:p>
            <w:pPr>
              <w:jc w:val="center"/>
              <w:rPr>
                <w:color w:val="auto"/>
                <w:szCs w:val="21"/>
              </w:rPr>
            </w:pPr>
            <w:r>
              <w:rPr>
                <w:color w:val="auto"/>
                <w:szCs w:val="21"/>
              </w:rPr>
              <w:t>0.00151</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2.66</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0.079</w:t>
            </w:r>
          </w:p>
        </w:tc>
        <w:tc>
          <w:tcPr>
            <w:tcW w:w="994" w:type="dxa"/>
            <w:shd w:val="clear" w:color="auto" w:fill="auto"/>
            <w:vAlign w:val="center"/>
          </w:tcPr>
          <w:p>
            <w:pPr>
              <w:jc w:val="center"/>
              <w:rPr>
                <w:color w:val="auto"/>
                <w:szCs w:val="21"/>
              </w:rPr>
            </w:pPr>
            <w:r>
              <w:rPr>
                <w:color w:val="auto"/>
                <w:szCs w:val="21"/>
              </w:rPr>
              <w:t>0.027</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9月11日</w:t>
            </w:r>
          </w:p>
        </w:tc>
        <w:tc>
          <w:tcPr>
            <w:tcW w:w="1162" w:type="dxa"/>
            <w:shd w:val="clear" w:color="auto" w:fill="auto"/>
            <w:vAlign w:val="center"/>
          </w:tcPr>
          <w:p>
            <w:pPr>
              <w:jc w:val="center"/>
              <w:rPr>
                <w:color w:val="auto"/>
                <w:szCs w:val="21"/>
              </w:rPr>
            </w:pPr>
            <w:r>
              <w:rPr>
                <w:color w:val="auto"/>
                <w:szCs w:val="21"/>
              </w:rPr>
              <w:t>0.00142</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2.77</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0.075</w:t>
            </w:r>
          </w:p>
        </w:tc>
        <w:tc>
          <w:tcPr>
            <w:tcW w:w="994" w:type="dxa"/>
            <w:shd w:val="clear" w:color="auto" w:fill="auto"/>
            <w:vAlign w:val="center"/>
          </w:tcPr>
          <w:p>
            <w:pPr>
              <w:jc w:val="center"/>
              <w:rPr>
                <w:color w:val="auto"/>
                <w:szCs w:val="21"/>
              </w:rPr>
            </w:pPr>
            <w:r>
              <w:rPr>
                <w:color w:val="auto"/>
                <w:szCs w:val="21"/>
              </w:rPr>
              <w:t>0.03</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9月12日</w:t>
            </w:r>
          </w:p>
        </w:tc>
        <w:tc>
          <w:tcPr>
            <w:tcW w:w="1162" w:type="dxa"/>
            <w:shd w:val="clear" w:color="auto" w:fill="auto"/>
            <w:vAlign w:val="center"/>
          </w:tcPr>
          <w:p>
            <w:pPr>
              <w:jc w:val="center"/>
              <w:rPr>
                <w:color w:val="auto"/>
                <w:szCs w:val="21"/>
              </w:rPr>
            </w:pPr>
            <w:r>
              <w:rPr>
                <w:color w:val="auto"/>
                <w:szCs w:val="21"/>
              </w:rPr>
              <w:t>0.00143</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2.71</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0.085</w:t>
            </w:r>
          </w:p>
        </w:tc>
        <w:tc>
          <w:tcPr>
            <w:tcW w:w="994" w:type="dxa"/>
            <w:shd w:val="clear" w:color="auto" w:fill="auto"/>
            <w:vAlign w:val="center"/>
          </w:tcPr>
          <w:p>
            <w:pPr>
              <w:jc w:val="center"/>
              <w:rPr>
                <w:color w:val="auto"/>
                <w:szCs w:val="21"/>
              </w:rPr>
            </w:pPr>
            <w:r>
              <w:rPr>
                <w:color w:val="auto"/>
                <w:szCs w:val="21"/>
              </w:rPr>
              <w:t>0.03</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平均值</w:t>
            </w:r>
          </w:p>
        </w:tc>
        <w:tc>
          <w:tcPr>
            <w:tcW w:w="1162" w:type="dxa"/>
            <w:shd w:val="clear" w:color="auto" w:fill="auto"/>
            <w:vAlign w:val="center"/>
          </w:tcPr>
          <w:p>
            <w:pPr>
              <w:jc w:val="center"/>
              <w:rPr>
                <w:color w:val="auto"/>
                <w:szCs w:val="21"/>
              </w:rPr>
            </w:pPr>
            <w:r>
              <w:rPr>
                <w:color w:val="auto"/>
                <w:szCs w:val="21"/>
              </w:rPr>
              <w:t>0.001453</w:t>
            </w:r>
          </w:p>
        </w:tc>
        <w:tc>
          <w:tcPr>
            <w:tcW w:w="1141" w:type="dxa"/>
            <w:shd w:val="clear" w:color="auto" w:fill="auto"/>
            <w:vAlign w:val="center"/>
          </w:tcPr>
          <w:p>
            <w:pPr>
              <w:jc w:val="center"/>
              <w:rPr>
                <w:color w:val="auto"/>
                <w:szCs w:val="21"/>
              </w:rPr>
            </w:pPr>
            <w:r>
              <w:rPr>
                <w:color w:val="auto"/>
                <w:szCs w:val="21"/>
              </w:rPr>
              <w:t>0.00007L</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2.71</w:t>
            </w:r>
          </w:p>
        </w:tc>
        <w:tc>
          <w:tcPr>
            <w:tcW w:w="994" w:type="dxa"/>
            <w:shd w:val="clear" w:color="auto" w:fill="auto"/>
            <w:vAlign w:val="center"/>
          </w:tcPr>
          <w:p>
            <w:pPr>
              <w:jc w:val="center"/>
              <w:rPr>
                <w:color w:val="auto"/>
                <w:szCs w:val="21"/>
              </w:rPr>
            </w:pPr>
            <w:r>
              <w:rPr>
                <w:color w:val="auto"/>
                <w:szCs w:val="21"/>
              </w:rPr>
              <w:t>0.0003L</w:t>
            </w:r>
          </w:p>
        </w:tc>
        <w:tc>
          <w:tcPr>
            <w:tcW w:w="1377" w:type="dxa"/>
            <w:shd w:val="clear" w:color="auto" w:fill="auto"/>
            <w:vAlign w:val="center"/>
          </w:tcPr>
          <w:p>
            <w:pPr>
              <w:jc w:val="center"/>
              <w:rPr>
                <w:color w:val="auto"/>
                <w:szCs w:val="21"/>
              </w:rPr>
            </w:pPr>
            <w:r>
              <w:rPr>
                <w:color w:val="auto"/>
                <w:szCs w:val="21"/>
              </w:rPr>
              <w:t>240000</w:t>
            </w:r>
          </w:p>
        </w:tc>
        <w:tc>
          <w:tcPr>
            <w:tcW w:w="925" w:type="dxa"/>
            <w:shd w:val="clear" w:color="auto" w:fill="auto"/>
            <w:vAlign w:val="center"/>
          </w:tcPr>
          <w:p>
            <w:pPr>
              <w:jc w:val="center"/>
              <w:rPr>
                <w:color w:val="auto"/>
                <w:szCs w:val="21"/>
              </w:rPr>
            </w:pPr>
            <w:r>
              <w:rPr>
                <w:color w:val="auto"/>
                <w:szCs w:val="21"/>
              </w:rPr>
              <w:t>0.005L</w:t>
            </w:r>
          </w:p>
        </w:tc>
        <w:tc>
          <w:tcPr>
            <w:tcW w:w="1113" w:type="dxa"/>
            <w:shd w:val="clear" w:color="auto" w:fill="auto"/>
            <w:vAlign w:val="center"/>
          </w:tcPr>
          <w:p>
            <w:pPr>
              <w:jc w:val="center"/>
              <w:rPr>
                <w:color w:val="auto"/>
                <w:szCs w:val="21"/>
              </w:rPr>
            </w:pPr>
            <w:r>
              <w:rPr>
                <w:color w:val="auto"/>
                <w:szCs w:val="21"/>
              </w:rPr>
              <w:t>0.00004L</w:t>
            </w:r>
          </w:p>
        </w:tc>
        <w:tc>
          <w:tcPr>
            <w:tcW w:w="730" w:type="dxa"/>
            <w:shd w:val="clear" w:color="auto" w:fill="auto"/>
            <w:vAlign w:val="center"/>
          </w:tcPr>
          <w:p>
            <w:pPr>
              <w:jc w:val="center"/>
              <w:rPr>
                <w:color w:val="auto"/>
                <w:szCs w:val="21"/>
              </w:rPr>
            </w:pPr>
            <w:r>
              <w:rPr>
                <w:color w:val="auto"/>
                <w:szCs w:val="21"/>
              </w:rPr>
              <w:t>0.080</w:t>
            </w:r>
          </w:p>
        </w:tc>
        <w:tc>
          <w:tcPr>
            <w:tcW w:w="994" w:type="dxa"/>
            <w:shd w:val="clear" w:color="auto" w:fill="auto"/>
            <w:vAlign w:val="center"/>
          </w:tcPr>
          <w:p>
            <w:pPr>
              <w:jc w:val="center"/>
              <w:rPr>
                <w:color w:val="auto"/>
                <w:szCs w:val="21"/>
              </w:rPr>
            </w:pPr>
            <w:r>
              <w:rPr>
                <w:color w:val="auto"/>
                <w:szCs w:val="21"/>
              </w:rPr>
              <w:t>0.029</w:t>
            </w:r>
          </w:p>
        </w:tc>
        <w:tc>
          <w:tcPr>
            <w:tcW w:w="994" w:type="dxa"/>
            <w:shd w:val="clear" w:color="auto" w:fill="auto"/>
            <w:vAlign w:val="center"/>
          </w:tcPr>
          <w:p>
            <w:pPr>
              <w:jc w:val="center"/>
              <w:rPr>
                <w:color w:val="auto"/>
                <w:szCs w:val="21"/>
              </w:rPr>
            </w:pPr>
            <w:r>
              <w:rPr>
                <w:color w:val="auto"/>
                <w:szCs w:val="21"/>
              </w:rPr>
              <w:t>0.004L</w:t>
            </w:r>
          </w:p>
        </w:tc>
        <w:tc>
          <w:tcPr>
            <w:tcW w:w="994" w:type="dxa"/>
            <w:shd w:val="clear" w:color="auto" w:fill="auto"/>
            <w:vAlign w:val="center"/>
          </w:tcPr>
          <w:p>
            <w:pPr>
              <w:jc w:val="center"/>
              <w:rPr>
                <w:color w:val="auto"/>
                <w:szCs w:val="21"/>
              </w:rPr>
            </w:pPr>
            <w:r>
              <w:rPr>
                <w:color w:val="auto"/>
                <w:szCs w:val="21"/>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标准限值</w:t>
            </w:r>
          </w:p>
        </w:tc>
        <w:tc>
          <w:tcPr>
            <w:tcW w:w="1162" w:type="dxa"/>
            <w:shd w:val="clear" w:color="auto" w:fill="auto"/>
            <w:vAlign w:val="center"/>
          </w:tcPr>
          <w:p>
            <w:pPr>
              <w:jc w:val="center"/>
              <w:rPr>
                <w:color w:val="auto"/>
                <w:szCs w:val="21"/>
              </w:rPr>
            </w:pPr>
            <w:r>
              <w:rPr>
                <w:color w:val="auto"/>
                <w:szCs w:val="21"/>
              </w:rPr>
              <w:t>0.005</w:t>
            </w:r>
          </w:p>
        </w:tc>
        <w:tc>
          <w:tcPr>
            <w:tcW w:w="1141"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0.2</w:t>
            </w:r>
          </w:p>
        </w:tc>
        <w:tc>
          <w:tcPr>
            <w:tcW w:w="994" w:type="dxa"/>
            <w:shd w:val="clear" w:color="auto" w:fill="auto"/>
            <w:vAlign w:val="center"/>
          </w:tcPr>
          <w:p>
            <w:pPr>
              <w:jc w:val="center"/>
              <w:rPr>
                <w:color w:val="auto"/>
                <w:szCs w:val="21"/>
              </w:rPr>
            </w:pPr>
            <w:r>
              <w:rPr>
                <w:color w:val="auto"/>
                <w:szCs w:val="21"/>
              </w:rPr>
              <w:t>0.01</w:t>
            </w:r>
          </w:p>
        </w:tc>
        <w:tc>
          <w:tcPr>
            <w:tcW w:w="1377" w:type="dxa"/>
            <w:shd w:val="clear" w:color="auto" w:fill="auto"/>
            <w:vAlign w:val="center"/>
          </w:tcPr>
          <w:p>
            <w:pPr>
              <w:jc w:val="center"/>
              <w:rPr>
                <w:color w:val="auto"/>
                <w:szCs w:val="21"/>
              </w:rPr>
            </w:pPr>
            <w:r>
              <w:rPr>
                <w:color w:val="auto"/>
                <w:szCs w:val="21"/>
              </w:rPr>
              <w:t>20000</w:t>
            </w:r>
          </w:p>
        </w:tc>
        <w:tc>
          <w:tcPr>
            <w:tcW w:w="925" w:type="dxa"/>
            <w:shd w:val="clear" w:color="auto" w:fill="auto"/>
            <w:vAlign w:val="center"/>
          </w:tcPr>
          <w:p>
            <w:pPr>
              <w:jc w:val="center"/>
              <w:rPr>
                <w:color w:val="auto"/>
                <w:szCs w:val="21"/>
              </w:rPr>
            </w:pPr>
            <w:r>
              <w:rPr>
                <w:color w:val="auto"/>
                <w:szCs w:val="21"/>
              </w:rPr>
              <w:t>0.5</w:t>
            </w:r>
          </w:p>
        </w:tc>
        <w:tc>
          <w:tcPr>
            <w:tcW w:w="1113" w:type="dxa"/>
            <w:shd w:val="clear" w:color="auto" w:fill="auto"/>
            <w:vAlign w:val="center"/>
          </w:tcPr>
          <w:p>
            <w:pPr>
              <w:jc w:val="center"/>
              <w:rPr>
                <w:color w:val="auto"/>
                <w:szCs w:val="21"/>
              </w:rPr>
            </w:pPr>
            <w:r>
              <w:rPr>
                <w:color w:val="auto"/>
                <w:szCs w:val="21"/>
              </w:rPr>
              <w:t>0.001</w:t>
            </w:r>
          </w:p>
        </w:tc>
        <w:tc>
          <w:tcPr>
            <w:tcW w:w="730" w:type="dxa"/>
            <w:shd w:val="clear" w:color="auto" w:fill="auto"/>
            <w:vAlign w:val="center"/>
          </w:tcPr>
          <w:p>
            <w:pPr>
              <w:jc w:val="center"/>
              <w:rPr>
                <w:color w:val="auto"/>
                <w:szCs w:val="21"/>
              </w:rPr>
            </w:pPr>
            <w:r>
              <w:rPr>
                <w:color w:val="auto"/>
                <w:szCs w:val="21"/>
              </w:rPr>
              <w:t>0.1</w:t>
            </w:r>
          </w:p>
        </w:tc>
        <w:tc>
          <w:tcPr>
            <w:tcW w:w="994" w:type="dxa"/>
            <w:shd w:val="clear" w:color="auto" w:fill="auto"/>
            <w:vAlign w:val="center"/>
          </w:tcPr>
          <w:p>
            <w:pPr>
              <w:jc w:val="center"/>
              <w:rPr>
                <w:color w:val="auto"/>
                <w:szCs w:val="21"/>
              </w:rPr>
            </w:pPr>
            <w:r>
              <w:rPr>
                <w:color w:val="auto"/>
                <w:szCs w:val="21"/>
              </w:rPr>
              <w:t>0.02</w:t>
            </w:r>
          </w:p>
        </w:tc>
        <w:tc>
          <w:tcPr>
            <w:tcW w:w="994" w:type="dxa"/>
            <w:shd w:val="clear" w:color="auto" w:fill="auto"/>
            <w:vAlign w:val="center"/>
          </w:tcPr>
          <w:p>
            <w:pPr>
              <w:jc w:val="center"/>
              <w:rPr>
                <w:color w:val="auto"/>
                <w:szCs w:val="21"/>
              </w:rPr>
            </w:pPr>
            <w:r>
              <w:rPr>
                <w:color w:val="auto"/>
                <w:szCs w:val="21"/>
              </w:rPr>
              <w:t>0.05</w:t>
            </w:r>
          </w:p>
        </w:tc>
        <w:tc>
          <w:tcPr>
            <w:tcW w:w="994" w:type="dxa"/>
            <w:shd w:val="clear" w:color="auto" w:fill="auto"/>
            <w:vAlign w:val="center"/>
          </w:tcPr>
          <w:p>
            <w:pPr>
              <w:jc w:val="center"/>
              <w:rPr>
                <w:color w:val="auto"/>
                <w:szCs w:val="21"/>
              </w:rPr>
            </w:pPr>
            <w:r>
              <w:rPr>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70" w:type="dxa"/>
            <w:vMerge w:val="continue"/>
            <w:shd w:val="clear" w:color="auto" w:fill="auto"/>
            <w:vAlign w:val="center"/>
          </w:tcPr>
          <w:p>
            <w:pPr>
              <w:rPr>
                <w:color w:val="auto"/>
                <w:szCs w:val="21"/>
              </w:rPr>
            </w:pPr>
          </w:p>
        </w:tc>
        <w:tc>
          <w:tcPr>
            <w:tcW w:w="1138" w:type="dxa"/>
            <w:shd w:val="clear" w:color="auto" w:fill="auto"/>
            <w:vAlign w:val="center"/>
          </w:tcPr>
          <w:p>
            <w:pPr>
              <w:jc w:val="center"/>
              <w:rPr>
                <w:color w:val="auto"/>
                <w:szCs w:val="21"/>
              </w:rPr>
            </w:pPr>
            <w:r>
              <w:rPr>
                <w:color w:val="auto"/>
                <w:szCs w:val="21"/>
              </w:rPr>
              <w:t>达标率</w:t>
            </w:r>
          </w:p>
        </w:tc>
        <w:tc>
          <w:tcPr>
            <w:tcW w:w="1162" w:type="dxa"/>
            <w:shd w:val="clear" w:color="auto" w:fill="auto"/>
            <w:vAlign w:val="center"/>
          </w:tcPr>
          <w:p>
            <w:pPr>
              <w:jc w:val="center"/>
              <w:rPr>
                <w:color w:val="auto"/>
                <w:szCs w:val="21"/>
              </w:rPr>
            </w:pPr>
            <w:r>
              <w:rPr>
                <w:color w:val="auto"/>
                <w:szCs w:val="21"/>
              </w:rPr>
              <w:t>100%</w:t>
            </w:r>
          </w:p>
        </w:tc>
        <w:tc>
          <w:tcPr>
            <w:tcW w:w="1141"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0%</w:t>
            </w:r>
          </w:p>
        </w:tc>
        <w:tc>
          <w:tcPr>
            <w:tcW w:w="994" w:type="dxa"/>
            <w:shd w:val="clear" w:color="auto" w:fill="auto"/>
            <w:vAlign w:val="center"/>
          </w:tcPr>
          <w:p>
            <w:pPr>
              <w:jc w:val="center"/>
              <w:rPr>
                <w:color w:val="auto"/>
                <w:szCs w:val="21"/>
              </w:rPr>
            </w:pPr>
            <w:r>
              <w:rPr>
                <w:color w:val="auto"/>
                <w:szCs w:val="21"/>
              </w:rPr>
              <w:t>100%</w:t>
            </w:r>
          </w:p>
        </w:tc>
        <w:tc>
          <w:tcPr>
            <w:tcW w:w="1377" w:type="dxa"/>
            <w:shd w:val="clear" w:color="auto" w:fill="auto"/>
            <w:vAlign w:val="center"/>
          </w:tcPr>
          <w:p>
            <w:pPr>
              <w:jc w:val="center"/>
              <w:rPr>
                <w:color w:val="auto"/>
                <w:szCs w:val="21"/>
              </w:rPr>
            </w:pPr>
            <w:r>
              <w:rPr>
                <w:color w:val="auto"/>
                <w:szCs w:val="21"/>
              </w:rPr>
              <w:t>0%</w:t>
            </w:r>
          </w:p>
        </w:tc>
        <w:tc>
          <w:tcPr>
            <w:tcW w:w="925" w:type="dxa"/>
            <w:shd w:val="clear" w:color="auto" w:fill="auto"/>
            <w:vAlign w:val="center"/>
          </w:tcPr>
          <w:p>
            <w:pPr>
              <w:jc w:val="center"/>
              <w:rPr>
                <w:color w:val="auto"/>
                <w:szCs w:val="21"/>
              </w:rPr>
            </w:pPr>
            <w:r>
              <w:rPr>
                <w:color w:val="auto"/>
                <w:szCs w:val="21"/>
              </w:rPr>
              <w:t>100%</w:t>
            </w:r>
          </w:p>
        </w:tc>
        <w:tc>
          <w:tcPr>
            <w:tcW w:w="1113" w:type="dxa"/>
            <w:shd w:val="clear" w:color="auto" w:fill="auto"/>
            <w:vAlign w:val="center"/>
          </w:tcPr>
          <w:p>
            <w:pPr>
              <w:jc w:val="center"/>
              <w:rPr>
                <w:color w:val="auto"/>
                <w:szCs w:val="21"/>
              </w:rPr>
            </w:pPr>
            <w:r>
              <w:rPr>
                <w:color w:val="auto"/>
                <w:szCs w:val="21"/>
              </w:rPr>
              <w:t>100%</w:t>
            </w:r>
          </w:p>
        </w:tc>
        <w:tc>
          <w:tcPr>
            <w:tcW w:w="730"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0%</w:t>
            </w:r>
          </w:p>
        </w:tc>
        <w:tc>
          <w:tcPr>
            <w:tcW w:w="994" w:type="dxa"/>
            <w:shd w:val="clear" w:color="auto" w:fill="auto"/>
            <w:vAlign w:val="center"/>
          </w:tcPr>
          <w:p>
            <w:pPr>
              <w:jc w:val="center"/>
              <w:rPr>
                <w:color w:val="auto"/>
                <w:szCs w:val="21"/>
              </w:rPr>
            </w:pPr>
            <w:r>
              <w:rPr>
                <w:color w:val="auto"/>
                <w:szCs w:val="21"/>
              </w:rPr>
              <w:t>100%</w:t>
            </w:r>
          </w:p>
        </w:tc>
        <w:tc>
          <w:tcPr>
            <w:tcW w:w="994" w:type="dxa"/>
            <w:shd w:val="clear" w:color="auto" w:fill="auto"/>
            <w:vAlign w:val="center"/>
          </w:tcPr>
          <w:p>
            <w:pPr>
              <w:jc w:val="center"/>
              <w:rPr>
                <w:color w:val="auto"/>
                <w:szCs w:val="21"/>
              </w:rPr>
            </w:pPr>
            <w:r>
              <w:rPr>
                <w:color w:val="auto"/>
                <w:szCs w:val="21"/>
              </w:rPr>
              <w:t>100%</w:t>
            </w:r>
          </w:p>
        </w:tc>
      </w:tr>
    </w:tbl>
    <w:p>
      <w:pPr>
        <w:pStyle w:val="8"/>
        <w:rPr>
          <w:color w:val="auto"/>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p>
    <w:bookmarkEnd w:id="540"/>
    <w:p>
      <w:pPr>
        <w:spacing w:line="360" w:lineRule="auto"/>
        <w:jc w:val="center"/>
        <w:rPr>
          <w:b/>
          <w:color w:val="auto"/>
        </w:rPr>
      </w:pPr>
      <w:r>
        <w:rPr>
          <w:b/>
          <w:color w:val="auto"/>
        </w:rPr>
        <w:t>表</w:t>
      </w:r>
      <w:r>
        <w:rPr>
          <w:rFonts w:hint="eastAsia"/>
          <w:b/>
          <w:color w:val="auto"/>
        </w:rPr>
        <w:t>5</w:t>
      </w:r>
      <w:r>
        <w:rPr>
          <w:b/>
          <w:color w:val="auto"/>
        </w:rPr>
        <w:t>.4-</w:t>
      </w:r>
      <w:r>
        <w:rPr>
          <w:rFonts w:hint="eastAsia"/>
          <w:b/>
          <w:color w:val="auto"/>
        </w:rPr>
        <w:t xml:space="preserve">5  </w:t>
      </w:r>
      <w:r>
        <w:rPr>
          <w:b/>
          <w:color w:val="auto"/>
        </w:rPr>
        <w:t>地表水监测因子标准指数法计算结果</w:t>
      </w:r>
    </w:p>
    <w:tbl>
      <w:tblPr>
        <w:tblStyle w:val="23"/>
        <w:tblW w:w="14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974"/>
        <w:gridCol w:w="1089"/>
        <w:gridCol w:w="1899"/>
        <w:gridCol w:w="1088"/>
        <w:gridCol w:w="1089"/>
        <w:gridCol w:w="1629"/>
        <w:gridCol w:w="1089"/>
        <w:gridCol w:w="818"/>
        <w:gridCol w:w="801"/>
        <w:gridCol w:w="749"/>
        <w:gridCol w:w="1088"/>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断面</w:t>
            </w:r>
          </w:p>
        </w:tc>
        <w:tc>
          <w:tcPr>
            <w:tcW w:w="974" w:type="dxa"/>
            <w:shd w:val="clear" w:color="auto" w:fill="auto"/>
            <w:vAlign w:val="center"/>
          </w:tcPr>
          <w:p>
            <w:pPr>
              <w:jc w:val="center"/>
              <w:rPr>
                <w:b/>
                <w:color w:val="auto"/>
                <w:szCs w:val="21"/>
              </w:rPr>
            </w:pPr>
            <w:r>
              <w:rPr>
                <w:b/>
                <w:color w:val="auto"/>
                <w:szCs w:val="21"/>
              </w:rPr>
              <w:t>pH值</w:t>
            </w:r>
          </w:p>
        </w:tc>
        <w:tc>
          <w:tcPr>
            <w:tcW w:w="1089" w:type="dxa"/>
            <w:shd w:val="clear" w:color="auto" w:fill="auto"/>
            <w:vAlign w:val="center"/>
          </w:tcPr>
          <w:p>
            <w:pPr>
              <w:jc w:val="center"/>
              <w:rPr>
                <w:b/>
                <w:color w:val="auto"/>
                <w:szCs w:val="21"/>
              </w:rPr>
            </w:pPr>
            <w:r>
              <w:rPr>
                <w:b/>
                <w:color w:val="auto"/>
                <w:szCs w:val="21"/>
              </w:rPr>
              <w:t>溶解氧</w:t>
            </w:r>
          </w:p>
        </w:tc>
        <w:tc>
          <w:tcPr>
            <w:tcW w:w="1899" w:type="dxa"/>
            <w:shd w:val="clear" w:color="auto" w:fill="auto"/>
            <w:vAlign w:val="center"/>
          </w:tcPr>
          <w:p>
            <w:pPr>
              <w:jc w:val="center"/>
              <w:rPr>
                <w:b/>
                <w:color w:val="auto"/>
                <w:szCs w:val="21"/>
              </w:rPr>
            </w:pPr>
            <w:r>
              <w:rPr>
                <w:b/>
                <w:color w:val="auto"/>
                <w:szCs w:val="21"/>
              </w:rPr>
              <w:t>高锰酸盐指数</w:t>
            </w:r>
          </w:p>
        </w:tc>
        <w:tc>
          <w:tcPr>
            <w:tcW w:w="1088" w:type="dxa"/>
            <w:shd w:val="clear" w:color="auto" w:fill="auto"/>
            <w:vAlign w:val="center"/>
          </w:tcPr>
          <w:p>
            <w:pPr>
              <w:jc w:val="center"/>
              <w:rPr>
                <w:b/>
                <w:color w:val="auto"/>
                <w:szCs w:val="21"/>
              </w:rPr>
            </w:pPr>
            <w:r>
              <w:rPr>
                <w:b/>
                <w:color w:val="auto"/>
                <w:szCs w:val="21"/>
              </w:rPr>
              <w:t>BOD5</w:t>
            </w:r>
          </w:p>
        </w:tc>
        <w:tc>
          <w:tcPr>
            <w:tcW w:w="1089" w:type="dxa"/>
            <w:shd w:val="clear" w:color="auto" w:fill="auto"/>
            <w:vAlign w:val="center"/>
          </w:tcPr>
          <w:p>
            <w:pPr>
              <w:jc w:val="center"/>
              <w:rPr>
                <w:b/>
                <w:color w:val="auto"/>
                <w:szCs w:val="21"/>
              </w:rPr>
            </w:pPr>
            <w:r>
              <w:rPr>
                <w:b/>
                <w:color w:val="auto"/>
                <w:szCs w:val="21"/>
              </w:rPr>
              <w:t>COD</w:t>
            </w:r>
          </w:p>
        </w:tc>
        <w:tc>
          <w:tcPr>
            <w:tcW w:w="1629" w:type="dxa"/>
            <w:shd w:val="clear" w:color="auto" w:fill="auto"/>
            <w:vAlign w:val="center"/>
          </w:tcPr>
          <w:p>
            <w:pPr>
              <w:jc w:val="center"/>
              <w:rPr>
                <w:b/>
                <w:color w:val="auto"/>
                <w:szCs w:val="21"/>
              </w:rPr>
            </w:pPr>
            <w:r>
              <w:rPr>
                <w:b/>
                <w:color w:val="auto"/>
                <w:szCs w:val="21"/>
              </w:rPr>
              <w:t>氨氮</w:t>
            </w:r>
          </w:p>
        </w:tc>
        <w:tc>
          <w:tcPr>
            <w:tcW w:w="1089" w:type="dxa"/>
            <w:shd w:val="clear" w:color="auto" w:fill="auto"/>
            <w:vAlign w:val="center"/>
          </w:tcPr>
          <w:p>
            <w:pPr>
              <w:jc w:val="center"/>
              <w:rPr>
                <w:b/>
                <w:color w:val="auto"/>
                <w:szCs w:val="21"/>
              </w:rPr>
            </w:pPr>
            <w:r>
              <w:rPr>
                <w:b/>
                <w:color w:val="auto"/>
                <w:szCs w:val="21"/>
              </w:rPr>
              <w:t>总磷</w:t>
            </w:r>
          </w:p>
        </w:tc>
        <w:tc>
          <w:tcPr>
            <w:tcW w:w="818" w:type="dxa"/>
            <w:shd w:val="clear" w:color="auto" w:fill="auto"/>
            <w:vAlign w:val="center"/>
          </w:tcPr>
          <w:p>
            <w:pPr>
              <w:jc w:val="center"/>
              <w:rPr>
                <w:b/>
                <w:color w:val="auto"/>
                <w:szCs w:val="21"/>
              </w:rPr>
            </w:pPr>
            <w:r>
              <w:rPr>
                <w:b/>
                <w:color w:val="auto"/>
                <w:szCs w:val="21"/>
              </w:rPr>
              <w:t>总氮</w:t>
            </w:r>
          </w:p>
        </w:tc>
        <w:tc>
          <w:tcPr>
            <w:tcW w:w="801" w:type="dxa"/>
            <w:shd w:val="clear" w:color="auto" w:fill="auto"/>
            <w:vAlign w:val="center"/>
          </w:tcPr>
          <w:p>
            <w:pPr>
              <w:jc w:val="center"/>
              <w:rPr>
                <w:b/>
                <w:color w:val="auto"/>
                <w:szCs w:val="21"/>
              </w:rPr>
            </w:pPr>
            <w:r>
              <w:rPr>
                <w:b/>
                <w:color w:val="auto"/>
                <w:szCs w:val="21"/>
              </w:rPr>
              <w:t>LAS</w:t>
            </w:r>
          </w:p>
        </w:tc>
        <w:tc>
          <w:tcPr>
            <w:tcW w:w="749" w:type="dxa"/>
            <w:shd w:val="clear" w:color="auto" w:fill="auto"/>
            <w:vAlign w:val="center"/>
          </w:tcPr>
          <w:p>
            <w:pPr>
              <w:jc w:val="center"/>
              <w:rPr>
                <w:b/>
                <w:color w:val="auto"/>
                <w:szCs w:val="21"/>
              </w:rPr>
            </w:pPr>
            <w:r>
              <w:rPr>
                <w:b/>
                <w:color w:val="auto"/>
                <w:szCs w:val="21"/>
              </w:rPr>
              <w:t>铜</w:t>
            </w:r>
          </w:p>
        </w:tc>
        <w:tc>
          <w:tcPr>
            <w:tcW w:w="1088" w:type="dxa"/>
            <w:shd w:val="clear" w:color="auto" w:fill="auto"/>
            <w:vAlign w:val="center"/>
          </w:tcPr>
          <w:p>
            <w:pPr>
              <w:jc w:val="center"/>
              <w:rPr>
                <w:b/>
                <w:color w:val="auto"/>
                <w:szCs w:val="21"/>
              </w:rPr>
            </w:pPr>
            <w:r>
              <w:rPr>
                <w:b/>
                <w:color w:val="auto"/>
                <w:szCs w:val="21"/>
              </w:rPr>
              <w:t>锌</w:t>
            </w:r>
          </w:p>
        </w:tc>
        <w:tc>
          <w:tcPr>
            <w:tcW w:w="1089" w:type="dxa"/>
            <w:shd w:val="clear" w:color="auto" w:fill="auto"/>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W1</w:t>
            </w:r>
          </w:p>
        </w:tc>
        <w:tc>
          <w:tcPr>
            <w:tcW w:w="974" w:type="dxa"/>
            <w:shd w:val="clear" w:color="auto" w:fill="auto"/>
            <w:vAlign w:val="center"/>
          </w:tcPr>
          <w:p>
            <w:pPr>
              <w:widowControl/>
              <w:jc w:val="center"/>
              <w:rPr>
                <w:color w:val="auto"/>
                <w:kern w:val="0"/>
                <w:szCs w:val="21"/>
              </w:rPr>
            </w:pPr>
            <w:r>
              <w:rPr>
                <w:color w:val="auto"/>
                <w:kern w:val="0"/>
                <w:szCs w:val="21"/>
              </w:rPr>
              <w:t>0.40</w:t>
            </w:r>
          </w:p>
        </w:tc>
        <w:tc>
          <w:tcPr>
            <w:tcW w:w="1089" w:type="dxa"/>
            <w:shd w:val="clear" w:color="auto" w:fill="auto"/>
            <w:vAlign w:val="center"/>
          </w:tcPr>
          <w:p>
            <w:pPr>
              <w:widowControl/>
              <w:jc w:val="center"/>
              <w:rPr>
                <w:color w:val="auto"/>
                <w:kern w:val="0"/>
                <w:szCs w:val="21"/>
              </w:rPr>
            </w:pPr>
            <w:r>
              <w:rPr>
                <w:color w:val="auto"/>
                <w:kern w:val="0"/>
                <w:szCs w:val="21"/>
              </w:rPr>
              <w:t>1.54</w:t>
            </w:r>
          </w:p>
        </w:tc>
        <w:tc>
          <w:tcPr>
            <w:tcW w:w="1899" w:type="dxa"/>
            <w:shd w:val="clear" w:color="auto" w:fill="auto"/>
            <w:vAlign w:val="center"/>
          </w:tcPr>
          <w:p>
            <w:pPr>
              <w:widowControl/>
              <w:jc w:val="center"/>
              <w:rPr>
                <w:color w:val="auto"/>
                <w:kern w:val="0"/>
                <w:szCs w:val="21"/>
              </w:rPr>
            </w:pPr>
            <w:r>
              <w:rPr>
                <w:color w:val="auto"/>
                <w:kern w:val="0"/>
                <w:szCs w:val="21"/>
              </w:rPr>
              <w:t>2.83</w:t>
            </w:r>
          </w:p>
        </w:tc>
        <w:tc>
          <w:tcPr>
            <w:tcW w:w="1088" w:type="dxa"/>
            <w:shd w:val="clear" w:color="auto" w:fill="auto"/>
            <w:vAlign w:val="center"/>
          </w:tcPr>
          <w:p>
            <w:pPr>
              <w:widowControl/>
              <w:jc w:val="center"/>
              <w:rPr>
                <w:color w:val="auto"/>
                <w:kern w:val="0"/>
                <w:szCs w:val="21"/>
              </w:rPr>
            </w:pPr>
            <w:r>
              <w:rPr>
                <w:color w:val="auto"/>
                <w:kern w:val="0"/>
                <w:szCs w:val="21"/>
              </w:rPr>
              <w:t>8.19</w:t>
            </w:r>
          </w:p>
        </w:tc>
        <w:tc>
          <w:tcPr>
            <w:tcW w:w="1089" w:type="dxa"/>
            <w:shd w:val="clear" w:color="auto" w:fill="auto"/>
            <w:vAlign w:val="center"/>
          </w:tcPr>
          <w:p>
            <w:pPr>
              <w:widowControl/>
              <w:jc w:val="center"/>
              <w:rPr>
                <w:color w:val="auto"/>
                <w:kern w:val="0"/>
                <w:szCs w:val="21"/>
              </w:rPr>
            </w:pPr>
            <w:r>
              <w:rPr>
                <w:color w:val="auto"/>
                <w:kern w:val="0"/>
                <w:szCs w:val="21"/>
              </w:rPr>
              <w:t>6.10</w:t>
            </w:r>
          </w:p>
        </w:tc>
        <w:tc>
          <w:tcPr>
            <w:tcW w:w="1629" w:type="dxa"/>
            <w:shd w:val="clear" w:color="auto" w:fill="auto"/>
            <w:vAlign w:val="center"/>
          </w:tcPr>
          <w:p>
            <w:pPr>
              <w:widowControl/>
              <w:jc w:val="center"/>
              <w:rPr>
                <w:color w:val="auto"/>
                <w:kern w:val="0"/>
                <w:szCs w:val="21"/>
              </w:rPr>
            </w:pPr>
            <w:r>
              <w:rPr>
                <w:color w:val="auto"/>
                <w:kern w:val="0"/>
                <w:szCs w:val="21"/>
              </w:rPr>
              <w:t>2.62</w:t>
            </w:r>
          </w:p>
        </w:tc>
        <w:tc>
          <w:tcPr>
            <w:tcW w:w="1089" w:type="dxa"/>
            <w:shd w:val="clear" w:color="auto" w:fill="auto"/>
            <w:vAlign w:val="center"/>
          </w:tcPr>
          <w:p>
            <w:pPr>
              <w:widowControl/>
              <w:jc w:val="center"/>
              <w:rPr>
                <w:color w:val="auto"/>
                <w:kern w:val="0"/>
                <w:szCs w:val="21"/>
              </w:rPr>
            </w:pPr>
            <w:r>
              <w:rPr>
                <w:color w:val="auto"/>
                <w:kern w:val="0"/>
                <w:szCs w:val="21"/>
              </w:rPr>
              <w:t>1.86</w:t>
            </w:r>
          </w:p>
        </w:tc>
        <w:tc>
          <w:tcPr>
            <w:tcW w:w="818" w:type="dxa"/>
            <w:shd w:val="clear" w:color="auto" w:fill="auto"/>
            <w:vAlign w:val="center"/>
          </w:tcPr>
          <w:p>
            <w:pPr>
              <w:widowControl/>
              <w:jc w:val="center"/>
              <w:rPr>
                <w:color w:val="auto"/>
                <w:kern w:val="0"/>
                <w:szCs w:val="21"/>
              </w:rPr>
            </w:pPr>
            <w:r>
              <w:rPr>
                <w:color w:val="auto"/>
                <w:kern w:val="0"/>
                <w:szCs w:val="21"/>
              </w:rPr>
              <w:t>3.65</w:t>
            </w:r>
          </w:p>
        </w:tc>
        <w:tc>
          <w:tcPr>
            <w:tcW w:w="801" w:type="dxa"/>
            <w:shd w:val="clear" w:color="auto" w:fill="auto"/>
            <w:vAlign w:val="center"/>
          </w:tcPr>
          <w:p>
            <w:pPr>
              <w:widowControl/>
              <w:jc w:val="center"/>
              <w:rPr>
                <w:color w:val="auto"/>
                <w:kern w:val="0"/>
                <w:szCs w:val="21"/>
              </w:rPr>
            </w:pPr>
            <w:r>
              <w:rPr>
                <w:color w:val="auto"/>
                <w:kern w:val="0"/>
                <w:szCs w:val="21"/>
              </w:rPr>
              <w:t>0.08</w:t>
            </w:r>
          </w:p>
        </w:tc>
        <w:tc>
          <w:tcPr>
            <w:tcW w:w="749" w:type="dxa"/>
            <w:shd w:val="clear" w:color="auto" w:fill="auto"/>
            <w:vAlign w:val="center"/>
          </w:tcPr>
          <w:p>
            <w:pPr>
              <w:widowControl/>
              <w:jc w:val="center"/>
              <w:rPr>
                <w:color w:val="auto"/>
                <w:kern w:val="0"/>
                <w:szCs w:val="21"/>
              </w:rPr>
            </w:pPr>
            <w:r>
              <w:rPr>
                <w:color w:val="auto"/>
                <w:kern w:val="0"/>
                <w:szCs w:val="21"/>
              </w:rPr>
              <w:t>0.08</w:t>
            </w:r>
          </w:p>
        </w:tc>
        <w:tc>
          <w:tcPr>
            <w:tcW w:w="1088" w:type="dxa"/>
            <w:shd w:val="clear" w:color="auto" w:fill="auto"/>
            <w:vAlign w:val="center"/>
          </w:tcPr>
          <w:p>
            <w:pPr>
              <w:widowControl/>
              <w:jc w:val="center"/>
              <w:rPr>
                <w:color w:val="auto"/>
                <w:kern w:val="0"/>
                <w:szCs w:val="21"/>
              </w:rPr>
            </w:pPr>
            <w:r>
              <w:rPr>
                <w:color w:val="auto"/>
                <w:kern w:val="0"/>
                <w:szCs w:val="21"/>
              </w:rPr>
              <w:t>0.06</w:t>
            </w:r>
          </w:p>
        </w:tc>
        <w:tc>
          <w:tcPr>
            <w:tcW w:w="1089" w:type="dxa"/>
            <w:shd w:val="clear" w:color="auto" w:fill="auto"/>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W2</w:t>
            </w:r>
          </w:p>
        </w:tc>
        <w:tc>
          <w:tcPr>
            <w:tcW w:w="974" w:type="dxa"/>
            <w:shd w:val="clear" w:color="auto" w:fill="auto"/>
            <w:vAlign w:val="center"/>
          </w:tcPr>
          <w:p>
            <w:pPr>
              <w:widowControl/>
              <w:jc w:val="center"/>
              <w:rPr>
                <w:color w:val="auto"/>
                <w:kern w:val="0"/>
                <w:szCs w:val="21"/>
              </w:rPr>
            </w:pPr>
            <w:r>
              <w:rPr>
                <w:color w:val="auto"/>
                <w:kern w:val="0"/>
                <w:szCs w:val="21"/>
              </w:rPr>
              <w:t>0.18</w:t>
            </w:r>
          </w:p>
        </w:tc>
        <w:tc>
          <w:tcPr>
            <w:tcW w:w="1089" w:type="dxa"/>
            <w:shd w:val="clear" w:color="auto" w:fill="auto"/>
            <w:vAlign w:val="center"/>
          </w:tcPr>
          <w:p>
            <w:pPr>
              <w:widowControl/>
              <w:jc w:val="center"/>
              <w:rPr>
                <w:color w:val="auto"/>
                <w:kern w:val="0"/>
                <w:szCs w:val="21"/>
              </w:rPr>
            </w:pPr>
            <w:r>
              <w:rPr>
                <w:color w:val="auto"/>
                <w:kern w:val="0"/>
                <w:szCs w:val="21"/>
              </w:rPr>
              <w:t>1.62</w:t>
            </w:r>
          </w:p>
        </w:tc>
        <w:tc>
          <w:tcPr>
            <w:tcW w:w="1899" w:type="dxa"/>
            <w:shd w:val="clear" w:color="auto" w:fill="auto"/>
            <w:vAlign w:val="center"/>
          </w:tcPr>
          <w:p>
            <w:pPr>
              <w:widowControl/>
              <w:jc w:val="center"/>
              <w:rPr>
                <w:color w:val="auto"/>
                <w:kern w:val="0"/>
                <w:szCs w:val="21"/>
              </w:rPr>
            </w:pPr>
            <w:r>
              <w:rPr>
                <w:color w:val="auto"/>
                <w:kern w:val="0"/>
                <w:szCs w:val="21"/>
              </w:rPr>
              <w:t>0.75</w:t>
            </w:r>
          </w:p>
        </w:tc>
        <w:tc>
          <w:tcPr>
            <w:tcW w:w="1088" w:type="dxa"/>
            <w:shd w:val="clear" w:color="auto" w:fill="auto"/>
            <w:vAlign w:val="center"/>
          </w:tcPr>
          <w:p>
            <w:pPr>
              <w:widowControl/>
              <w:jc w:val="center"/>
              <w:rPr>
                <w:color w:val="auto"/>
                <w:kern w:val="0"/>
                <w:szCs w:val="21"/>
              </w:rPr>
            </w:pPr>
            <w:r>
              <w:rPr>
                <w:color w:val="auto"/>
                <w:kern w:val="0"/>
                <w:szCs w:val="21"/>
              </w:rPr>
              <w:t>3.99</w:t>
            </w:r>
          </w:p>
        </w:tc>
        <w:tc>
          <w:tcPr>
            <w:tcW w:w="1089" w:type="dxa"/>
            <w:shd w:val="clear" w:color="auto" w:fill="auto"/>
            <w:vAlign w:val="center"/>
          </w:tcPr>
          <w:p>
            <w:pPr>
              <w:widowControl/>
              <w:jc w:val="center"/>
              <w:rPr>
                <w:color w:val="auto"/>
                <w:kern w:val="0"/>
                <w:szCs w:val="21"/>
              </w:rPr>
            </w:pPr>
            <w:r>
              <w:rPr>
                <w:color w:val="auto"/>
                <w:kern w:val="0"/>
                <w:szCs w:val="21"/>
              </w:rPr>
              <w:t>2.69</w:t>
            </w:r>
          </w:p>
        </w:tc>
        <w:tc>
          <w:tcPr>
            <w:tcW w:w="1629" w:type="dxa"/>
            <w:shd w:val="clear" w:color="auto" w:fill="auto"/>
            <w:vAlign w:val="center"/>
          </w:tcPr>
          <w:p>
            <w:pPr>
              <w:widowControl/>
              <w:jc w:val="center"/>
              <w:rPr>
                <w:color w:val="auto"/>
                <w:kern w:val="0"/>
                <w:szCs w:val="21"/>
              </w:rPr>
            </w:pPr>
            <w:r>
              <w:rPr>
                <w:color w:val="auto"/>
                <w:kern w:val="0"/>
                <w:szCs w:val="21"/>
              </w:rPr>
              <w:t>1.24</w:t>
            </w:r>
          </w:p>
        </w:tc>
        <w:tc>
          <w:tcPr>
            <w:tcW w:w="1089" w:type="dxa"/>
            <w:shd w:val="clear" w:color="auto" w:fill="auto"/>
            <w:vAlign w:val="center"/>
          </w:tcPr>
          <w:p>
            <w:pPr>
              <w:widowControl/>
              <w:jc w:val="center"/>
              <w:rPr>
                <w:color w:val="auto"/>
                <w:kern w:val="0"/>
                <w:szCs w:val="21"/>
              </w:rPr>
            </w:pPr>
            <w:r>
              <w:rPr>
                <w:color w:val="auto"/>
                <w:kern w:val="0"/>
                <w:szCs w:val="21"/>
              </w:rPr>
              <w:t>6.71</w:t>
            </w:r>
          </w:p>
        </w:tc>
        <w:tc>
          <w:tcPr>
            <w:tcW w:w="818" w:type="dxa"/>
            <w:shd w:val="clear" w:color="auto" w:fill="auto"/>
            <w:vAlign w:val="center"/>
          </w:tcPr>
          <w:p>
            <w:pPr>
              <w:widowControl/>
              <w:jc w:val="center"/>
              <w:rPr>
                <w:color w:val="auto"/>
                <w:kern w:val="0"/>
                <w:szCs w:val="21"/>
              </w:rPr>
            </w:pPr>
            <w:r>
              <w:rPr>
                <w:color w:val="auto"/>
                <w:kern w:val="0"/>
                <w:szCs w:val="21"/>
              </w:rPr>
              <w:t>2.33</w:t>
            </w:r>
          </w:p>
        </w:tc>
        <w:tc>
          <w:tcPr>
            <w:tcW w:w="801" w:type="dxa"/>
            <w:shd w:val="clear" w:color="auto" w:fill="auto"/>
            <w:vAlign w:val="center"/>
          </w:tcPr>
          <w:p>
            <w:pPr>
              <w:widowControl/>
              <w:jc w:val="center"/>
              <w:rPr>
                <w:color w:val="auto"/>
                <w:kern w:val="0"/>
                <w:szCs w:val="21"/>
              </w:rPr>
            </w:pPr>
            <w:r>
              <w:rPr>
                <w:color w:val="auto"/>
                <w:kern w:val="0"/>
                <w:szCs w:val="21"/>
              </w:rPr>
              <w:t>0.08</w:t>
            </w:r>
          </w:p>
        </w:tc>
        <w:tc>
          <w:tcPr>
            <w:tcW w:w="749" w:type="dxa"/>
            <w:shd w:val="clear" w:color="auto" w:fill="auto"/>
            <w:vAlign w:val="center"/>
          </w:tcPr>
          <w:p>
            <w:pPr>
              <w:widowControl/>
              <w:jc w:val="center"/>
              <w:rPr>
                <w:color w:val="auto"/>
                <w:kern w:val="0"/>
                <w:szCs w:val="21"/>
              </w:rPr>
            </w:pPr>
            <w:r>
              <w:rPr>
                <w:color w:val="auto"/>
                <w:kern w:val="0"/>
                <w:szCs w:val="21"/>
              </w:rPr>
              <w:t>0.00</w:t>
            </w:r>
          </w:p>
        </w:tc>
        <w:tc>
          <w:tcPr>
            <w:tcW w:w="1088" w:type="dxa"/>
            <w:shd w:val="clear" w:color="auto" w:fill="auto"/>
            <w:vAlign w:val="center"/>
          </w:tcPr>
          <w:p>
            <w:pPr>
              <w:widowControl/>
              <w:jc w:val="center"/>
              <w:rPr>
                <w:color w:val="auto"/>
                <w:kern w:val="0"/>
                <w:szCs w:val="21"/>
              </w:rPr>
            </w:pPr>
            <w:r>
              <w:rPr>
                <w:color w:val="auto"/>
                <w:kern w:val="0"/>
                <w:szCs w:val="21"/>
              </w:rPr>
              <w:t>0.06</w:t>
            </w:r>
          </w:p>
        </w:tc>
        <w:tc>
          <w:tcPr>
            <w:tcW w:w="1089" w:type="dxa"/>
            <w:shd w:val="clear" w:color="auto" w:fill="auto"/>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W3</w:t>
            </w:r>
          </w:p>
        </w:tc>
        <w:tc>
          <w:tcPr>
            <w:tcW w:w="974" w:type="dxa"/>
            <w:shd w:val="clear" w:color="auto" w:fill="auto"/>
            <w:vAlign w:val="center"/>
          </w:tcPr>
          <w:p>
            <w:pPr>
              <w:widowControl/>
              <w:jc w:val="center"/>
              <w:rPr>
                <w:color w:val="auto"/>
                <w:kern w:val="0"/>
                <w:szCs w:val="21"/>
              </w:rPr>
            </w:pPr>
            <w:r>
              <w:rPr>
                <w:color w:val="auto"/>
                <w:kern w:val="0"/>
                <w:szCs w:val="21"/>
              </w:rPr>
              <w:t>0.25</w:t>
            </w:r>
          </w:p>
        </w:tc>
        <w:tc>
          <w:tcPr>
            <w:tcW w:w="1089" w:type="dxa"/>
            <w:shd w:val="clear" w:color="auto" w:fill="auto"/>
            <w:vAlign w:val="center"/>
          </w:tcPr>
          <w:p>
            <w:pPr>
              <w:widowControl/>
              <w:jc w:val="center"/>
              <w:rPr>
                <w:color w:val="auto"/>
                <w:kern w:val="0"/>
                <w:szCs w:val="21"/>
              </w:rPr>
            </w:pPr>
            <w:r>
              <w:rPr>
                <w:color w:val="auto"/>
                <w:kern w:val="0"/>
                <w:szCs w:val="21"/>
              </w:rPr>
              <w:t>1.49</w:t>
            </w:r>
          </w:p>
        </w:tc>
        <w:tc>
          <w:tcPr>
            <w:tcW w:w="1899" w:type="dxa"/>
            <w:shd w:val="clear" w:color="auto" w:fill="auto"/>
            <w:vAlign w:val="center"/>
          </w:tcPr>
          <w:p>
            <w:pPr>
              <w:widowControl/>
              <w:jc w:val="center"/>
              <w:rPr>
                <w:color w:val="auto"/>
                <w:kern w:val="0"/>
                <w:szCs w:val="21"/>
              </w:rPr>
            </w:pPr>
            <w:r>
              <w:rPr>
                <w:color w:val="auto"/>
                <w:kern w:val="0"/>
                <w:szCs w:val="21"/>
              </w:rPr>
              <w:t>0.50</w:t>
            </w:r>
          </w:p>
        </w:tc>
        <w:tc>
          <w:tcPr>
            <w:tcW w:w="1088" w:type="dxa"/>
            <w:shd w:val="clear" w:color="auto" w:fill="auto"/>
            <w:vAlign w:val="center"/>
          </w:tcPr>
          <w:p>
            <w:pPr>
              <w:widowControl/>
              <w:jc w:val="center"/>
              <w:rPr>
                <w:color w:val="auto"/>
                <w:kern w:val="0"/>
                <w:szCs w:val="21"/>
              </w:rPr>
            </w:pPr>
            <w:r>
              <w:rPr>
                <w:color w:val="auto"/>
                <w:kern w:val="0"/>
                <w:szCs w:val="21"/>
              </w:rPr>
              <w:t>1.11</w:t>
            </w:r>
          </w:p>
        </w:tc>
        <w:tc>
          <w:tcPr>
            <w:tcW w:w="1089" w:type="dxa"/>
            <w:shd w:val="clear" w:color="auto" w:fill="auto"/>
            <w:vAlign w:val="center"/>
          </w:tcPr>
          <w:p>
            <w:pPr>
              <w:widowControl/>
              <w:jc w:val="center"/>
              <w:rPr>
                <w:color w:val="auto"/>
                <w:kern w:val="0"/>
                <w:szCs w:val="21"/>
              </w:rPr>
            </w:pPr>
            <w:r>
              <w:rPr>
                <w:color w:val="auto"/>
                <w:kern w:val="0"/>
                <w:szCs w:val="21"/>
              </w:rPr>
              <w:t>0.93</w:t>
            </w:r>
          </w:p>
        </w:tc>
        <w:tc>
          <w:tcPr>
            <w:tcW w:w="1629" w:type="dxa"/>
            <w:shd w:val="clear" w:color="auto" w:fill="auto"/>
            <w:vAlign w:val="center"/>
          </w:tcPr>
          <w:p>
            <w:pPr>
              <w:widowControl/>
              <w:jc w:val="center"/>
              <w:rPr>
                <w:color w:val="auto"/>
                <w:kern w:val="0"/>
                <w:szCs w:val="21"/>
              </w:rPr>
            </w:pPr>
            <w:r>
              <w:rPr>
                <w:color w:val="auto"/>
                <w:kern w:val="0"/>
                <w:szCs w:val="21"/>
              </w:rPr>
              <w:t>0.68</w:t>
            </w:r>
          </w:p>
        </w:tc>
        <w:tc>
          <w:tcPr>
            <w:tcW w:w="1089" w:type="dxa"/>
            <w:shd w:val="clear" w:color="auto" w:fill="auto"/>
            <w:vAlign w:val="center"/>
          </w:tcPr>
          <w:p>
            <w:pPr>
              <w:widowControl/>
              <w:jc w:val="center"/>
              <w:rPr>
                <w:color w:val="auto"/>
                <w:kern w:val="0"/>
                <w:szCs w:val="21"/>
              </w:rPr>
            </w:pPr>
            <w:r>
              <w:rPr>
                <w:color w:val="auto"/>
                <w:kern w:val="0"/>
                <w:szCs w:val="21"/>
              </w:rPr>
              <w:t>1.91</w:t>
            </w:r>
          </w:p>
        </w:tc>
        <w:tc>
          <w:tcPr>
            <w:tcW w:w="818" w:type="dxa"/>
            <w:shd w:val="clear" w:color="auto" w:fill="auto"/>
            <w:vAlign w:val="center"/>
          </w:tcPr>
          <w:p>
            <w:pPr>
              <w:widowControl/>
              <w:jc w:val="center"/>
              <w:rPr>
                <w:color w:val="auto"/>
                <w:kern w:val="0"/>
                <w:szCs w:val="21"/>
              </w:rPr>
            </w:pPr>
            <w:r>
              <w:rPr>
                <w:color w:val="auto"/>
                <w:kern w:val="0"/>
                <w:szCs w:val="21"/>
              </w:rPr>
              <w:t>1.58</w:t>
            </w:r>
          </w:p>
        </w:tc>
        <w:tc>
          <w:tcPr>
            <w:tcW w:w="801" w:type="dxa"/>
            <w:shd w:val="clear" w:color="auto" w:fill="auto"/>
            <w:vAlign w:val="center"/>
          </w:tcPr>
          <w:p>
            <w:pPr>
              <w:widowControl/>
              <w:jc w:val="center"/>
              <w:rPr>
                <w:color w:val="auto"/>
                <w:kern w:val="0"/>
                <w:szCs w:val="21"/>
              </w:rPr>
            </w:pPr>
            <w:r>
              <w:rPr>
                <w:color w:val="auto"/>
                <w:kern w:val="0"/>
                <w:szCs w:val="21"/>
              </w:rPr>
              <w:t>0.08</w:t>
            </w:r>
          </w:p>
        </w:tc>
        <w:tc>
          <w:tcPr>
            <w:tcW w:w="749" w:type="dxa"/>
            <w:shd w:val="clear" w:color="auto" w:fill="auto"/>
            <w:vAlign w:val="center"/>
          </w:tcPr>
          <w:p>
            <w:pPr>
              <w:widowControl/>
              <w:jc w:val="center"/>
              <w:rPr>
                <w:color w:val="auto"/>
                <w:kern w:val="0"/>
                <w:szCs w:val="21"/>
              </w:rPr>
            </w:pPr>
            <w:r>
              <w:rPr>
                <w:color w:val="auto"/>
                <w:kern w:val="0"/>
                <w:szCs w:val="21"/>
              </w:rPr>
              <w:t>0.01</w:t>
            </w:r>
          </w:p>
        </w:tc>
        <w:tc>
          <w:tcPr>
            <w:tcW w:w="1088" w:type="dxa"/>
            <w:shd w:val="clear" w:color="auto" w:fill="auto"/>
            <w:vAlign w:val="center"/>
          </w:tcPr>
          <w:p>
            <w:pPr>
              <w:widowControl/>
              <w:jc w:val="center"/>
              <w:rPr>
                <w:color w:val="auto"/>
                <w:kern w:val="0"/>
                <w:szCs w:val="21"/>
              </w:rPr>
            </w:pPr>
            <w:r>
              <w:rPr>
                <w:color w:val="auto"/>
                <w:kern w:val="0"/>
                <w:szCs w:val="21"/>
              </w:rPr>
              <w:t>0.13</w:t>
            </w:r>
          </w:p>
        </w:tc>
        <w:tc>
          <w:tcPr>
            <w:tcW w:w="1089" w:type="dxa"/>
            <w:shd w:val="clear" w:color="auto" w:fill="auto"/>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断面</w:t>
            </w:r>
          </w:p>
        </w:tc>
        <w:tc>
          <w:tcPr>
            <w:tcW w:w="974" w:type="dxa"/>
            <w:shd w:val="clear" w:color="auto" w:fill="auto"/>
            <w:vAlign w:val="center"/>
          </w:tcPr>
          <w:p>
            <w:pPr>
              <w:jc w:val="center"/>
              <w:rPr>
                <w:b/>
                <w:bCs/>
                <w:color w:val="auto"/>
                <w:szCs w:val="21"/>
              </w:rPr>
            </w:pPr>
            <w:r>
              <w:rPr>
                <w:b/>
                <w:bCs/>
                <w:color w:val="auto"/>
                <w:szCs w:val="21"/>
              </w:rPr>
              <w:t>镉</w:t>
            </w:r>
          </w:p>
        </w:tc>
        <w:tc>
          <w:tcPr>
            <w:tcW w:w="1089" w:type="dxa"/>
            <w:shd w:val="clear" w:color="auto" w:fill="auto"/>
            <w:vAlign w:val="center"/>
          </w:tcPr>
          <w:p>
            <w:pPr>
              <w:jc w:val="center"/>
              <w:rPr>
                <w:b/>
                <w:bCs/>
                <w:color w:val="auto"/>
                <w:szCs w:val="21"/>
              </w:rPr>
            </w:pPr>
            <w:r>
              <w:rPr>
                <w:b/>
                <w:bCs/>
                <w:color w:val="auto"/>
                <w:szCs w:val="21"/>
              </w:rPr>
              <w:t>铅</w:t>
            </w:r>
          </w:p>
        </w:tc>
        <w:tc>
          <w:tcPr>
            <w:tcW w:w="1899" w:type="dxa"/>
            <w:shd w:val="clear" w:color="auto" w:fill="auto"/>
            <w:vAlign w:val="center"/>
          </w:tcPr>
          <w:p>
            <w:pPr>
              <w:jc w:val="center"/>
              <w:rPr>
                <w:b/>
                <w:bCs/>
                <w:color w:val="auto"/>
                <w:szCs w:val="21"/>
              </w:rPr>
            </w:pPr>
            <w:r>
              <w:rPr>
                <w:b/>
                <w:bCs/>
                <w:color w:val="auto"/>
                <w:szCs w:val="21"/>
              </w:rPr>
              <w:t>氰化物</w:t>
            </w:r>
          </w:p>
        </w:tc>
        <w:tc>
          <w:tcPr>
            <w:tcW w:w="1088" w:type="dxa"/>
            <w:shd w:val="clear" w:color="auto" w:fill="auto"/>
            <w:vAlign w:val="center"/>
          </w:tcPr>
          <w:p>
            <w:pPr>
              <w:jc w:val="center"/>
              <w:rPr>
                <w:b/>
                <w:bCs/>
                <w:color w:val="auto"/>
                <w:szCs w:val="21"/>
              </w:rPr>
            </w:pPr>
            <w:r>
              <w:rPr>
                <w:b/>
                <w:bCs/>
                <w:color w:val="auto"/>
                <w:szCs w:val="21"/>
              </w:rPr>
              <w:t>氟化物</w:t>
            </w:r>
          </w:p>
        </w:tc>
        <w:tc>
          <w:tcPr>
            <w:tcW w:w="1089" w:type="dxa"/>
            <w:shd w:val="clear" w:color="auto" w:fill="auto"/>
            <w:vAlign w:val="center"/>
          </w:tcPr>
          <w:p>
            <w:pPr>
              <w:jc w:val="center"/>
              <w:rPr>
                <w:b/>
                <w:bCs/>
                <w:color w:val="auto"/>
                <w:szCs w:val="21"/>
              </w:rPr>
            </w:pPr>
            <w:r>
              <w:rPr>
                <w:b/>
                <w:bCs/>
                <w:color w:val="auto"/>
                <w:szCs w:val="21"/>
              </w:rPr>
              <w:t>挥发酚</w:t>
            </w:r>
          </w:p>
        </w:tc>
        <w:tc>
          <w:tcPr>
            <w:tcW w:w="1629" w:type="dxa"/>
            <w:shd w:val="clear" w:color="auto" w:fill="auto"/>
            <w:vAlign w:val="center"/>
          </w:tcPr>
          <w:p>
            <w:pPr>
              <w:jc w:val="center"/>
              <w:rPr>
                <w:b/>
                <w:bCs/>
                <w:color w:val="auto"/>
                <w:szCs w:val="21"/>
              </w:rPr>
            </w:pPr>
            <w:r>
              <w:rPr>
                <w:b/>
                <w:bCs/>
                <w:color w:val="auto"/>
                <w:szCs w:val="21"/>
              </w:rPr>
              <w:t>粪大肠菌群</w:t>
            </w:r>
          </w:p>
        </w:tc>
        <w:tc>
          <w:tcPr>
            <w:tcW w:w="1089" w:type="dxa"/>
            <w:shd w:val="clear" w:color="auto" w:fill="auto"/>
            <w:vAlign w:val="center"/>
          </w:tcPr>
          <w:p>
            <w:pPr>
              <w:jc w:val="center"/>
              <w:rPr>
                <w:b/>
                <w:bCs/>
                <w:color w:val="auto"/>
                <w:szCs w:val="21"/>
              </w:rPr>
            </w:pPr>
            <w:r>
              <w:rPr>
                <w:b/>
                <w:bCs/>
                <w:color w:val="auto"/>
                <w:szCs w:val="21"/>
              </w:rPr>
              <w:t>硫化物</w:t>
            </w:r>
          </w:p>
        </w:tc>
        <w:tc>
          <w:tcPr>
            <w:tcW w:w="818" w:type="dxa"/>
            <w:shd w:val="clear" w:color="auto" w:fill="auto"/>
            <w:vAlign w:val="center"/>
          </w:tcPr>
          <w:p>
            <w:pPr>
              <w:jc w:val="center"/>
              <w:rPr>
                <w:b/>
                <w:bCs/>
                <w:color w:val="auto"/>
                <w:szCs w:val="21"/>
              </w:rPr>
            </w:pPr>
            <w:r>
              <w:rPr>
                <w:b/>
                <w:bCs/>
                <w:color w:val="auto"/>
                <w:szCs w:val="21"/>
              </w:rPr>
              <w:t>汞</w:t>
            </w:r>
          </w:p>
        </w:tc>
        <w:tc>
          <w:tcPr>
            <w:tcW w:w="801" w:type="dxa"/>
            <w:shd w:val="clear" w:color="auto" w:fill="auto"/>
            <w:vAlign w:val="center"/>
          </w:tcPr>
          <w:p>
            <w:pPr>
              <w:jc w:val="center"/>
              <w:rPr>
                <w:b/>
                <w:bCs/>
                <w:color w:val="auto"/>
                <w:szCs w:val="21"/>
              </w:rPr>
            </w:pPr>
            <w:r>
              <w:rPr>
                <w:b/>
                <w:bCs/>
                <w:color w:val="auto"/>
                <w:szCs w:val="21"/>
              </w:rPr>
              <w:t>砷</w:t>
            </w:r>
          </w:p>
        </w:tc>
        <w:tc>
          <w:tcPr>
            <w:tcW w:w="749" w:type="dxa"/>
            <w:shd w:val="clear" w:color="auto" w:fill="auto"/>
            <w:vAlign w:val="center"/>
          </w:tcPr>
          <w:p>
            <w:pPr>
              <w:jc w:val="center"/>
              <w:rPr>
                <w:b/>
                <w:bCs/>
                <w:color w:val="auto"/>
                <w:szCs w:val="21"/>
              </w:rPr>
            </w:pPr>
            <w:r>
              <w:rPr>
                <w:b/>
                <w:bCs/>
                <w:color w:val="auto"/>
                <w:szCs w:val="21"/>
              </w:rPr>
              <w:t>硒</w:t>
            </w:r>
          </w:p>
        </w:tc>
        <w:tc>
          <w:tcPr>
            <w:tcW w:w="1088" w:type="dxa"/>
            <w:shd w:val="clear" w:color="auto" w:fill="auto"/>
            <w:vAlign w:val="center"/>
          </w:tcPr>
          <w:p>
            <w:pPr>
              <w:jc w:val="center"/>
              <w:rPr>
                <w:b/>
                <w:bCs/>
                <w:color w:val="auto"/>
                <w:szCs w:val="21"/>
              </w:rPr>
            </w:pPr>
            <w:r>
              <w:rPr>
                <w:b/>
                <w:bCs/>
                <w:color w:val="auto"/>
                <w:szCs w:val="21"/>
              </w:rPr>
              <w:t>六价铬</w:t>
            </w:r>
          </w:p>
        </w:tc>
        <w:tc>
          <w:tcPr>
            <w:tcW w:w="1089" w:type="dxa"/>
            <w:shd w:val="clear" w:color="auto" w:fill="auto"/>
            <w:vAlign w:val="center"/>
          </w:tcPr>
          <w:p>
            <w:pPr>
              <w:jc w:val="center"/>
              <w:rPr>
                <w:b/>
                <w:bCs/>
                <w:color w:val="auto"/>
                <w:szCs w:val="21"/>
              </w:rPr>
            </w:pPr>
            <w:r>
              <w:rPr>
                <w:b/>
                <w:bCs/>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W1</w:t>
            </w:r>
          </w:p>
        </w:tc>
        <w:tc>
          <w:tcPr>
            <w:tcW w:w="974" w:type="dxa"/>
            <w:shd w:val="clear" w:color="auto" w:fill="auto"/>
            <w:vAlign w:val="center"/>
          </w:tcPr>
          <w:p>
            <w:pPr>
              <w:widowControl/>
              <w:jc w:val="center"/>
              <w:rPr>
                <w:color w:val="auto"/>
                <w:kern w:val="0"/>
                <w:szCs w:val="21"/>
              </w:rPr>
            </w:pPr>
            <w:r>
              <w:rPr>
                <w:color w:val="auto"/>
                <w:kern w:val="0"/>
                <w:szCs w:val="21"/>
              </w:rPr>
              <w:t>0.27</w:t>
            </w:r>
          </w:p>
        </w:tc>
        <w:tc>
          <w:tcPr>
            <w:tcW w:w="1089" w:type="dxa"/>
            <w:shd w:val="clear" w:color="auto" w:fill="auto"/>
            <w:vAlign w:val="center"/>
          </w:tcPr>
          <w:p>
            <w:pPr>
              <w:widowControl/>
              <w:jc w:val="center"/>
              <w:rPr>
                <w:color w:val="auto"/>
                <w:kern w:val="0"/>
                <w:szCs w:val="21"/>
              </w:rPr>
            </w:pPr>
            <w:r>
              <w:rPr>
                <w:color w:val="auto"/>
                <w:kern w:val="0"/>
                <w:szCs w:val="21"/>
              </w:rPr>
              <w:t>0.29</w:t>
            </w:r>
          </w:p>
        </w:tc>
        <w:tc>
          <w:tcPr>
            <w:tcW w:w="1899" w:type="dxa"/>
            <w:shd w:val="clear" w:color="auto" w:fill="auto"/>
            <w:vAlign w:val="center"/>
          </w:tcPr>
          <w:p>
            <w:pPr>
              <w:widowControl/>
              <w:jc w:val="center"/>
              <w:rPr>
                <w:color w:val="auto"/>
                <w:kern w:val="0"/>
                <w:szCs w:val="21"/>
              </w:rPr>
            </w:pPr>
            <w:r>
              <w:rPr>
                <w:color w:val="auto"/>
                <w:kern w:val="0"/>
                <w:szCs w:val="21"/>
              </w:rPr>
              <w:t>0.01</w:t>
            </w:r>
          </w:p>
        </w:tc>
        <w:tc>
          <w:tcPr>
            <w:tcW w:w="1088" w:type="dxa"/>
            <w:shd w:val="clear" w:color="auto" w:fill="auto"/>
            <w:vAlign w:val="center"/>
          </w:tcPr>
          <w:p>
            <w:pPr>
              <w:widowControl/>
              <w:jc w:val="center"/>
              <w:rPr>
                <w:color w:val="auto"/>
                <w:kern w:val="0"/>
                <w:szCs w:val="21"/>
              </w:rPr>
            </w:pPr>
            <w:r>
              <w:rPr>
                <w:color w:val="auto"/>
                <w:kern w:val="0"/>
                <w:szCs w:val="21"/>
              </w:rPr>
              <w:t>7.40</w:t>
            </w:r>
          </w:p>
        </w:tc>
        <w:tc>
          <w:tcPr>
            <w:tcW w:w="1089" w:type="dxa"/>
            <w:shd w:val="clear" w:color="auto" w:fill="auto"/>
            <w:vAlign w:val="center"/>
          </w:tcPr>
          <w:p>
            <w:pPr>
              <w:widowControl/>
              <w:jc w:val="center"/>
              <w:rPr>
                <w:color w:val="auto"/>
                <w:kern w:val="0"/>
                <w:szCs w:val="21"/>
              </w:rPr>
            </w:pPr>
            <w:r>
              <w:rPr>
                <w:color w:val="auto"/>
                <w:kern w:val="0"/>
                <w:szCs w:val="21"/>
              </w:rPr>
              <w:t>0.02</w:t>
            </w:r>
          </w:p>
        </w:tc>
        <w:tc>
          <w:tcPr>
            <w:tcW w:w="1629" w:type="dxa"/>
            <w:shd w:val="clear" w:color="auto" w:fill="auto"/>
            <w:vAlign w:val="center"/>
          </w:tcPr>
          <w:p>
            <w:pPr>
              <w:widowControl/>
              <w:jc w:val="center"/>
              <w:rPr>
                <w:color w:val="auto"/>
                <w:kern w:val="0"/>
                <w:szCs w:val="21"/>
              </w:rPr>
            </w:pPr>
            <w:r>
              <w:rPr>
                <w:color w:val="auto"/>
                <w:kern w:val="0"/>
                <w:szCs w:val="21"/>
              </w:rPr>
              <w:t>12</w:t>
            </w:r>
          </w:p>
        </w:tc>
        <w:tc>
          <w:tcPr>
            <w:tcW w:w="1089" w:type="dxa"/>
            <w:shd w:val="clear" w:color="auto" w:fill="auto"/>
            <w:vAlign w:val="center"/>
          </w:tcPr>
          <w:p>
            <w:pPr>
              <w:widowControl/>
              <w:jc w:val="center"/>
              <w:rPr>
                <w:color w:val="auto"/>
                <w:kern w:val="0"/>
                <w:szCs w:val="21"/>
              </w:rPr>
            </w:pPr>
            <w:r>
              <w:rPr>
                <w:color w:val="auto"/>
                <w:kern w:val="0"/>
                <w:szCs w:val="21"/>
              </w:rPr>
              <w:t>0.01</w:t>
            </w:r>
          </w:p>
        </w:tc>
        <w:tc>
          <w:tcPr>
            <w:tcW w:w="818" w:type="dxa"/>
            <w:shd w:val="clear" w:color="auto" w:fill="auto"/>
            <w:vAlign w:val="center"/>
          </w:tcPr>
          <w:p>
            <w:pPr>
              <w:widowControl/>
              <w:jc w:val="center"/>
              <w:rPr>
                <w:color w:val="auto"/>
                <w:kern w:val="0"/>
                <w:szCs w:val="21"/>
              </w:rPr>
            </w:pPr>
            <w:r>
              <w:rPr>
                <w:color w:val="auto"/>
                <w:kern w:val="0"/>
                <w:szCs w:val="21"/>
              </w:rPr>
              <w:t>0.02</w:t>
            </w:r>
          </w:p>
        </w:tc>
        <w:tc>
          <w:tcPr>
            <w:tcW w:w="801" w:type="dxa"/>
            <w:shd w:val="clear" w:color="auto" w:fill="auto"/>
            <w:vAlign w:val="center"/>
          </w:tcPr>
          <w:p>
            <w:pPr>
              <w:widowControl/>
              <w:jc w:val="center"/>
              <w:rPr>
                <w:color w:val="auto"/>
                <w:kern w:val="0"/>
                <w:szCs w:val="21"/>
              </w:rPr>
            </w:pPr>
            <w:r>
              <w:rPr>
                <w:color w:val="auto"/>
                <w:kern w:val="0"/>
                <w:szCs w:val="21"/>
              </w:rPr>
              <w:t>0.16</w:t>
            </w:r>
          </w:p>
        </w:tc>
        <w:tc>
          <w:tcPr>
            <w:tcW w:w="749" w:type="dxa"/>
            <w:shd w:val="clear" w:color="auto" w:fill="auto"/>
            <w:vAlign w:val="center"/>
          </w:tcPr>
          <w:p>
            <w:pPr>
              <w:widowControl/>
              <w:jc w:val="center"/>
              <w:rPr>
                <w:color w:val="auto"/>
                <w:kern w:val="0"/>
                <w:szCs w:val="21"/>
              </w:rPr>
            </w:pPr>
            <w:r>
              <w:rPr>
                <w:color w:val="auto"/>
                <w:kern w:val="0"/>
                <w:szCs w:val="21"/>
              </w:rPr>
              <w:t>0.11</w:t>
            </w:r>
          </w:p>
        </w:tc>
        <w:tc>
          <w:tcPr>
            <w:tcW w:w="1088" w:type="dxa"/>
            <w:shd w:val="clear" w:color="auto" w:fill="auto"/>
            <w:vAlign w:val="center"/>
          </w:tcPr>
          <w:p>
            <w:pPr>
              <w:widowControl/>
              <w:jc w:val="center"/>
              <w:rPr>
                <w:color w:val="auto"/>
                <w:kern w:val="0"/>
                <w:szCs w:val="21"/>
              </w:rPr>
            </w:pPr>
            <w:r>
              <w:rPr>
                <w:color w:val="auto"/>
                <w:kern w:val="0"/>
                <w:szCs w:val="21"/>
              </w:rPr>
              <w:t>0.04</w:t>
            </w:r>
          </w:p>
        </w:tc>
        <w:tc>
          <w:tcPr>
            <w:tcW w:w="1089" w:type="dxa"/>
            <w:shd w:val="clear" w:color="auto" w:fill="auto"/>
            <w:vAlign w:val="center"/>
          </w:tcPr>
          <w:p>
            <w:pPr>
              <w:widowControl/>
              <w:jc w:val="center"/>
              <w:rPr>
                <w:color w:val="auto"/>
                <w:kern w:val="0"/>
                <w:szCs w:val="21"/>
              </w:rPr>
            </w:pPr>
            <w:r>
              <w:rPr>
                <w:color w:val="auto"/>
                <w:kern w:val="0"/>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W2</w:t>
            </w:r>
          </w:p>
        </w:tc>
        <w:tc>
          <w:tcPr>
            <w:tcW w:w="974" w:type="dxa"/>
            <w:shd w:val="clear" w:color="auto" w:fill="auto"/>
            <w:vAlign w:val="center"/>
          </w:tcPr>
          <w:p>
            <w:pPr>
              <w:widowControl/>
              <w:jc w:val="center"/>
              <w:rPr>
                <w:color w:val="auto"/>
                <w:kern w:val="0"/>
                <w:szCs w:val="21"/>
              </w:rPr>
            </w:pPr>
            <w:r>
              <w:rPr>
                <w:color w:val="auto"/>
                <w:kern w:val="0"/>
                <w:szCs w:val="21"/>
              </w:rPr>
              <w:t>0.06</w:t>
            </w:r>
          </w:p>
        </w:tc>
        <w:tc>
          <w:tcPr>
            <w:tcW w:w="1089" w:type="dxa"/>
            <w:shd w:val="clear" w:color="auto" w:fill="auto"/>
            <w:vAlign w:val="center"/>
          </w:tcPr>
          <w:p>
            <w:pPr>
              <w:widowControl/>
              <w:jc w:val="center"/>
              <w:rPr>
                <w:color w:val="auto"/>
                <w:kern w:val="0"/>
                <w:szCs w:val="21"/>
              </w:rPr>
            </w:pPr>
            <w:r>
              <w:rPr>
                <w:color w:val="auto"/>
                <w:kern w:val="0"/>
                <w:szCs w:val="21"/>
              </w:rPr>
              <w:t>0.00</w:t>
            </w:r>
          </w:p>
        </w:tc>
        <w:tc>
          <w:tcPr>
            <w:tcW w:w="1899" w:type="dxa"/>
            <w:shd w:val="clear" w:color="auto" w:fill="auto"/>
            <w:vAlign w:val="center"/>
          </w:tcPr>
          <w:p>
            <w:pPr>
              <w:widowControl/>
              <w:jc w:val="center"/>
              <w:rPr>
                <w:color w:val="auto"/>
                <w:kern w:val="0"/>
                <w:szCs w:val="21"/>
              </w:rPr>
            </w:pPr>
            <w:r>
              <w:rPr>
                <w:color w:val="auto"/>
                <w:kern w:val="0"/>
                <w:szCs w:val="21"/>
              </w:rPr>
              <w:t>0.01</w:t>
            </w:r>
          </w:p>
        </w:tc>
        <w:tc>
          <w:tcPr>
            <w:tcW w:w="1088" w:type="dxa"/>
            <w:shd w:val="clear" w:color="auto" w:fill="auto"/>
            <w:vAlign w:val="center"/>
          </w:tcPr>
          <w:p>
            <w:pPr>
              <w:widowControl/>
              <w:jc w:val="center"/>
              <w:rPr>
                <w:color w:val="auto"/>
                <w:kern w:val="0"/>
                <w:szCs w:val="21"/>
              </w:rPr>
            </w:pPr>
            <w:r>
              <w:rPr>
                <w:color w:val="auto"/>
                <w:kern w:val="0"/>
                <w:szCs w:val="21"/>
              </w:rPr>
              <w:t>12.25</w:t>
            </w:r>
          </w:p>
        </w:tc>
        <w:tc>
          <w:tcPr>
            <w:tcW w:w="1089" w:type="dxa"/>
            <w:shd w:val="clear" w:color="auto" w:fill="auto"/>
            <w:vAlign w:val="center"/>
          </w:tcPr>
          <w:p>
            <w:pPr>
              <w:widowControl/>
              <w:jc w:val="center"/>
              <w:rPr>
                <w:color w:val="auto"/>
                <w:kern w:val="0"/>
                <w:szCs w:val="21"/>
              </w:rPr>
            </w:pPr>
            <w:r>
              <w:rPr>
                <w:color w:val="auto"/>
                <w:kern w:val="0"/>
                <w:szCs w:val="21"/>
              </w:rPr>
              <w:t>0.02</w:t>
            </w:r>
          </w:p>
        </w:tc>
        <w:tc>
          <w:tcPr>
            <w:tcW w:w="1629" w:type="dxa"/>
            <w:shd w:val="clear" w:color="auto" w:fill="auto"/>
            <w:vAlign w:val="center"/>
          </w:tcPr>
          <w:p>
            <w:pPr>
              <w:widowControl/>
              <w:jc w:val="center"/>
              <w:rPr>
                <w:color w:val="auto"/>
                <w:kern w:val="0"/>
                <w:szCs w:val="21"/>
              </w:rPr>
            </w:pPr>
            <w:r>
              <w:rPr>
                <w:color w:val="auto"/>
                <w:kern w:val="0"/>
                <w:szCs w:val="21"/>
              </w:rPr>
              <w:t>12</w:t>
            </w:r>
          </w:p>
        </w:tc>
        <w:tc>
          <w:tcPr>
            <w:tcW w:w="1089" w:type="dxa"/>
            <w:shd w:val="clear" w:color="auto" w:fill="auto"/>
            <w:vAlign w:val="center"/>
          </w:tcPr>
          <w:p>
            <w:pPr>
              <w:widowControl/>
              <w:jc w:val="center"/>
              <w:rPr>
                <w:color w:val="auto"/>
                <w:kern w:val="0"/>
                <w:szCs w:val="21"/>
              </w:rPr>
            </w:pPr>
            <w:r>
              <w:rPr>
                <w:color w:val="auto"/>
                <w:kern w:val="0"/>
                <w:szCs w:val="21"/>
              </w:rPr>
              <w:t>0.01</w:t>
            </w:r>
          </w:p>
        </w:tc>
        <w:tc>
          <w:tcPr>
            <w:tcW w:w="818" w:type="dxa"/>
            <w:shd w:val="clear" w:color="auto" w:fill="auto"/>
            <w:vAlign w:val="center"/>
          </w:tcPr>
          <w:p>
            <w:pPr>
              <w:widowControl/>
              <w:jc w:val="center"/>
              <w:rPr>
                <w:color w:val="auto"/>
                <w:kern w:val="0"/>
                <w:szCs w:val="21"/>
              </w:rPr>
            </w:pPr>
            <w:r>
              <w:rPr>
                <w:color w:val="auto"/>
                <w:kern w:val="0"/>
                <w:szCs w:val="21"/>
              </w:rPr>
              <w:t>0.02</w:t>
            </w:r>
          </w:p>
        </w:tc>
        <w:tc>
          <w:tcPr>
            <w:tcW w:w="801" w:type="dxa"/>
            <w:shd w:val="clear" w:color="auto" w:fill="auto"/>
            <w:vAlign w:val="center"/>
          </w:tcPr>
          <w:p>
            <w:pPr>
              <w:widowControl/>
              <w:jc w:val="center"/>
              <w:rPr>
                <w:color w:val="auto"/>
                <w:kern w:val="0"/>
                <w:szCs w:val="21"/>
              </w:rPr>
            </w:pPr>
            <w:r>
              <w:rPr>
                <w:color w:val="auto"/>
                <w:kern w:val="0"/>
                <w:szCs w:val="21"/>
              </w:rPr>
              <w:t>1.24</w:t>
            </w:r>
          </w:p>
        </w:tc>
        <w:tc>
          <w:tcPr>
            <w:tcW w:w="749" w:type="dxa"/>
            <w:shd w:val="clear" w:color="auto" w:fill="auto"/>
            <w:vAlign w:val="center"/>
          </w:tcPr>
          <w:p>
            <w:pPr>
              <w:widowControl/>
              <w:jc w:val="center"/>
              <w:rPr>
                <w:color w:val="auto"/>
                <w:kern w:val="0"/>
                <w:szCs w:val="21"/>
              </w:rPr>
            </w:pPr>
            <w:r>
              <w:rPr>
                <w:color w:val="auto"/>
                <w:kern w:val="0"/>
                <w:szCs w:val="21"/>
              </w:rPr>
              <w:t>0.82</w:t>
            </w:r>
          </w:p>
        </w:tc>
        <w:tc>
          <w:tcPr>
            <w:tcW w:w="1088" w:type="dxa"/>
            <w:shd w:val="clear" w:color="auto" w:fill="auto"/>
            <w:vAlign w:val="center"/>
          </w:tcPr>
          <w:p>
            <w:pPr>
              <w:widowControl/>
              <w:jc w:val="center"/>
              <w:rPr>
                <w:color w:val="auto"/>
                <w:kern w:val="0"/>
                <w:szCs w:val="21"/>
              </w:rPr>
            </w:pPr>
            <w:r>
              <w:rPr>
                <w:color w:val="auto"/>
                <w:kern w:val="0"/>
                <w:szCs w:val="21"/>
              </w:rPr>
              <w:t>0.04</w:t>
            </w:r>
          </w:p>
        </w:tc>
        <w:tc>
          <w:tcPr>
            <w:tcW w:w="1089" w:type="dxa"/>
            <w:shd w:val="clear" w:color="auto" w:fill="auto"/>
            <w:vAlign w:val="center"/>
          </w:tcPr>
          <w:p>
            <w:pPr>
              <w:widowControl/>
              <w:jc w:val="center"/>
              <w:rPr>
                <w:color w:val="auto"/>
                <w:kern w:val="0"/>
                <w:szCs w:val="21"/>
              </w:rPr>
            </w:pPr>
            <w:r>
              <w:rPr>
                <w:color w:val="auto"/>
                <w:kern w:val="0"/>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8" w:type="dxa"/>
            <w:shd w:val="clear" w:color="auto" w:fill="auto"/>
            <w:vAlign w:val="center"/>
          </w:tcPr>
          <w:p>
            <w:pPr>
              <w:widowControl/>
              <w:jc w:val="center"/>
              <w:rPr>
                <w:b/>
                <w:color w:val="auto"/>
                <w:kern w:val="0"/>
                <w:szCs w:val="21"/>
              </w:rPr>
            </w:pPr>
            <w:r>
              <w:rPr>
                <w:b/>
                <w:color w:val="auto"/>
                <w:kern w:val="0"/>
                <w:szCs w:val="21"/>
              </w:rPr>
              <w:t>W3</w:t>
            </w:r>
          </w:p>
        </w:tc>
        <w:tc>
          <w:tcPr>
            <w:tcW w:w="974" w:type="dxa"/>
            <w:shd w:val="clear" w:color="auto" w:fill="auto"/>
            <w:vAlign w:val="center"/>
          </w:tcPr>
          <w:p>
            <w:pPr>
              <w:widowControl/>
              <w:jc w:val="center"/>
              <w:rPr>
                <w:color w:val="auto"/>
                <w:kern w:val="0"/>
                <w:szCs w:val="21"/>
              </w:rPr>
            </w:pPr>
            <w:r>
              <w:rPr>
                <w:color w:val="auto"/>
                <w:kern w:val="0"/>
                <w:szCs w:val="21"/>
              </w:rPr>
              <w:t>0.29</w:t>
            </w:r>
          </w:p>
        </w:tc>
        <w:tc>
          <w:tcPr>
            <w:tcW w:w="1089" w:type="dxa"/>
            <w:shd w:val="clear" w:color="auto" w:fill="auto"/>
            <w:vAlign w:val="center"/>
          </w:tcPr>
          <w:p>
            <w:pPr>
              <w:widowControl/>
              <w:jc w:val="center"/>
              <w:rPr>
                <w:color w:val="auto"/>
                <w:kern w:val="0"/>
                <w:szCs w:val="21"/>
              </w:rPr>
            </w:pPr>
            <w:r>
              <w:rPr>
                <w:color w:val="auto"/>
                <w:kern w:val="0"/>
                <w:szCs w:val="21"/>
              </w:rPr>
              <w:t>0.00</w:t>
            </w:r>
          </w:p>
        </w:tc>
        <w:tc>
          <w:tcPr>
            <w:tcW w:w="1899" w:type="dxa"/>
            <w:shd w:val="clear" w:color="auto" w:fill="auto"/>
            <w:vAlign w:val="center"/>
          </w:tcPr>
          <w:p>
            <w:pPr>
              <w:widowControl/>
              <w:jc w:val="center"/>
              <w:rPr>
                <w:color w:val="auto"/>
                <w:kern w:val="0"/>
                <w:szCs w:val="21"/>
              </w:rPr>
            </w:pPr>
            <w:r>
              <w:rPr>
                <w:color w:val="auto"/>
                <w:kern w:val="0"/>
                <w:szCs w:val="21"/>
              </w:rPr>
              <w:t>0.01</w:t>
            </w:r>
          </w:p>
        </w:tc>
        <w:tc>
          <w:tcPr>
            <w:tcW w:w="1088" w:type="dxa"/>
            <w:shd w:val="clear" w:color="auto" w:fill="auto"/>
            <w:vAlign w:val="center"/>
          </w:tcPr>
          <w:p>
            <w:pPr>
              <w:widowControl/>
              <w:jc w:val="center"/>
              <w:rPr>
                <w:color w:val="auto"/>
                <w:kern w:val="0"/>
                <w:szCs w:val="21"/>
              </w:rPr>
            </w:pPr>
            <w:r>
              <w:rPr>
                <w:color w:val="auto"/>
                <w:kern w:val="0"/>
                <w:szCs w:val="21"/>
              </w:rPr>
              <w:t>13.57</w:t>
            </w:r>
          </w:p>
        </w:tc>
        <w:tc>
          <w:tcPr>
            <w:tcW w:w="1089" w:type="dxa"/>
            <w:shd w:val="clear" w:color="auto" w:fill="auto"/>
            <w:vAlign w:val="center"/>
          </w:tcPr>
          <w:p>
            <w:pPr>
              <w:widowControl/>
              <w:jc w:val="center"/>
              <w:rPr>
                <w:color w:val="auto"/>
                <w:kern w:val="0"/>
                <w:szCs w:val="21"/>
              </w:rPr>
            </w:pPr>
            <w:r>
              <w:rPr>
                <w:color w:val="auto"/>
                <w:kern w:val="0"/>
                <w:szCs w:val="21"/>
              </w:rPr>
              <w:t>0.02</w:t>
            </w:r>
          </w:p>
        </w:tc>
        <w:tc>
          <w:tcPr>
            <w:tcW w:w="1629" w:type="dxa"/>
            <w:shd w:val="clear" w:color="auto" w:fill="auto"/>
            <w:vAlign w:val="center"/>
          </w:tcPr>
          <w:p>
            <w:pPr>
              <w:widowControl/>
              <w:jc w:val="center"/>
              <w:rPr>
                <w:color w:val="auto"/>
                <w:kern w:val="0"/>
                <w:szCs w:val="21"/>
              </w:rPr>
            </w:pPr>
            <w:r>
              <w:rPr>
                <w:color w:val="auto"/>
                <w:kern w:val="0"/>
                <w:szCs w:val="21"/>
              </w:rPr>
              <w:t>12</w:t>
            </w:r>
          </w:p>
        </w:tc>
        <w:tc>
          <w:tcPr>
            <w:tcW w:w="1089" w:type="dxa"/>
            <w:shd w:val="clear" w:color="auto" w:fill="auto"/>
            <w:vAlign w:val="center"/>
          </w:tcPr>
          <w:p>
            <w:pPr>
              <w:widowControl/>
              <w:jc w:val="center"/>
              <w:rPr>
                <w:color w:val="auto"/>
                <w:kern w:val="0"/>
                <w:szCs w:val="21"/>
              </w:rPr>
            </w:pPr>
            <w:r>
              <w:rPr>
                <w:color w:val="auto"/>
                <w:kern w:val="0"/>
                <w:szCs w:val="21"/>
              </w:rPr>
              <w:t>0.01</w:t>
            </w:r>
          </w:p>
        </w:tc>
        <w:tc>
          <w:tcPr>
            <w:tcW w:w="818" w:type="dxa"/>
            <w:shd w:val="clear" w:color="auto" w:fill="auto"/>
            <w:vAlign w:val="center"/>
          </w:tcPr>
          <w:p>
            <w:pPr>
              <w:widowControl/>
              <w:jc w:val="center"/>
              <w:rPr>
                <w:color w:val="auto"/>
                <w:kern w:val="0"/>
                <w:szCs w:val="21"/>
              </w:rPr>
            </w:pPr>
            <w:r>
              <w:rPr>
                <w:color w:val="auto"/>
                <w:kern w:val="0"/>
                <w:szCs w:val="21"/>
              </w:rPr>
              <w:t>0.02</w:t>
            </w:r>
          </w:p>
        </w:tc>
        <w:tc>
          <w:tcPr>
            <w:tcW w:w="801" w:type="dxa"/>
            <w:shd w:val="clear" w:color="auto" w:fill="auto"/>
            <w:vAlign w:val="center"/>
          </w:tcPr>
          <w:p>
            <w:pPr>
              <w:widowControl/>
              <w:jc w:val="center"/>
              <w:rPr>
                <w:color w:val="auto"/>
                <w:kern w:val="0"/>
                <w:szCs w:val="21"/>
              </w:rPr>
            </w:pPr>
            <w:r>
              <w:rPr>
                <w:color w:val="auto"/>
                <w:kern w:val="0"/>
                <w:szCs w:val="21"/>
              </w:rPr>
              <w:t>0.80</w:t>
            </w:r>
          </w:p>
        </w:tc>
        <w:tc>
          <w:tcPr>
            <w:tcW w:w="749" w:type="dxa"/>
            <w:shd w:val="clear" w:color="auto" w:fill="auto"/>
            <w:vAlign w:val="center"/>
          </w:tcPr>
          <w:p>
            <w:pPr>
              <w:widowControl/>
              <w:jc w:val="center"/>
              <w:rPr>
                <w:color w:val="auto"/>
                <w:kern w:val="0"/>
                <w:szCs w:val="21"/>
              </w:rPr>
            </w:pPr>
            <w:r>
              <w:rPr>
                <w:color w:val="auto"/>
                <w:kern w:val="0"/>
                <w:szCs w:val="21"/>
              </w:rPr>
              <w:t>1.45</w:t>
            </w:r>
          </w:p>
        </w:tc>
        <w:tc>
          <w:tcPr>
            <w:tcW w:w="1088" w:type="dxa"/>
            <w:shd w:val="clear" w:color="auto" w:fill="auto"/>
            <w:vAlign w:val="center"/>
          </w:tcPr>
          <w:p>
            <w:pPr>
              <w:widowControl/>
              <w:jc w:val="center"/>
              <w:rPr>
                <w:color w:val="auto"/>
                <w:kern w:val="0"/>
                <w:szCs w:val="21"/>
              </w:rPr>
            </w:pPr>
            <w:r>
              <w:rPr>
                <w:color w:val="auto"/>
                <w:kern w:val="0"/>
                <w:szCs w:val="21"/>
              </w:rPr>
              <w:t>0.04</w:t>
            </w:r>
          </w:p>
        </w:tc>
        <w:tc>
          <w:tcPr>
            <w:tcW w:w="1089" w:type="dxa"/>
            <w:shd w:val="clear" w:color="auto" w:fill="auto"/>
            <w:vAlign w:val="center"/>
          </w:tcPr>
          <w:p>
            <w:pPr>
              <w:widowControl/>
              <w:jc w:val="center"/>
              <w:rPr>
                <w:color w:val="auto"/>
                <w:kern w:val="0"/>
                <w:szCs w:val="21"/>
              </w:rPr>
            </w:pPr>
            <w:r>
              <w:rPr>
                <w:color w:val="auto"/>
                <w:kern w:val="0"/>
                <w:szCs w:val="21"/>
              </w:rPr>
              <w:t>0.01</w:t>
            </w:r>
          </w:p>
        </w:tc>
      </w:tr>
    </w:tbl>
    <w:p>
      <w:pPr>
        <w:pStyle w:val="5"/>
        <w:numPr>
          <w:ilvl w:val="1"/>
          <w:numId w:val="0"/>
        </w:numPr>
        <w:tabs>
          <w:tab w:val="clear" w:pos="720"/>
        </w:tabs>
        <w:spacing w:before="159" w:after="159"/>
        <w:rPr>
          <w:color w:val="auto"/>
          <w:sz w:val="32"/>
          <w:szCs w:val="32"/>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bookmarkStart w:id="541" w:name="_Toc12959317"/>
    </w:p>
    <w:p>
      <w:pPr>
        <w:pStyle w:val="5"/>
        <w:numPr>
          <w:ilvl w:val="1"/>
          <w:numId w:val="0"/>
        </w:numPr>
        <w:tabs>
          <w:tab w:val="clear" w:pos="720"/>
        </w:tabs>
        <w:spacing w:before="159" w:after="159"/>
        <w:rPr>
          <w:color w:val="auto"/>
          <w:sz w:val="32"/>
          <w:szCs w:val="32"/>
        </w:rPr>
      </w:pPr>
      <w:bookmarkStart w:id="542" w:name="_Toc29050"/>
      <w:bookmarkStart w:id="543" w:name="_Toc4334"/>
      <w:r>
        <w:rPr>
          <w:rFonts w:hint="eastAsia"/>
          <w:color w:val="auto"/>
          <w:sz w:val="32"/>
          <w:szCs w:val="32"/>
        </w:rPr>
        <w:t xml:space="preserve">5.5  </w:t>
      </w:r>
      <w:r>
        <w:rPr>
          <w:color w:val="auto"/>
          <w:sz w:val="32"/>
          <w:szCs w:val="32"/>
        </w:rPr>
        <w:t>地下水环境质量现状调查与评价</w:t>
      </w:r>
      <w:bookmarkEnd w:id="541"/>
      <w:bookmarkEnd w:id="542"/>
      <w:bookmarkEnd w:id="543"/>
    </w:p>
    <w:p>
      <w:pPr>
        <w:pStyle w:val="7"/>
        <w:numPr>
          <w:ilvl w:val="2"/>
          <w:numId w:val="0"/>
        </w:numPr>
        <w:tabs>
          <w:tab w:val="clear" w:pos="720"/>
        </w:tabs>
        <w:adjustRightInd/>
        <w:spacing w:before="159" w:after="79" w:afterLines="25"/>
        <w:jc w:val="both"/>
        <w:textAlignment w:val="auto"/>
        <w:rPr>
          <w:color w:val="auto"/>
        </w:rPr>
      </w:pPr>
      <w:bookmarkStart w:id="544" w:name="_Toc16279"/>
      <w:r>
        <w:rPr>
          <w:rFonts w:hint="eastAsia"/>
          <w:color w:val="auto"/>
        </w:rPr>
        <w:t xml:space="preserve">5.5.1  </w:t>
      </w:r>
      <w:r>
        <w:rPr>
          <w:color w:val="auto"/>
        </w:rPr>
        <w:t>水文地质调查</w:t>
      </w:r>
      <w:bookmarkEnd w:id="544"/>
    </w:p>
    <w:p>
      <w:pPr>
        <w:pStyle w:val="8"/>
        <w:numPr>
          <w:ilvl w:val="3"/>
          <w:numId w:val="0"/>
        </w:numPr>
        <w:tabs>
          <w:tab w:val="left" w:pos="360"/>
          <w:tab w:val="left" w:pos="567"/>
          <w:tab w:val="left" w:pos="851"/>
          <w:tab w:val="clear" w:pos="720"/>
        </w:tabs>
        <w:snapToGrid w:val="0"/>
        <w:rPr>
          <w:color w:val="auto"/>
        </w:rPr>
      </w:pPr>
      <w:bookmarkStart w:id="545" w:name="_Toc12959318"/>
      <w:r>
        <w:rPr>
          <w:rFonts w:hint="eastAsia"/>
          <w:color w:val="auto"/>
        </w:rPr>
        <w:t xml:space="preserve">5.5.1.1  </w:t>
      </w:r>
      <w:r>
        <w:rPr>
          <w:color w:val="auto"/>
        </w:rPr>
        <w:t>地形地貌</w:t>
      </w:r>
    </w:p>
    <w:p>
      <w:pPr>
        <w:spacing w:line="360" w:lineRule="auto"/>
        <w:ind w:firstLine="480" w:firstLineChars="200"/>
        <w:rPr>
          <w:color w:val="auto"/>
          <w:sz w:val="24"/>
        </w:rPr>
      </w:pPr>
      <w:r>
        <w:rPr>
          <w:color w:val="auto"/>
          <w:sz w:val="24"/>
        </w:rPr>
        <w:t>调查区位于广东省清远清城区，调查区地貌类型以冲积平原为主，其次为低缓残丘，平原地势总体平缓，</w:t>
      </w:r>
      <w:r>
        <w:rPr>
          <w:rFonts w:hint="eastAsia"/>
          <w:color w:val="auto"/>
          <w:sz w:val="24"/>
        </w:rPr>
        <w:t>东南</w:t>
      </w:r>
      <w:r>
        <w:rPr>
          <w:color w:val="auto"/>
          <w:sz w:val="24"/>
        </w:rPr>
        <w:t>侧有低缓残丘分布，地势略高。平原地带标高为+14.0～+16.0m，现状主要为厂房。拟建场地位于平原区，场地</w:t>
      </w:r>
      <w:r>
        <w:rPr>
          <w:rFonts w:hint="eastAsia"/>
          <w:color w:val="auto"/>
          <w:sz w:val="24"/>
        </w:rPr>
        <w:t>东南</w:t>
      </w:r>
      <w:r>
        <w:rPr>
          <w:color w:val="auto"/>
          <w:sz w:val="24"/>
        </w:rPr>
        <w:t>侧分布有低缓残丘。残丘高程一般为+20～+4</w:t>
      </w:r>
      <w:r>
        <w:rPr>
          <w:rFonts w:hint="eastAsia"/>
          <w:color w:val="auto"/>
          <w:sz w:val="24"/>
        </w:rPr>
        <w:t>7</w:t>
      </w:r>
      <w:r>
        <w:rPr>
          <w:color w:val="auto"/>
          <w:sz w:val="24"/>
        </w:rPr>
        <w:t>m，最高点高程为+4</w:t>
      </w:r>
      <w:r>
        <w:rPr>
          <w:rFonts w:hint="eastAsia"/>
          <w:color w:val="auto"/>
          <w:sz w:val="24"/>
        </w:rPr>
        <w:t>7.2</w:t>
      </w:r>
      <w:r>
        <w:rPr>
          <w:color w:val="auto"/>
          <w:sz w:val="24"/>
        </w:rPr>
        <w:t>m，自然坡度一般为5°～15°，植被较发</w:t>
      </w:r>
      <w:r>
        <w:rPr>
          <w:rFonts w:hint="eastAsia"/>
          <w:color w:val="auto"/>
          <w:sz w:val="24"/>
        </w:rPr>
        <w:t>达</w:t>
      </w:r>
      <w:r>
        <w:rPr>
          <w:color w:val="auto"/>
          <w:sz w:val="24"/>
        </w:rPr>
        <w:t>。</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5.5.1.2  </w:t>
      </w:r>
      <w:r>
        <w:rPr>
          <w:color w:val="auto"/>
        </w:rPr>
        <w:t>地层岩性</w:t>
      </w:r>
    </w:p>
    <w:p>
      <w:pPr>
        <w:spacing w:line="360" w:lineRule="auto"/>
        <w:ind w:firstLine="480" w:firstLineChars="200"/>
        <w:rPr>
          <w:color w:val="auto"/>
          <w:sz w:val="24"/>
        </w:rPr>
      </w:pPr>
      <w:r>
        <w:rPr>
          <w:color w:val="auto"/>
          <w:sz w:val="24"/>
        </w:rPr>
        <w:t>根据本次环境水文地质调查及区域地质资料，调查区及外围主要出露的地层有</w:t>
      </w:r>
      <w:r>
        <w:rPr>
          <w:rFonts w:hint="eastAsia"/>
          <w:color w:val="auto"/>
          <w:sz w:val="24"/>
        </w:rPr>
        <w:t>1、第四系人工填土层（Q</w:t>
      </w:r>
      <w:r>
        <w:rPr>
          <w:rFonts w:hint="eastAsia"/>
          <w:color w:val="auto"/>
          <w:sz w:val="24"/>
          <w:vertAlign w:val="subscript"/>
        </w:rPr>
        <w:t>4</w:t>
      </w:r>
      <w:r>
        <w:rPr>
          <w:rFonts w:hint="eastAsia"/>
          <w:color w:val="auto"/>
          <w:sz w:val="24"/>
          <w:vertAlign w:val="superscript"/>
        </w:rPr>
        <w:t>ml</w:t>
      </w:r>
      <w:r>
        <w:rPr>
          <w:rFonts w:hint="eastAsia"/>
          <w:color w:val="auto"/>
          <w:sz w:val="24"/>
        </w:rPr>
        <w:t>）；2、</w:t>
      </w:r>
      <w:r>
        <w:rPr>
          <w:color w:val="auto"/>
          <w:spacing w:val="2"/>
          <w:sz w:val="24"/>
        </w:rPr>
        <w:t>第四系</w:t>
      </w:r>
      <w:r>
        <w:rPr>
          <w:color w:val="auto"/>
          <w:sz w:val="24"/>
        </w:rPr>
        <w:t>冲积层（Q</w:t>
      </w:r>
      <w:r>
        <w:rPr>
          <w:rFonts w:hint="eastAsia"/>
          <w:color w:val="auto"/>
          <w:sz w:val="24"/>
          <w:vertAlign w:val="subscript"/>
        </w:rPr>
        <w:t>4</w:t>
      </w:r>
      <w:r>
        <w:rPr>
          <w:i/>
          <w:color w:val="auto"/>
          <w:sz w:val="24"/>
          <w:vertAlign w:val="superscript"/>
        </w:rPr>
        <w:t>al</w:t>
      </w:r>
      <w:r>
        <w:rPr>
          <w:color w:val="auto"/>
          <w:sz w:val="24"/>
        </w:rPr>
        <w:t>）</w:t>
      </w:r>
      <w:r>
        <w:rPr>
          <w:color w:val="auto"/>
          <w:spacing w:val="2"/>
          <w:sz w:val="24"/>
        </w:rPr>
        <w:t>，</w:t>
      </w:r>
      <w:r>
        <w:rPr>
          <w:rFonts w:hint="eastAsia"/>
          <w:color w:val="auto"/>
          <w:spacing w:val="2"/>
          <w:sz w:val="24"/>
        </w:rPr>
        <w:t>3、</w:t>
      </w:r>
      <w:r>
        <w:rPr>
          <w:color w:val="auto"/>
          <w:spacing w:val="2"/>
          <w:sz w:val="24"/>
        </w:rPr>
        <w:t>第四系</w:t>
      </w:r>
      <w:r>
        <w:rPr>
          <w:rFonts w:hint="eastAsia"/>
          <w:color w:val="auto"/>
          <w:sz w:val="24"/>
        </w:rPr>
        <w:t>湖</w:t>
      </w:r>
      <w:r>
        <w:rPr>
          <w:color w:val="auto"/>
          <w:sz w:val="24"/>
        </w:rPr>
        <w:t>积层（Q</w:t>
      </w:r>
      <w:r>
        <w:rPr>
          <w:rFonts w:hint="eastAsia"/>
          <w:color w:val="auto"/>
          <w:sz w:val="24"/>
          <w:vertAlign w:val="subscript"/>
        </w:rPr>
        <w:t>4</w:t>
      </w:r>
      <w:r>
        <w:rPr>
          <w:i/>
          <w:color w:val="auto"/>
          <w:sz w:val="24"/>
          <w:vertAlign w:val="superscript"/>
        </w:rPr>
        <w:t>l</w:t>
      </w:r>
      <w:r>
        <w:rPr>
          <w:color w:val="auto"/>
          <w:sz w:val="24"/>
        </w:rPr>
        <w:t>）</w:t>
      </w:r>
      <w:r>
        <w:rPr>
          <w:color w:val="auto"/>
          <w:spacing w:val="2"/>
          <w:sz w:val="24"/>
        </w:rPr>
        <w:t>，</w:t>
      </w:r>
      <w:r>
        <w:rPr>
          <w:rFonts w:hint="eastAsia"/>
          <w:color w:val="auto"/>
          <w:spacing w:val="2"/>
          <w:sz w:val="24"/>
        </w:rPr>
        <w:t>4、</w:t>
      </w:r>
      <w:r>
        <w:rPr>
          <w:color w:val="auto"/>
          <w:spacing w:val="2"/>
          <w:sz w:val="24"/>
        </w:rPr>
        <w:t>第四系</w:t>
      </w:r>
      <w:r>
        <w:rPr>
          <w:color w:val="auto"/>
          <w:sz w:val="24"/>
        </w:rPr>
        <w:t>冲积层</w:t>
      </w:r>
      <w:r>
        <w:rPr>
          <w:rFonts w:hint="eastAsia"/>
          <w:color w:val="auto"/>
          <w:sz w:val="24"/>
        </w:rPr>
        <w:t>+洪积层</w:t>
      </w:r>
      <w:r>
        <w:rPr>
          <w:color w:val="auto"/>
          <w:sz w:val="24"/>
        </w:rPr>
        <w:t>（Q</w:t>
      </w:r>
      <w:r>
        <w:rPr>
          <w:rFonts w:hint="eastAsia"/>
          <w:color w:val="auto"/>
          <w:sz w:val="24"/>
          <w:vertAlign w:val="subscript"/>
        </w:rPr>
        <w:t>4</w:t>
      </w:r>
      <w:r>
        <w:rPr>
          <w:i/>
          <w:color w:val="auto"/>
          <w:sz w:val="24"/>
          <w:vertAlign w:val="superscript"/>
        </w:rPr>
        <w:t>al</w:t>
      </w:r>
      <w:r>
        <w:rPr>
          <w:rFonts w:hint="eastAsia"/>
          <w:i/>
          <w:color w:val="auto"/>
          <w:sz w:val="24"/>
          <w:vertAlign w:val="superscript"/>
        </w:rPr>
        <w:t>+pl</w:t>
      </w:r>
      <w:r>
        <w:rPr>
          <w:color w:val="auto"/>
          <w:sz w:val="24"/>
        </w:rPr>
        <w:t>）</w:t>
      </w:r>
      <w:r>
        <w:rPr>
          <w:color w:val="auto"/>
          <w:spacing w:val="2"/>
          <w:sz w:val="24"/>
        </w:rPr>
        <w:t>，</w:t>
      </w:r>
      <w:r>
        <w:rPr>
          <w:rFonts w:hint="eastAsia"/>
          <w:color w:val="auto"/>
          <w:spacing w:val="2"/>
          <w:sz w:val="24"/>
        </w:rPr>
        <w:t>5、</w:t>
      </w:r>
      <w:r>
        <w:rPr>
          <w:color w:val="auto"/>
          <w:spacing w:val="2"/>
          <w:sz w:val="24"/>
        </w:rPr>
        <w:t>第四系</w:t>
      </w:r>
      <w:r>
        <w:rPr>
          <w:rFonts w:hint="eastAsia"/>
          <w:color w:val="auto"/>
          <w:spacing w:val="2"/>
          <w:sz w:val="24"/>
        </w:rPr>
        <w:t>残</w:t>
      </w:r>
      <w:r>
        <w:rPr>
          <w:color w:val="auto"/>
          <w:sz w:val="24"/>
        </w:rPr>
        <w:t>积层（Q</w:t>
      </w:r>
      <w:r>
        <w:rPr>
          <w:rFonts w:hint="eastAsia"/>
          <w:color w:val="auto"/>
          <w:sz w:val="24"/>
          <w:vertAlign w:val="subscript"/>
        </w:rPr>
        <w:t>3</w:t>
      </w:r>
      <w:r>
        <w:rPr>
          <w:rFonts w:hint="eastAsia"/>
          <w:color w:val="auto"/>
          <w:sz w:val="24"/>
          <w:vertAlign w:val="superscript"/>
        </w:rPr>
        <w:t>e</w:t>
      </w:r>
      <w:r>
        <w:rPr>
          <w:i/>
          <w:color w:val="auto"/>
          <w:sz w:val="24"/>
          <w:vertAlign w:val="superscript"/>
        </w:rPr>
        <w:t>l</w:t>
      </w:r>
      <w:r>
        <w:rPr>
          <w:color w:val="auto"/>
          <w:sz w:val="24"/>
        </w:rPr>
        <w:t>）</w:t>
      </w:r>
      <w:r>
        <w:rPr>
          <w:color w:val="auto"/>
          <w:spacing w:val="2"/>
          <w:sz w:val="24"/>
        </w:rPr>
        <w:t>，</w:t>
      </w:r>
      <w:r>
        <w:rPr>
          <w:rFonts w:hint="eastAsia"/>
          <w:color w:val="auto"/>
          <w:spacing w:val="2"/>
          <w:sz w:val="24"/>
        </w:rPr>
        <w:t>6、白垩系（k2）红色沉积碎屑岩层。</w:t>
      </w:r>
      <w:r>
        <w:rPr>
          <w:color w:val="auto"/>
          <w:sz w:val="24"/>
        </w:rPr>
        <w:t>现就调查区内的地层作如下描述</w:t>
      </w:r>
      <w:r>
        <w:rPr>
          <w:rFonts w:hint="eastAsia"/>
          <w:color w:val="auto"/>
          <w:sz w:val="24"/>
        </w:rPr>
        <w:t>。</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5.5.1.3  </w:t>
      </w:r>
      <w:r>
        <w:rPr>
          <w:color w:val="auto"/>
        </w:rPr>
        <w:t>地质构造</w:t>
      </w:r>
    </w:p>
    <w:p>
      <w:pPr>
        <w:spacing w:line="440" w:lineRule="exact"/>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调查区位于清远—三水脆性变形带范围内。调查区范围内没有断裂经过</w:t>
      </w:r>
      <w:r>
        <w:rPr>
          <w:rFonts w:hint="eastAsia"/>
          <w:color w:val="auto"/>
          <w:sz w:val="24"/>
        </w:rPr>
        <w:t>，位于</w:t>
      </w:r>
      <w:r>
        <w:rPr>
          <w:color w:val="auto"/>
          <w:sz w:val="24"/>
        </w:rPr>
        <w:t>龙塘圩断裂（F2）</w:t>
      </w:r>
      <w:r>
        <w:rPr>
          <w:rFonts w:hint="eastAsia"/>
          <w:color w:val="auto"/>
          <w:sz w:val="24"/>
        </w:rPr>
        <w:t>西</w:t>
      </w:r>
      <w:r>
        <w:rPr>
          <w:color w:val="auto"/>
          <w:sz w:val="24"/>
        </w:rPr>
        <w:t>侧约</w:t>
      </w:r>
      <w:r>
        <w:rPr>
          <w:rFonts w:hint="eastAsia"/>
          <w:color w:val="auto"/>
          <w:sz w:val="24"/>
        </w:rPr>
        <w:t>10.0</w:t>
      </w:r>
      <w:r>
        <w:rPr>
          <w:color w:val="auto"/>
          <w:sz w:val="24"/>
        </w:rPr>
        <w:t>km处</w:t>
      </w:r>
      <w:r>
        <w:rPr>
          <w:rFonts w:hint="eastAsia"/>
          <w:color w:val="auto"/>
          <w:sz w:val="24"/>
        </w:rPr>
        <w:t>。项目和</w:t>
      </w:r>
      <w:r>
        <w:rPr>
          <w:color w:val="auto"/>
          <w:sz w:val="24"/>
        </w:rPr>
        <w:t>断裂的位置如</w:t>
      </w:r>
      <w:r>
        <w:rPr>
          <w:rFonts w:hint="eastAsia"/>
          <w:color w:val="auto"/>
          <w:sz w:val="24"/>
        </w:rPr>
        <w:t>下图</w:t>
      </w:r>
      <w:r>
        <w:rPr>
          <w:color w:val="auto"/>
          <w:sz w:val="24"/>
        </w:rPr>
        <w:t>。</w:t>
      </w:r>
    </w:p>
    <w:p>
      <w:pPr>
        <w:spacing w:line="440" w:lineRule="exact"/>
        <w:ind w:firstLine="480" w:firstLineChars="200"/>
        <w:jc w:val="center"/>
        <w:rPr>
          <w:b/>
          <w:color w:val="auto"/>
          <w:sz w:val="24"/>
        </w:rPr>
      </w:pPr>
      <w:r>
        <w:rPr>
          <w:rFonts w:hint="eastAsia"/>
          <w:color w:val="auto"/>
          <w:sz w:val="24"/>
        </w:rPr>
        <w:drawing>
          <wp:anchor distT="0" distB="0" distL="114300" distR="114300" simplePos="0" relativeHeight="252715008" behindDoc="0" locked="0" layoutInCell="1" allowOverlap="1">
            <wp:simplePos x="0" y="0"/>
            <wp:positionH relativeFrom="column">
              <wp:posOffset>-274955</wp:posOffset>
            </wp:positionH>
            <wp:positionV relativeFrom="paragraph">
              <wp:posOffset>100965</wp:posOffset>
            </wp:positionV>
            <wp:extent cx="5819140" cy="5042535"/>
            <wp:effectExtent l="0" t="0" r="10160" b="5715"/>
            <wp:wrapSquare wrapText="bothSides"/>
            <wp:docPr id="128" name="图片 1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
                    <pic:cNvPicPr>
                      <a:picLocks noChangeAspect="1"/>
                    </pic:cNvPicPr>
                  </pic:nvPicPr>
                  <pic:blipFill>
                    <a:blip r:embed="rId71"/>
                    <a:stretch>
                      <a:fillRect/>
                    </a:stretch>
                  </pic:blipFill>
                  <pic:spPr>
                    <a:xfrm>
                      <a:off x="0" y="0"/>
                      <a:ext cx="5819140" cy="5042535"/>
                    </a:xfrm>
                    <a:prstGeom prst="rect">
                      <a:avLst/>
                    </a:prstGeom>
                  </pic:spPr>
                </pic:pic>
              </a:graphicData>
            </a:graphic>
          </wp:anchor>
        </w:drawing>
      </w:r>
      <w:r>
        <w:rPr>
          <w:b/>
          <w:color w:val="auto"/>
          <w:sz w:val="24"/>
        </w:rPr>
        <w:t>图5.5-1</w:t>
      </w:r>
      <w:r>
        <w:rPr>
          <w:rFonts w:hint="eastAsia"/>
          <w:b/>
          <w:color w:val="auto"/>
          <w:sz w:val="24"/>
        </w:rPr>
        <w:t xml:space="preserve">  </w:t>
      </w:r>
      <w:r>
        <w:rPr>
          <w:b/>
          <w:color w:val="auto"/>
          <w:sz w:val="24"/>
        </w:rPr>
        <w:t>拟建场地附近区域地质构造图</w:t>
      </w:r>
    </w:p>
    <w:p>
      <w:pPr>
        <w:spacing w:line="440" w:lineRule="exact"/>
        <w:ind w:firstLine="480" w:firstLineChars="200"/>
        <w:rPr>
          <w:color w:val="auto"/>
          <w:sz w:val="24"/>
        </w:rPr>
      </w:pPr>
      <w:r>
        <w:rPr>
          <w:color w:val="auto"/>
          <w:sz w:val="24"/>
        </w:rPr>
        <w:t>现将调查区附近的断裂构造叙述如下：</w:t>
      </w:r>
    </w:p>
    <w:p>
      <w:pPr>
        <w:spacing w:line="360" w:lineRule="auto"/>
        <w:ind w:firstLine="360" w:firstLineChars="150"/>
        <w:rPr>
          <w:color w:val="auto"/>
          <w:sz w:val="24"/>
        </w:rPr>
      </w:pPr>
      <w:r>
        <w:rPr>
          <w:color w:val="auto"/>
          <w:sz w:val="24"/>
        </w:rPr>
        <w:t>（1）北东向断裂</w:t>
      </w:r>
    </w:p>
    <w:p>
      <w:pPr>
        <w:spacing w:line="360" w:lineRule="auto"/>
        <w:ind w:firstLine="480" w:firstLineChars="200"/>
        <w:rPr>
          <w:color w:val="auto"/>
          <w:sz w:val="24"/>
        </w:rPr>
      </w:pPr>
      <w:r>
        <w:rPr>
          <w:rFonts w:hint="eastAsia" w:ascii="宋体" w:hAnsi="宋体" w:cs="宋体"/>
          <w:color w:val="auto"/>
          <w:sz w:val="24"/>
        </w:rPr>
        <w:t>①</w:t>
      </w:r>
      <w:r>
        <w:rPr>
          <w:color w:val="auto"/>
          <w:sz w:val="24"/>
        </w:rPr>
        <w:t>龙门坑断裂F1</w:t>
      </w:r>
    </w:p>
    <w:p>
      <w:pPr>
        <w:spacing w:line="360" w:lineRule="auto"/>
        <w:ind w:firstLine="480" w:firstLineChars="200"/>
        <w:rPr>
          <w:color w:val="auto"/>
          <w:sz w:val="24"/>
        </w:rPr>
      </w:pPr>
      <w:r>
        <w:rPr>
          <w:color w:val="auto"/>
          <w:sz w:val="24"/>
        </w:rPr>
        <w:t>龙门坑断裂走向55°～60°，倾向NW，倾角45°～80°，长约9.5km。北东段龙门坑—飞机场一线，断裂发生分支，天子岭组灰岩呈透镜状夹持于两分支断裂中。在龙门坑一带见春湾组逆冲于天子岭组之上。断裂南西段龙门坑—挑君坑一线，春湾组高角度逆冲于帽子峰组之上，中间缺失天子岭组灰岩，反映断裂逆冲错位大于100m。断面呈舒缓波状，向下倾角有变缓趋势。破碎带宽5～10m，发育碎裂岩及构造角砾岩，角砾棱角状，大小3×5mm～1×2cm，成分为砂岩、碎裂岩，褐铁矿胶结。断裂的地球化学特征表明，断裂带中的Cu、Pb、Zn、Ag、Cr、Ni含量明显偏高，此外铁的含量高达39.84%，可能与张性环境有关。</w:t>
      </w:r>
    </w:p>
    <w:p>
      <w:pPr>
        <w:spacing w:line="360" w:lineRule="auto"/>
        <w:ind w:firstLine="480" w:firstLineChars="200"/>
        <w:rPr>
          <w:color w:val="auto"/>
          <w:sz w:val="24"/>
        </w:rPr>
      </w:pPr>
      <w:r>
        <w:rPr>
          <w:color w:val="auto"/>
          <w:sz w:val="24"/>
        </w:rPr>
        <w:t>断裂早期活动可能发生于印支期末，构造岩以碎裂岩为主，方解石光轴的岩组图为具点极密的边缘环带，反映了NW→SE的右旋逆冲推覆，属中低温高应变速率的变形环境。第二次活动表现为挤压作用进一步加强，强烈逆冲作用使部分地层缺失，沿断裂发育密集劈理带。晚期为正断层，形成构造角砾岩，角砾成分为早期的碎裂岩，具强烈褐铁矿化。</w:t>
      </w:r>
    </w:p>
    <w:p>
      <w:pPr>
        <w:spacing w:line="360" w:lineRule="auto"/>
        <w:ind w:firstLine="480" w:firstLineChars="200"/>
        <w:rPr>
          <w:color w:val="auto"/>
          <w:sz w:val="24"/>
        </w:rPr>
      </w:pPr>
      <w:r>
        <w:rPr>
          <w:rFonts w:hint="eastAsia" w:ascii="宋体" w:hAnsi="宋体" w:cs="宋体"/>
          <w:color w:val="auto"/>
          <w:sz w:val="24"/>
        </w:rPr>
        <w:t>②</w:t>
      </w:r>
      <w:r>
        <w:rPr>
          <w:color w:val="auto"/>
          <w:sz w:val="24"/>
        </w:rPr>
        <w:t>龙塘圩断裂F2</w:t>
      </w:r>
    </w:p>
    <w:p>
      <w:pPr>
        <w:spacing w:line="360" w:lineRule="auto"/>
        <w:ind w:firstLine="480" w:firstLineChars="200"/>
        <w:rPr>
          <w:color w:val="auto"/>
          <w:sz w:val="24"/>
        </w:rPr>
      </w:pPr>
      <w:r>
        <w:rPr>
          <w:color w:val="auto"/>
          <w:sz w:val="24"/>
        </w:rPr>
        <w:t>龙塘圩断裂走向25°～50°，倾向SE，倾角45°～50°，局部60°～70°，长约27km。断裂南西段（龙塘圩—下员山）表现较明显，其北西盘为白垩纪土红色砂砾岩、粉砂岩。南东盘为J</w:t>
      </w:r>
      <w:r>
        <w:rPr>
          <w:color w:val="auto"/>
          <w:sz w:val="24"/>
          <w:vertAlign w:val="subscript"/>
        </w:rPr>
        <w:t>3</w:t>
      </w:r>
      <w:r>
        <w:rPr>
          <w:color w:val="auto"/>
          <w:sz w:val="24"/>
        </w:rPr>
        <w:t>G中粒黑云母花岗岩及早侏罗世黑色页岩夹砂岩。沿断裂发育硅化角砾岩及压碎糜棱岩化带，宽约5～8m，最宽处可达50m。角砾成分有黑色页岩、灰色砂岩及红色页岩等，大小在1～4cm，硅质、铁质、泥质胶结，并有硅化现象。沿断裂带尚见1～2m宽石英斑岩脉充填其间。断裂北东段（龙塘圩—源潭斑鸠）表现不甚明显，主要据地层不连续及地貌特征确定。断层北西盘为泥盆纪帽子峰组砂页岩，南东盘为J</w:t>
      </w:r>
      <w:r>
        <w:rPr>
          <w:color w:val="auto"/>
          <w:sz w:val="24"/>
          <w:vertAlign w:val="subscript"/>
        </w:rPr>
        <w:t>2</w:t>
      </w:r>
      <w:r>
        <w:rPr>
          <w:color w:val="auto"/>
          <w:sz w:val="24"/>
        </w:rPr>
        <w:t xml:space="preserve">Y花岗岩。南东盘花岗岩遭受挤压破碎成压碎花岗岩。 </w:t>
      </w:r>
    </w:p>
    <w:p>
      <w:pPr>
        <w:spacing w:line="360" w:lineRule="auto"/>
        <w:ind w:firstLine="480" w:firstLineChars="200"/>
        <w:rPr>
          <w:color w:val="auto"/>
          <w:sz w:val="24"/>
        </w:rPr>
      </w:pPr>
      <w:r>
        <w:rPr>
          <w:color w:val="auto"/>
          <w:sz w:val="24"/>
        </w:rPr>
        <w:t>断裂近代仍有活动，1596年龙塘圩附近曾发生4.5级地震。</w:t>
      </w:r>
    </w:p>
    <w:p>
      <w:pPr>
        <w:spacing w:line="360" w:lineRule="auto"/>
        <w:ind w:firstLine="360" w:firstLineChars="150"/>
        <w:rPr>
          <w:color w:val="auto"/>
          <w:sz w:val="24"/>
        </w:rPr>
      </w:pPr>
      <w:r>
        <w:rPr>
          <w:color w:val="auto"/>
          <w:sz w:val="24"/>
        </w:rPr>
        <w:t>（2）东西西向断裂</w:t>
      </w:r>
    </w:p>
    <w:p>
      <w:pPr>
        <w:spacing w:line="360" w:lineRule="auto"/>
        <w:ind w:firstLine="480" w:firstLineChars="200"/>
        <w:rPr>
          <w:color w:val="auto"/>
          <w:sz w:val="24"/>
        </w:rPr>
      </w:pPr>
      <w:r>
        <w:rPr>
          <w:color w:val="auto"/>
          <w:sz w:val="24"/>
        </w:rPr>
        <w:t>西坑断裂F3</w:t>
      </w:r>
    </w:p>
    <w:p>
      <w:pPr>
        <w:spacing w:line="360" w:lineRule="auto"/>
        <w:ind w:firstLine="480" w:firstLineChars="200"/>
        <w:rPr>
          <w:color w:val="auto"/>
          <w:sz w:val="24"/>
        </w:rPr>
      </w:pPr>
      <w:r>
        <w:rPr>
          <w:color w:val="auto"/>
          <w:sz w:val="24"/>
        </w:rPr>
        <w:t>西坑断裂走向近东西，倾向N，局部倾向S，倾角55°～85°，断裂西段切割J</w:t>
      </w:r>
      <w:r>
        <w:rPr>
          <w:color w:val="auto"/>
          <w:sz w:val="24"/>
          <w:vertAlign w:val="subscript"/>
        </w:rPr>
        <w:t>3</w:t>
      </w:r>
      <w:r>
        <w:rPr>
          <w:color w:val="auto"/>
          <w:sz w:val="24"/>
        </w:rPr>
        <w:t>G及K</w:t>
      </w:r>
      <w:r>
        <w:rPr>
          <w:color w:val="auto"/>
          <w:sz w:val="24"/>
          <w:vertAlign w:val="subscript"/>
        </w:rPr>
        <w:t>1</w:t>
      </w:r>
      <w:r>
        <w:rPr>
          <w:color w:val="auto"/>
          <w:sz w:val="24"/>
        </w:rPr>
        <w:t>Z花岗岩，发育压碎花岗岩，具硅化及绿泥石化。断裂东段铺锦一带见断面向北倾，上盘为测水组砂岩，下盘为帽子峰组砂岩，上盘下降，导致石炭纪大赛坝组与石磴子组灰岩缺失，于从化附近断裂为第四系覆盖。往东于松仔岭一带，断面南倾，北盘为K</w:t>
      </w:r>
      <w:r>
        <w:rPr>
          <w:color w:val="auto"/>
          <w:sz w:val="24"/>
          <w:vertAlign w:val="subscript"/>
        </w:rPr>
        <w:t>1</w:t>
      </w:r>
      <w:r>
        <w:rPr>
          <w:color w:val="auto"/>
          <w:sz w:val="24"/>
        </w:rPr>
        <w:t>Y花岗岩，南盘为晚侏罗纪火山岩。断面舒缓波状，具厚1mm的硅质或铁锰质薄膜，在花岗岩中形成宽约0.7m的压碎花岗岩，在火山岩中形成宽1.5m左右的压碎岩或切割成尖灭侧现的构造透镜体。</w:t>
      </w:r>
    </w:p>
    <w:p>
      <w:pPr>
        <w:spacing w:line="360" w:lineRule="auto"/>
        <w:ind w:firstLine="480" w:firstLineChars="200"/>
        <w:rPr>
          <w:color w:val="auto"/>
          <w:sz w:val="24"/>
        </w:rPr>
      </w:pPr>
      <w:r>
        <w:rPr>
          <w:color w:val="auto"/>
          <w:sz w:val="24"/>
        </w:rPr>
        <w:t>上述断裂构造距调查区较远，距拟建场地最近的为龙塘圩断裂（F2），约</w:t>
      </w:r>
      <w:r>
        <w:rPr>
          <w:rFonts w:hint="eastAsia"/>
          <w:color w:val="auto"/>
          <w:sz w:val="24"/>
        </w:rPr>
        <w:t>10.0</w:t>
      </w:r>
      <w:r>
        <w:rPr>
          <w:color w:val="auto"/>
          <w:sz w:val="24"/>
        </w:rPr>
        <w:t>km，上述断裂对项目区的地下水基本无影响。</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5.5.1.4  </w:t>
      </w:r>
      <w:r>
        <w:rPr>
          <w:color w:val="auto"/>
        </w:rPr>
        <w:t>地下水类型及其特征</w:t>
      </w:r>
    </w:p>
    <w:p>
      <w:pPr>
        <w:spacing w:line="360" w:lineRule="auto"/>
        <w:ind w:firstLine="480" w:firstLineChars="200"/>
        <w:rPr>
          <w:b/>
          <w:color w:val="auto"/>
          <w:sz w:val="24"/>
        </w:rPr>
      </w:pPr>
      <w:r>
        <w:rPr>
          <w:color w:val="auto"/>
          <w:sz w:val="24"/>
        </w:rPr>
        <w:t>调查区内地下水（饱水带中的水）按含水介质岩性类型可划分为四种类型，分别为松散岩类孔隙水、层状基岩裂隙水、“红层”基岩裂隙水和碳酸盐类裂隙溶洞水。</w:t>
      </w:r>
    </w:p>
    <w:p>
      <w:pPr>
        <w:spacing w:line="360" w:lineRule="auto"/>
        <w:ind w:firstLine="482" w:firstLineChars="200"/>
        <w:rPr>
          <w:color w:val="auto"/>
          <w:sz w:val="24"/>
        </w:rPr>
      </w:pPr>
      <w:r>
        <w:rPr>
          <w:b/>
          <w:color w:val="auto"/>
          <w:sz w:val="24"/>
        </w:rPr>
        <w:t>（1）松散岩类孔隙水</w:t>
      </w:r>
    </w:p>
    <w:p>
      <w:pPr>
        <w:spacing w:line="360" w:lineRule="auto"/>
        <w:ind w:firstLine="480" w:firstLineChars="200"/>
        <w:rPr>
          <w:color w:val="auto"/>
          <w:sz w:val="24"/>
        </w:rPr>
      </w:pPr>
      <w:r>
        <w:rPr>
          <w:color w:val="auto"/>
          <w:sz w:val="24"/>
        </w:rPr>
        <w:t>松散岩类孔隙水主要分布于调查区平原地带，含水介质岩性主要为砂质粘土，局部含有少量砾石，含水层泥质含量较多，其透水能力较差，含水层厚度2.78～16.54m。据前人资料，调查区松散岩类孔隙水单井涌水量31.4～79.6m</w:t>
      </w:r>
      <w:r>
        <w:rPr>
          <w:color w:val="auto"/>
          <w:sz w:val="24"/>
          <w:vertAlign w:val="superscript"/>
        </w:rPr>
        <w:t>3</w:t>
      </w:r>
      <w:r>
        <w:rPr>
          <w:color w:val="auto"/>
          <w:sz w:val="24"/>
        </w:rPr>
        <w:t>/d，水化学类型为HCO</w:t>
      </w:r>
      <w:r>
        <w:rPr>
          <w:color w:val="auto"/>
          <w:sz w:val="24"/>
          <w:vertAlign w:val="subscript"/>
        </w:rPr>
        <w:t>3</w:t>
      </w:r>
      <w:r>
        <w:rPr>
          <w:color w:val="auto"/>
          <w:sz w:val="24"/>
        </w:rPr>
        <w:t>—Ca型，矿化度0.100～0.200g/L，属淡水。地下水水位埋深一般0.30～4.45m，pH值一般6.0～7.5，水温平均22.4℃。</w:t>
      </w:r>
    </w:p>
    <w:p>
      <w:pPr>
        <w:spacing w:line="360" w:lineRule="auto"/>
        <w:ind w:firstLine="480" w:firstLineChars="200"/>
        <w:rPr>
          <w:color w:val="auto"/>
          <w:sz w:val="24"/>
        </w:rPr>
      </w:pPr>
      <w:r>
        <w:rPr>
          <w:color w:val="auto"/>
          <w:sz w:val="24"/>
        </w:rPr>
        <w:t>综上所述，调查区平原地带第四系松散岩类孔隙水水量贫乏。</w:t>
      </w:r>
    </w:p>
    <w:p>
      <w:pPr>
        <w:spacing w:line="360" w:lineRule="auto"/>
        <w:ind w:firstLine="482" w:firstLineChars="200"/>
        <w:rPr>
          <w:b/>
          <w:color w:val="auto"/>
          <w:sz w:val="24"/>
        </w:rPr>
      </w:pPr>
      <w:r>
        <w:rPr>
          <w:b/>
          <w:color w:val="auto"/>
          <w:sz w:val="24"/>
        </w:rPr>
        <w:t>（2）层状基岩裂隙水</w:t>
      </w:r>
    </w:p>
    <w:p>
      <w:pPr>
        <w:spacing w:line="360" w:lineRule="auto"/>
        <w:ind w:firstLine="480" w:firstLineChars="200"/>
        <w:rPr>
          <w:color w:val="auto"/>
          <w:sz w:val="24"/>
        </w:rPr>
      </w:pPr>
      <w:r>
        <w:rPr>
          <w:color w:val="auto"/>
          <w:sz w:val="24"/>
        </w:rPr>
        <w:t>层状岩类裂隙水分布于调查区内东北部的扇尾—当福岭—建星—乌石寮—茶壶塘一带，含水介质岩性为早石炭世大赛坝组（C</w:t>
      </w:r>
      <w:r>
        <w:rPr>
          <w:color w:val="auto"/>
          <w:sz w:val="24"/>
          <w:vertAlign w:val="subscript"/>
        </w:rPr>
        <w:t>1</w:t>
      </w:r>
      <w:r>
        <w:rPr>
          <w:i/>
          <w:color w:val="auto"/>
          <w:sz w:val="24"/>
        </w:rPr>
        <w:t>ds</w:t>
      </w:r>
      <w:r>
        <w:rPr>
          <w:color w:val="auto"/>
          <w:sz w:val="24"/>
        </w:rPr>
        <w:t>）长石石英砂岩、粉砂岩、及页岩等。据区域水文地质资料，该类型地下水水量普遍贫乏，泉流量为0.237～1.234L/s，泉水流量数学期望值为0.334L/s，枯季地下迳流模数均值为3.014 L/s·km</w:t>
      </w:r>
      <w:r>
        <w:rPr>
          <w:color w:val="auto"/>
          <w:sz w:val="24"/>
          <w:vertAlign w:val="superscript"/>
        </w:rPr>
        <w:t>2</w:t>
      </w:r>
      <w:r>
        <w:rPr>
          <w:color w:val="auto"/>
          <w:sz w:val="24"/>
        </w:rPr>
        <w:t>，水化学类型为HCO</w:t>
      </w:r>
      <w:r>
        <w:rPr>
          <w:color w:val="auto"/>
          <w:sz w:val="24"/>
          <w:vertAlign w:val="subscript"/>
        </w:rPr>
        <w:t>3</w:t>
      </w:r>
      <w:r>
        <w:rPr>
          <w:color w:val="auto"/>
          <w:sz w:val="24"/>
        </w:rPr>
        <w:t>—Mg（Na）型，矿化度0.020～0.040g/L，水温22～24.5°C。</w:t>
      </w:r>
    </w:p>
    <w:p>
      <w:pPr>
        <w:spacing w:line="360" w:lineRule="auto"/>
        <w:ind w:firstLine="482" w:firstLineChars="200"/>
        <w:rPr>
          <w:b/>
          <w:color w:val="auto"/>
          <w:sz w:val="24"/>
        </w:rPr>
      </w:pPr>
      <w:r>
        <w:rPr>
          <w:b/>
          <w:color w:val="auto"/>
          <w:sz w:val="24"/>
        </w:rPr>
        <w:t>（3）碳酸盐岩类裂隙溶洞水</w:t>
      </w:r>
    </w:p>
    <w:p>
      <w:pPr>
        <w:spacing w:line="360" w:lineRule="auto"/>
        <w:ind w:firstLine="480" w:firstLineChars="200"/>
        <w:rPr>
          <w:color w:val="auto"/>
          <w:sz w:val="24"/>
        </w:rPr>
      </w:pPr>
      <w:r>
        <w:rPr>
          <w:color w:val="auto"/>
          <w:sz w:val="24"/>
        </w:rPr>
        <w:t>碳酸盐岩类裂隙溶洞水广泛分布于北江河谷平原，平原自东部飞霞山向西部龙塘、清远呈喇叭状撒开，北部为寒武系八村群变质砂岩、千枚岩及泥盆系砂页构成的低山，南部为下侏罗统构成的丘陵。调查区范围内溶洞水主要赋存于早石炭世长垑组(C</w:t>
      </w:r>
      <w:r>
        <w:rPr>
          <w:color w:val="auto"/>
          <w:sz w:val="24"/>
          <w:vertAlign w:val="subscript"/>
        </w:rPr>
        <w:t>1</w:t>
      </w:r>
      <w:r>
        <w:rPr>
          <w:i/>
          <w:color w:val="auto"/>
          <w:sz w:val="24"/>
        </w:rPr>
        <w:t>cl</w:t>
      </w:r>
      <w:r>
        <w:rPr>
          <w:color w:val="auto"/>
          <w:sz w:val="24"/>
        </w:rPr>
        <w:t>）灰岩、钙质页岩的裂隙溶洞中。长垑组(C</w:t>
      </w:r>
      <w:r>
        <w:rPr>
          <w:color w:val="auto"/>
          <w:sz w:val="24"/>
          <w:vertAlign w:val="subscript"/>
        </w:rPr>
        <w:t>1</w:t>
      </w:r>
      <w:r>
        <w:rPr>
          <w:i/>
          <w:color w:val="auto"/>
          <w:sz w:val="24"/>
        </w:rPr>
        <w:t>cl</w:t>
      </w:r>
      <w:r>
        <w:rPr>
          <w:color w:val="auto"/>
          <w:sz w:val="24"/>
        </w:rPr>
        <w:t>）隐伏于冲洪积层之下。帽子峰组砂页岩位于向斜中部，成隔档状残丘出露，与长垑组灰岩形成次一级褶皱，构成五个北东向灰岩条带。整个向斜西南端倾伏于古近纪红层之下。</w:t>
      </w:r>
    </w:p>
    <w:p>
      <w:pPr>
        <w:spacing w:line="360" w:lineRule="auto"/>
        <w:ind w:firstLine="480" w:firstLineChars="200"/>
        <w:rPr>
          <w:color w:val="auto"/>
          <w:sz w:val="24"/>
        </w:rPr>
      </w:pPr>
      <w:r>
        <w:rPr>
          <w:color w:val="auto"/>
          <w:sz w:val="24"/>
        </w:rPr>
        <w:t>长垑组(C</w:t>
      </w:r>
      <w:r>
        <w:rPr>
          <w:color w:val="auto"/>
          <w:sz w:val="24"/>
          <w:vertAlign w:val="subscript"/>
        </w:rPr>
        <w:t>1</w:t>
      </w:r>
      <w:r>
        <w:rPr>
          <w:i/>
          <w:color w:val="auto"/>
          <w:sz w:val="24"/>
        </w:rPr>
        <w:t>cl</w:t>
      </w:r>
      <w:r>
        <w:rPr>
          <w:color w:val="auto"/>
          <w:sz w:val="24"/>
        </w:rPr>
        <w:t>）碳酸盐岩类裂隙溶洞水隐伏于古近纪“红层”之下，走向为北东向，隐伏于当茶壶塘、虾塘、罗围一线范东南侧，在调查区主要分布于东南侧及南侧，该含水层岩性主要为中—厚层状灰白、灰黑色灰岩、钙质页岩、页岩。覆盖层厚度为16.38～23.47m，可溶岩厚度为4.23～195.85m，岩溶率为3.19～5.68%，洞内一般有泥砂、粘土、砾石填充。</w:t>
      </w:r>
    </w:p>
    <w:p>
      <w:pPr>
        <w:spacing w:line="360" w:lineRule="auto"/>
        <w:ind w:firstLine="480" w:firstLineChars="200"/>
        <w:rPr>
          <w:color w:val="auto"/>
          <w:sz w:val="24"/>
        </w:rPr>
      </w:pPr>
      <w:r>
        <w:rPr>
          <w:color w:val="auto"/>
          <w:sz w:val="24"/>
        </w:rPr>
        <w:t>据区域地质钻探资料，调查区附近岩溶较发育，发育深度浅，仅20～37m，多被泥砂质、砂质填充，涌水量0.25～88.24m</w:t>
      </w:r>
      <w:r>
        <w:rPr>
          <w:color w:val="auto"/>
          <w:sz w:val="24"/>
          <w:vertAlign w:val="superscript"/>
        </w:rPr>
        <w:t>3</w:t>
      </w:r>
      <w:r>
        <w:rPr>
          <w:color w:val="auto"/>
          <w:sz w:val="24"/>
        </w:rPr>
        <w:t>/d，富水性贫乏，水化学类型为HCO</w:t>
      </w:r>
      <w:r>
        <w:rPr>
          <w:color w:val="auto"/>
          <w:sz w:val="24"/>
          <w:vertAlign w:val="subscript"/>
        </w:rPr>
        <w:t>3</w:t>
      </w:r>
      <w:r>
        <w:rPr>
          <w:color w:val="auto"/>
          <w:sz w:val="24"/>
        </w:rPr>
        <w:t>—Mg（Na）型，矿化度0.17～6.75g/L。</w:t>
      </w:r>
    </w:p>
    <w:p>
      <w:pPr>
        <w:spacing w:line="360" w:lineRule="auto"/>
        <w:ind w:firstLine="482" w:firstLineChars="200"/>
        <w:rPr>
          <w:b/>
          <w:color w:val="auto"/>
          <w:sz w:val="24"/>
        </w:rPr>
      </w:pPr>
      <w:r>
        <w:rPr>
          <w:b/>
          <w:color w:val="auto"/>
          <w:sz w:val="24"/>
        </w:rPr>
        <w:t>（4）“红层”基岩裂隙水</w:t>
      </w:r>
    </w:p>
    <w:p>
      <w:pPr>
        <w:tabs>
          <w:tab w:val="left" w:pos="1605"/>
        </w:tabs>
        <w:spacing w:line="360" w:lineRule="auto"/>
        <w:ind w:firstLine="480" w:firstLineChars="200"/>
        <w:jc w:val="left"/>
        <w:rPr>
          <w:color w:val="auto"/>
          <w:sz w:val="24"/>
        </w:rPr>
      </w:pPr>
      <w:r>
        <w:rPr>
          <w:color w:val="auto"/>
          <w:sz w:val="24"/>
        </w:rPr>
        <w:t>“红层”基岩裂隙水主要分布于调查区下冲—瓦窑村—扇尾一带，含水岩组为早白垩世百足山组（K</w:t>
      </w:r>
      <w:r>
        <w:rPr>
          <w:color w:val="auto"/>
          <w:sz w:val="24"/>
          <w:vertAlign w:val="subscript"/>
        </w:rPr>
        <w:t>1</w:t>
      </w:r>
      <w:r>
        <w:rPr>
          <w:i/>
          <w:color w:val="auto"/>
          <w:sz w:val="24"/>
        </w:rPr>
        <w:t>b</w:t>
      </w:r>
      <w:r>
        <w:rPr>
          <w:color w:val="auto"/>
          <w:sz w:val="24"/>
        </w:rPr>
        <w:t>），含水介质为砾岩、砂砾岩、砂岩，水量贫乏，多为泥质、钙质胶结，发育的裂隙中大多被泥质填充。据区域水文地质资料，调查区</w:t>
      </w:r>
      <w:r>
        <w:rPr>
          <w:bCs/>
          <w:color w:val="auto"/>
          <w:sz w:val="24"/>
        </w:rPr>
        <w:t>“红层”基岩裂隙水</w:t>
      </w:r>
      <w:r>
        <w:rPr>
          <w:color w:val="auto"/>
          <w:sz w:val="24"/>
        </w:rPr>
        <w:t>水量贫乏，枯季地下水径流模数小于5L/s·km</w:t>
      </w:r>
      <w:r>
        <w:rPr>
          <w:color w:val="auto"/>
          <w:sz w:val="24"/>
          <w:vertAlign w:val="superscript"/>
        </w:rPr>
        <w:t>2</w:t>
      </w:r>
      <w:r>
        <w:rPr>
          <w:color w:val="auto"/>
          <w:sz w:val="24"/>
        </w:rPr>
        <w:t>，泉很少，且流量极小，一般小于0.5L/s，旱季部分泉水断流，矿化度达0.40～0.80g/L，地下水化学类型属SO</w:t>
      </w:r>
      <w:r>
        <w:rPr>
          <w:color w:val="auto"/>
          <w:sz w:val="24"/>
          <w:vertAlign w:val="subscript"/>
        </w:rPr>
        <w:t>4</w:t>
      </w:r>
      <w:r>
        <w:rPr>
          <w:color w:val="auto"/>
          <w:sz w:val="24"/>
        </w:rPr>
        <w:t>HCO</w:t>
      </w:r>
      <w:r>
        <w:rPr>
          <w:color w:val="auto"/>
          <w:sz w:val="24"/>
          <w:vertAlign w:val="subscript"/>
        </w:rPr>
        <w:t>3</w:t>
      </w:r>
      <w:r>
        <w:rPr>
          <w:color w:val="auto"/>
          <w:sz w:val="24"/>
        </w:rPr>
        <w:t>—CaNa型水。</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5.5.1.5  </w:t>
      </w:r>
      <w:r>
        <w:rPr>
          <w:color w:val="auto"/>
        </w:rPr>
        <w:t>地下水动态特征</w:t>
      </w:r>
    </w:p>
    <w:p>
      <w:pPr>
        <w:spacing w:line="372" w:lineRule="auto"/>
        <w:ind w:firstLine="480" w:firstLineChars="200"/>
        <w:rPr>
          <w:color w:val="auto"/>
          <w:sz w:val="24"/>
        </w:rPr>
      </w:pPr>
      <w:r>
        <w:rPr>
          <w:color w:val="auto"/>
          <w:sz w:val="24"/>
        </w:rPr>
        <w:t>本次水文地质调查的民井、机井地下水位监测资料，结合地方环境监测站地下水长期动态观测资料分析，影响调查区地下水动态变化的主要因素是气象、水文和人类工程活动，由于含水层的岩性、埋深和影响因素不同，不同类型地下水的动态特征也有差别，现分述如下：</w:t>
      </w:r>
    </w:p>
    <w:p>
      <w:pPr>
        <w:spacing w:line="372" w:lineRule="auto"/>
        <w:ind w:firstLine="482" w:firstLineChars="200"/>
        <w:rPr>
          <w:b/>
          <w:color w:val="auto"/>
          <w:sz w:val="24"/>
        </w:rPr>
      </w:pPr>
      <w:r>
        <w:rPr>
          <w:b/>
          <w:color w:val="auto"/>
          <w:sz w:val="24"/>
        </w:rPr>
        <w:t>（1）松散岩类孔隙水</w:t>
      </w:r>
    </w:p>
    <w:p>
      <w:pPr>
        <w:spacing w:line="372" w:lineRule="auto"/>
        <w:ind w:firstLine="480" w:firstLineChars="200"/>
        <w:rPr>
          <w:color w:val="auto"/>
          <w:sz w:val="24"/>
        </w:rPr>
      </w:pPr>
      <w:r>
        <w:rPr>
          <w:color w:val="auto"/>
          <w:sz w:val="24"/>
        </w:rPr>
        <w:t>调查区松散岩类孔隙水对气候环境反应比较灵敏，随季节及降雨而变化，具有补给快、排泄渲畅、蒸发强度大、水位升降频繁、延续时间短的特点。除受降雨影响外，还受地表岩性、含水层埋深及地形地貌影响，但不同地段，水位变化与降水关系差异较大。一般在地形相对较高、坡度较陡、含水层较薄且分布不连续、地下水埋藏较浅、地下水赋存条件差的地段，其地下水水位较不稳定，对补给的响应较快。在地势相对较低、地形平坦、含水层较厚且分布连续、地下水埋藏较深、植被较发育，具有良好赋存条件和补给来源充足的地段。其地下水水位较稳定，变幅较小，对大气降雨的补给反应较缓慢，滞后现象明显，一般滞后0.5～1个月。</w:t>
      </w:r>
    </w:p>
    <w:p>
      <w:pPr>
        <w:spacing w:line="372" w:lineRule="auto"/>
        <w:ind w:firstLine="480" w:firstLineChars="200"/>
        <w:rPr>
          <w:color w:val="auto"/>
          <w:sz w:val="24"/>
        </w:rPr>
      </w:pPr>
      <w:r>
        <w:rPr>
          <w:color w:val="auto"/>
          <w:sz w:val="24"/>
        </w:rPr>
        <w:t>调查区平原地带地下水水位变化主要受大气降雨补给与蒸发影响较大，区内每年5月进入雨季后水位便迅速上升，8、9月份最高，10月份后随着降雨量减少而下降。根据该地区区域水文地质资料，枯、丰水期平均水位差0.19～2.33m，年水位变幅0.25～3.60m。水位谷值一般出现在3～5月，峰值一般出现在8、9月。</w:t>
      </w:r>
    </w:p>
    <w:p>
      <w:pPr>
        <w:spacing w:line="372" w:lineRule="auto"/>
        <w:ind w:firstLine="482" w:firstLineChars="200"/>
        <w:rPr>
          <w:b/>
          <w:color w:val="auto"/>
          <w:sz w:val="24"/>
        </w:rPr>
      </w:pPr>
      <w:r>
        <w:rPr>
          <w:b/>
          <w:color w:val="auto"/>
          <w:sz w:val="24"/>
        </w:rPr>
        <w:t>（2）层状基岩裂隙水</w:t>
      </w:r>
    </w:p>
    <w:p>
      <w:pPr>
        <w:spacing w:line="372" w:lineRule="auto"/>
        <w:ind w:firstLine="480" w:firstLineChars="200"/>
        <w:rPr>
          <w:color w:val="auto"/>
          <w:sz w:val="24"/>
        </w:rPr>
      </w:pPr>
      <w:r>
        <w:rPr>
          <w:color w:val="auto"/>
          <w:sz w:val="24"/>
        </w:rPr>
        <w:t>主要受气候影响，显示出雨水型动态特征，局部地段受开采和地表水影响。水位一般3～5月份最低，8～10月份最高。水位升降与降雨量的时空分布基本吻合，但随水位埋深不同而略有不同，并随着埋深的增加滞后现象越明显。水位一般在降雨1～2天后开始上升，5～6天达到顶峰。水位变化幅度随水位埋深变小而递减，一般为1.30～5.20m。</w:t>
      </w:r>
    </w:p>
    <w:p>
      <w:pPr>
        <w:spacing w:line="372" w:lineRule="auto"/>
        <w:ind w:firstLine="482" w:firstLineChars="200"/>
        <w:rPr>
          <w:b/>
          <w:color w:val="auto"/>
          <w:sz w:val="24"/>
        </w:rPr>
      </w:pPr>
      <w:r>
        <w:rPr>
          <w:b/>
          <w:color w:val="auto"/>
          <w:sz w:val="24"/>
        </w:rPr>
        <w:t>（3）碳酸盐岩类裂隙溶洞水</w:t>
      </w:r>
    </w:p>
    <w:p>
      <w:pPr>
        <w:spacing w:line="372" w:lineRule="auto"/>
        <w:ind w:firstLine="480" w:firstLineChars="200"/>
        <w:rPr>
          <w:color w:val="auto"/>
          <w:sz w:val="24"/>
        </w:rPr>
      </w:pPr>
      <w:r>
        <w:rPr>
          <w:color w:val="auto"/>
          <w:sz w:val="24"/>
        </w:rPr>
        <w:t>调查区岩溶水动态变化与松散岩类孔隙水水位动态变化密切相关，呈季节性变化的特点，每年5～9月处于高水位期，10月份后，随着大气降雨的减少，水位缓慢下降，每年12月至次年4月处于低水位期，常在2月份出现低谷。这种变化为持续性缓慢变化，较少出现水位大幅连续突变现象，若通过监测发现地下水位连续剧烈波动（日波动幅度大于1m），则需要考虑人为影响因素。综上，天然状态下，岩溶地下水动态变化幅度一般较小，年变幅一般小于2m，单场降雨补给岩溶地下水导致的水位上升幅度一般小于1m，个别可达1.5m。</w:t>
      </w:r>
    </w:p>
    <w:p>
      <w:pPr>
        <w:spacing w:line="372" w:lineRule="auto"/>
        <w:ind w:firstLine="482" w:firstLineChars="200"/>
        <w:rPr>
          <w:b/>
          <w:color w:val="auto"/>
          <w:sz w:val="24"/>
        </w:rPr>
      </w:pPr>
      <w:r>
        <w:rPr>
          <w:b/>
          <w:color w:val="auto"/>
          <w:sz w:val="24"/>
        </w:rPr>
        <w:t>（4）“红层”基岩裂隙水</w:t>
      </w:r>
    </w:p>
    <w:p>
      <w:pPr>
        <w:spacing w:line="372" w:lineRule="auto"/>
        <w:ind w:firstLine="480" w:firstLineChars="200"/>
        <w:rPr>
          <w:color w:val="auto"/>
          <w:sz w:val="24"/>
        </w:rPr>
      </w:pPr>
      <w:r>
        <w:rPr>
          <w:color w:val="auto"/>
          <w:sz w:val="24"/>
        </w:rPr>
        <w:t>据区域水文地质资料，调查区“红层”基岩裂隙水水位升降与降雨量的时空分布基本吻合，但随水位埋深不同而略有不同，并随着埋深的增加滞后现象越明显。水位埋深超过8m的地区，水位一般滞后1个月；水位埋深2～3m的地区，水位一般在降雨1～2天后开始上升，5～6天达到顶峰。水位变化幅度从高地带到低缓地带随水位埋深变小而递减，一般为1.30～5.20m，高地年水位变幅2.50～9.00m，低缓地带地下水位变幅1.00～6.00m。</w:t>
      </w:r>
    </w:p>
    <w:p>
      <w:pPr>
        <w:rPr>
          <w:color w:val="auto"/>
        </w:rPr>
      </w:pPr>
      <w:r>
        <w:rPr>
          <w:color w:val="auto"/>
        </w:rPr>
        <w:drawing>
          <wp:inline distT="0" distB="0" distL="114300" distR="114300">
            <wp:extent cx="5782310" cy="5908040"/>
            <wp:effectExtent l="0" t="0" r="8890" b="16510"/>
            <wp:docPr id="129" name="图片 3" descr="0123 水文地质图（第一次修改，引用于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descr="0123 水文地质图（第一次修改，引用于报告）"/>
                    <pic:cNvPicPr>
                      <a:picLocks noChangeAspect="1"/>
                    </pic:cNvPicPr>
                  </pic:nvPicPr>
                  <pic:blipFill>
                    <a:blip r:embed="rId72"/>
                    <a:stretch>
                      <a:fillRect/>
                    </a:stretch>
                  </pic:blipFill>
                  <pic:spPr>
                    <a:xfrm>
                      <a:off x="0" y="0"/>
                      <a:ext cx="5782310" cy="5908040"/>
                    </a:xfrm>
                    <a:prstGeom prst="rect">
                      <a:avLst/>
                    </a:prstGeom>
                    <a:noFill/>
                    <a:ln w="9525">
                      <a:noFill/>
                    </a:ln>
                  </pic:spPr>
                </pic:pic>
              </a:graphicData>
            </a:graphic>
          </wp:inline>
        </w:drawing>
      </w:r>
      <w:r>
        <w:rPr>
          <w:color w:val="auto"/>
        </w:rPr>
        <w:drawing>
          <wp:anchor distT="0" distB="0" distL="114300" distR="114300" simplePos="0" relativeHeight="252738560" behindDoc="0" locked="0" layoutInCell="1" allowOverlap="1">
            <wp:simplePos x="0" y="0"/>
            <wp:positionH relativeFrom="column">
              <wp:posOffset>42545</wp:posOffset>
            </wp:positionH>
            <wp:positionV relativeFrom="paragraph">
              <wp:posOffset>85725</wp:posOffset>
            </wp:positionV>
            <wp:extent cx="1123315" cy="953135"/>
            <wp:effectExtent l="0" t="0" r="635" b="18415"/>
            <wp:wrapNone/>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9"/>
                    <a:srcRect/>
                    <a:stretch>
                      <a:fillRect/>
                    </a:stretch>
                  </pic:blipFill>
                  <pic:spPr>
                    <a:xfrm>
                      <a:off x="0" y="0"/>
                      <a:ext cx="1123315" cy="953135"/>
                    </a:xfrm>
                    <a:prstGeom prst="rect">
                      <a:avLst/>
                    </a:prstGeom>
                    <a:noFill/>
                    <a:ln w="9525">
                      <a:noFill/>
                    </a:ln>
                  </pic:spPr>
                </pic:pic>
              </a:graphicData>
            </a:graphic>
          </wp:anchor>
        </w:drawing>
      </w:r>
    </w:p>
    <w:p>
      <w:pPr>
        <w:jc w:val="center"/>
        <w:rPr>
          <w:b/>
          <w:color w:val="auto"/>
          <w:sz w:val="24"/>
        </w:rPr>
      </w:pPr>
      <w:r>
        <w:rPr>
          <w:b/>
          <w:color w:val="auto"/>
          <w:sz w:val="24"/>
        </w:rPr>
        <w:t>图</w:t>
      </w:r>
      <w:r>
        <w:rPr>
          <w:rFonts w:hint="eastAsia"/>
          <w:b/>
          <w:color w:val="auto"/>
          <w:sz w:val="24"/>
        </w:rPr>
        <w:t>5.5</w:t>
      </w:r>
      <w:r>
        <w:rPr>
          <w:b/>
          <w:color w:val="auto"/>
          <w:sz w:val="24"/>
        </w:rPr>
        <w:t>-</w:t>
      </w:r>
      <w:r>
        <w:rPr>
          <w:rFonts w:hint="eastAsia"/>
          <w:b/>
          <w:color w:val="auto"/>
          <w:sz w:val="24"/>
        </w:rPr>
        <w:t>2</w:t>
      </w:r>
      <w:r>
        <w:rPr>
          <w:b/>
          <w:color w:val="auto"/>
          <w:sz w:val="24"/>
        </w:rPr>
        <w:t xml:space="preserve">  水文地质图</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546" w:name="_Toc10610"/>
      <w:r>
        <w:rPr>
          <w:rFonts w:hint="eastAsia"/>
          <w:color w:val="auto"/>
        </w:rPr>
        <w:t xml:space="preserve">5.5.2  </w:t>
      </w:r>
      <w:r>
        <w:rPr>
          <w:color w:val="auto"/>
        </w:rPr>
        <w:t>场地水文地质条件</w:t>
      </w:r>
      <w:bookmarkEnd w:id="546"/>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5.5.2.1  </w:t>
      </w:r>
      <w:r>
        <w:rPr>
          <w:color w:val="auto"/>
        </w:rPr>
        <w:t>地层岩性</w:t>
      </w:r>
    </w:p>
    <w:p>
      <w:pPr>
        <w:spacing w:line="360" w:lineRule="auto"/>
        <w:ind w:firstLine="480" w:firstLineChars="200"/>
        <w:rPr>
          <w:color w:val="auto"/>
          <w:spacing w:val="2"/>
          <w:sz w:val="24"/>
        </w:rPr>
      </w:pPr>
      <w:r>
        <w:rPr>
          <w:color w:val="auto"/>
          <w:sz w:val="24"/>
        </w:rPr>
        <w:t>根据</w:t>
      </w:r>
      <w:r>
        <w:rPr>
          <w:rFonts w:hint="eastAsia"/>
          <w:color w:val="auto"/>
          <w:sz w:val="24"/>
        </w:rPr>
        <w:t>广东有色工程勘察设计院于2010年10月16日编制的《清远市兴域铝业有限公司厂区——铝型材车间岩土工程详细勘察报告》，可知项目</w:t>
      </w:r>
      <w:r>
        <w:rPr>
          <w:color w:val="auto"/>
          <w:sz w:val="24"/>
        </w:rPr>
        <w:t>拟建场地内</w:t>
      </w:r>
      <w:r>
        <w:rPr>
          <w:rFonts w:hint="eastAsia"/>
          <w:color w:val="auto"/>
          <w:sz w:val="24"/>
        </w:rPr>
        <w:t>岩基土层共6种成因地层。按其成因类型自上而下分为：1、第四系人工填土层（Q</w:t>
      </w:r>
      <w:r>
        <w:rPr>
          <w:rFonts w:hint="eastAsia"/>
          <w:color w:val="auto"/>
          <w:sz w:val="24"/>
          <w:vertAlign w:val="subscript"/>
        </w:rPr>
        <w:t>4</w:t>
      </w:r>
      <w:r>
        <w:rPr>
          <w:rFonts w:hint="eastAsia"/>
          <w:color w:val="auto"/>
          <w:sz w:val="24"/>
          <w:vertAlign w:val="superscript"/>
        </w:rPr>
        <w:t>ml</w:t>
      </w:r>
      <w:r>
        <w:rPr>
          <w:rFonts w:hint="eastAsia"/>
          <w:color w:val="auto"/>
          <w:sz w:val="24"/>
        </w:rPr>
        <w:t>）；2、</w:t>
      </w:r>
      <w:r>
        <w:rPr>
          <w:color w:val="auto"/>
          <w:spacing w:val="2"/>
          <w:sz w:val="24"/>
        </w:rPr>
        <w:t>第四系</w:t>
      </w:r>
      <w:r>
        <w:rPr>
          <w:color w:val="auto"/>
          <w:sz w:val="24"/>
        </w:rPr>
        <w:t>冲积层（Q</w:t>
      </w:r>
      <w:r>
        <w:rPr>
          <w:rFonts w:hint="eastAsia"/>
          <w:color w:val="auto"/>
          <w:sz w:val="24"/>
          <w:vertAlign w:val="subscript"/>
        </w:rPr>
        <w:t>4</w:t>
      </w:r>
      <w:r>
        <w:rPr>
          <w:i/>
          <w:color w:val="auto"/>
          <w:sz w:val="24"/>
          <w:vertAlign w:val="superscript"/>
        </w:rPr>
        <w:t>al</w:t>
      </w:r>
      <w:r>
        <w:rPr>
          <w:color w:val="auto"/>
          <w:sz w:val="24"/>
        </w:rPr>
        <w:t>）</w:t>
      </w:r>
      <w:r>
        <w:rPr>
          <w:color w:val="auto"/>
          <w:spacing w:val="2"/>
          <w:sz w:val="24"/>
        </w:rPr>
        <w:t>，</w:t>
      </w:r>
      <w:r>
        <w:rPr>
          <w:rFonts w:hint="eastAsia"/>
          <w:color w:val="auto"/>
          <w:spacing w:val="2"/>
          <w:sz w:val="24"/>
        </w:rPr>
        <w:t>3、</w:t>
      </w:r>
      <w:r>
        <w:rPr>
          <w:color w:val="auto"/>
          <w:spacing w:val="2"/>
          <w:sz w:val="24"/>
        </w:rPr>
        <w:t>第四系</w:t>
      </w:r>
      <w:r>
        <w:rPr>
          <w:rFonts w:hint="eastAsia"/>
          <w:color w:val="auto"/>
          <w:sz w:val="24"/>
        </w:rPr>
        <w:t>湖</w:t>
      </w:r>
      <w:r>
        <w:rPr>
          <w:color w:val="auto"/>
          <w:sz w:val="24"/>
        </w:rPr>
        <w:t>积层（Q</w:t>
      </w:r>
      <w:r>
        <w:rPr>
          <w:rFonts w:hint="eastAsia"/>
          <w:color w:val="auto"/>
          <w:sz w:val="24"/>
          <w:vertAlign w:val="subscript"/>
        </w:rPr>
        <w:t>4</w:t>
      </w:r>
      <w:r>
        <w:rPr>
          <w:i/>
          <w:color w:val="auto"/>
          <w:sz w:val="24"/>
          <w:vertAlign w:val="superscript"/>
        </w:rPr>
        <w:t>l</w:t>
      </w:r>
      <w:r>
        <w:rPr>
          <w:color w:val="auto"/>
          <w:sz w:val="24"/>
        </w:rPr>
        <w:t>）</w:t>
      </w:r>
      <w:r>
        <w:rPr>
          <w:color w:val="auto"/>
          <w:spacing w:val="2"/>
          <w:sz w:val="24"/>
        </w:rPr>
        <w:t>，</w:t>
      </w:r>
      <w:r>
        <w:rPr>
          <w:rFonts w:hint="eastAsia"/>
          <w:color w:val="auto"/>
          <w:spacing w:val="2"/>
          <w:sz w:val="24"/>
        </w:rPr>
        <w:t>4、</w:t>
      </w:r>
      <w:r>
        <w:rPr>
          <w:color w:val="auto"/>
          <w:spacing w:val="2"/>
          <w:sz w:val="24"/>
        </w:rPr>
        <w:t>第四系</w:t>
      </w:r>
      <w:r>
        <w:rPr>
          <w:color w:val="auto"/>
          <w:sz w:val="24"/>
        </w:rPr>
        <w:t>冲积层</w:t>
      </w:r>
      <w:r>
        <w:rPr>
          <w:rFonts w:hint="eastAsia"/>
          <w:color w:val="auto"/>
          <w:sz w:val="24"/>
        </w:rPr>
        <w:t>+洪积层</w:t>
      </w:r>
      <w:r>
        <w:rPr>
          <w:color w:val="auto"/>
          <w:sz w:val="24"/>
        </w:rPr>
        <w:t>（Q</w:t>
      </w:r>
      <w:r>
        <w:rPr>
          <w:rFonts w:hint="eastAsia"/>
          <w:color w:val="auto"/>
          <w:sz w:val="24"/>
          <w:vertAlign w:val="subscript"/>
        </w:rPr>
        <w:t>4</w:t>
      </w:r>
      <w:r>
        <w:rPr>
          <w:i/>
          <w:color w:val="auto"/>
          <w:sz w:val="24"/>
          <w:vertAlign w:val="superscript"/>
        </w:rPr>
        <w:t>al</w:t>
      </w:r>
      <w:r>
        <w:rPr>
          <w:rFonts w:hint="eastAsia"/>
          <w:i/>
          <w:color w:val="auto"/>
          <w:sz w:val="24"/>
          <w:vertAlign w:val="superscript"/>
        </w:rPr>
        <w:t>+pl</w:t>
      </w:r>
      <w:r>
        <w:rPr>
          <w:color w:val="auto"/>
          <w:sz w:val="24"/>
        </w:rPr>
        <w:t>）</w:t>
      </w:r>
      <w:r>
        <w:rPr>
          <w:color w:val="auto"/>
          <w:spacing w:val="2"/>
          <w:sz w:val="24"/>
        </w:rPr>
        <w:t>，</w:t>
      </w:r>
      <w:r>
        <w:rPr>
          <w:rFonts w:hint="eastAsia"/>
          <w:color w:val="auto"/>
          <w:spacing w:val="2"/>
          <w:sz w:val="24"/>
        </w:rPr>
        <w:t>5、</w:t>
      </w:r>
      <w:r>
        <w:rPr>
          <w:color w:val="auto"/>
          <w:spacing w:val="2"/>
          <w:sz w:val="24"/>
        </w:rPr>
        <w:t>第四系</w:t>
      </w:r>
      <w:r>
        <w:rPr>
          <w:rFonts w:hint="eastAsia"/>
          <w:color w:val="auto"/>
          <w:spacing w:val="2"/>
          <w:sz w:val="24"/>
        </w:rPr>
        <w:t>残</w:t>
      </w:r>
      <w:r>
        <w:rPr>
          <w:color w:val="auto"/>
          <w:sz w:val="24"/>
        </w:rPr>
        <w:t>积层（Q</w:t>
      </w:r>
      <w:r>
        <w:rPr>
          <w:rFonts w:hint="eastAsia"/>
          <w:color w:val="auto"/>
          <w:sz w:val="24"/>
          <w:vertAlign w:val="subscript"/>
        </w:rPr>
        <w:t>3</w:t>
      </w:r>
      <w:r>
        <w:rPr>
          <w:rFonts w:hint="eastAsia"/>
          <w:color w:val="auto"/>
          <w:sz w:val="24"/>
          <w:vertAlign w:val="superscript"/>
        </w:rPr>
        <w:t>e</w:t>
      </w:r>
      <w:r>
        <w:rPr>
          <w:i/>
          <w:color w:val="auto"/>
          <w:sz w:val="24"/>
          <w:vertAlign w:val="superscript"/>
        </w:rPr>
        <w:t>l</w:t>
      </w:r>
      <w:r>
        <w:rPr>
          <w:color w:val="auto"/>
          <w:sz w:val="24"/>
        </w:rPr>
        <w:t>）</w:t>
      </w:r>
      <w:r>
        <w:rPr>
          <w:color w:val="auto"/>
          <w:spacing w:val="2"/>
          <w:sz w:val="24"/>
        </w:rPr>
        <w:t>，</w:t>
      </w:r>
      <w:r>
        <w:rPr>
          <w:rFonts w:hint="eastAsia"/>
          <w:color w:val="auto"/>
          <w:spacing w:val="2"/>
          <w:sz w:val="24"/>
        </w:rPr>
        <w:t>6、白垩系（k2）红色沉积碎屑岩层。</w:t>
      </w:r>
    </w:p>
    <w:p>
      <w:pPr>
        <w:spacing w:line="360" w:lineRule="auto"/>
        <w:ind w:firstLine="480" w:firstLineChars="200"/>
        <w:rPr>
          <w:color w:val="auto"/>
          <w:sz w:val="24"/>
        </w:rPr>
      </w:pPr>
      <w:r>
        <w:rPr>
          <w:color w:val="auto"/>
          <w:sz w:val="24"/>
        </w:rPr>
        <w:t>该场地各岩土体水文地质特征如下。</w:t>
      </w:r>
    </w:p>
    <w:p>
      <w:pPr>
        <w:spacing w:line="360" w:lineRule="auto"/>
        <w:ind w:firstLine="480" w:firstLineChars="200"/>
        <w:rPr>
          <w:color w:val="auto"/>
          <w:sz w:val="24"/>
        </w:rPr>
      </w:pPr>
      <w:r>
        <w:rPr>
          <w:rFonts w:hint="eastAsia" w:ascii="宋体" w:hAnsi="宋体" w:cs="宋体"/>
          <w:color w:val="auto"/>
          <w:sz w:val="24"/>
        </w:rPr>
        <w:t>①</w:t>
      </w:r>
      <w:r>
        <w:rPr>
          <w:color w:val="auto"/>
          <w:sz w:val="24"/>
        </w:rPr>
        <w:t xml:space="preserve"> </w:t>
      </w:r>
      <w:r>
        <w:rPr>
          <w:rFonts w:hint="eastAsia"/>
          <w:color w:val="auto"/>
          <w:sz w:val="24"/>
        </w:rPr>
        <w:t>第四系人工填土层（Q</w:t>
      </w:r>
      <w:r>
        <w:rPr>
          <w:rFonts w:hint="eastAsia"/>
          <w:color w:val="auto"/>
          <w:sz w:val="24"/>
          <w:vertAlign w:val="subscript"/>
        </w:rPr>
        <w:t>4</w:t>
      </w:r>
      <w:r>
        <w:rPr>
          <w:rFonts w:hint="eastAsia"/>
          <w:color w:val="auto"/>
          <w:sz w:val="24"/>
          <w:vertAlign w:val="superscript"/>
        </w:rPr>
        <w:t>ml</w:t>
      </w:r>
      <w:r>
        <w:rPr>
          <w:rFonts w:hint="eastAsia"/>
          <w:color w:val="auto"/>
          <w:sz w:val="24"/>
        </w:rPr>
        <w:t>）——素</w:t>
      </w:r>
      <w:r>
        <w:rPr>
          <w:color w:val="auto"/>
          <w:sz w:val="24"/>
        </w:rPr>
        <w:t>填土</w:t>
      </w:r>
    </w:p>
    <w:p>
      <w:pPr>
        <w:spacing w:line="360" w:lineRule="auto"/>
        <w:ind w:firstLine="480" w:firstLineChars="200"/>
        <w:rPr>
          <w:color w:val="auto"/>
          <w:sz w:val="24"/>
        </w:rPr>
      </w:pPr>
      <w:r>
        <w:rPr>
          <w:color w:val="auto"/>
          <w:sz w:val="24"/>
        </w:rPr>
        <w:t>广泛分布于建设地场及周边地表，本次施工的所有钻孔皆有揭露。</w:t>
      </w:r>
      <w:r>
        <w:rPr>
          <w:rFonts w:hint="eastAsia"/>
          <w:color w:val="auto"/>
          <w:sz w:val="24"/>
        </w:rPr>
        <w:t>露出地表，地面标高11.71~11.21m，层厚2.03~6.69m，平均4.01m。浅褐黄、灰黄、浅灰黄色，欠压实，主要有人工堆填的粉质粘土、砂粒和少量碎石组成，堆填时间＞5年。</w:t>
      </w:r>
    </w:p>
    <w:p>
      <w:pPr>
        <w:spacing w:line="360" w:lineRule="auto"/>
        <w:ind w:firstLine="480" w:firstLineChars="200"/>
        <w:rPr>
          <w:b/>
          <w:color w:val="auto"/>
          <w:sz w:val="24"/>
        </w:rPr>
      </w:pPr>
      <w:r>
        <w:rPr>
          <w:color w:val="auto"/>
          <w:sz w:val="24"/>
        </w:rPr>
        <w:t>透水能力较差。据试坑渗水试验，该层渗透系数为3.1 E-06～4.3 E-05cm/s不等，属</w:t>
      </w:r>
      <w:r>
        <w:rPr>
          <w:b/>
          <w:color w:val="auto"/>
          <w:sz w:val="24"/>
        </w:rPr>
        <w:t>弱透水层。</w:t>
      </w:r>
    </w:p>
    <w:p>
      <w:pPr>
        <w:spacing w:line="360" w:lineRule="auto"/>
        <w:ind w:firstLine="480" w:firstLineChars="200"/>
        <w:rPr>
          <w:color w:val="auto"/>
          <w:sz w:val="24"/>
        </w:rPr>
      </w:pPr>
      <w:r>
        <w:rPr>
          <w:rFonts w:hint="eastAsia" w:ascii="宋体" w:hAnsi="宋体" w:cs="宋体"/>
          <w:color w:val="auto"/>
          <w:sz w:val="24"/>
        </w:rPr>
        <w:t>②</w:t>
      </w:r>
      <w:r>
        <w:rPr>
          <w:color w:val="auto"/>
          <w:sz w:val="24"/>
        </w:rPr>
        <w:t xml:space="preserve"> </w:t>
      </w:r>
      <w:r>
        <w:rPr>
          <w:color w:val="auto"/>
          <w:spacing w:val="2"/>
          <w:sz w:val="24"/>
        </w:rPr>
        <w:t>第四系</w:t>
      </w:r>
      <w:r>
        <w:rPr>
          <w:color w:val="auto"/>
          <w:sz w:val="24"/>
        </w:rPr>
        <w:t>冲积层（Q</w:t>
      </w:r>
      <w:r>
        <w:rPr>
          <w:rFonts w:hint="eastAsia"/>
          <w:color w:val="auto"/>
          <w:sz w:val="24"/>
          <w:vertAlign w:val="subscript"/>
        </w:rPr>
        <w:t>4</w:t>
      </w:r>
      <w:r>
        <w:rPr>
          <w:i/>
          <w:color w:val="auto"/>
          <w:sz w:val="24"/>
          <w:vertAlign w:val="superscript"/>
        </w:rPr>
        <w:t>al</w:t>
      </w:r>
      <w:r>
        <w:rPr>
          <w:color w:val="auto"/>
          <w:sz w:val="24"/>
        </w:rPr>
        <w:t>）</w:t>
      </w:r>
      <w:r>
        <w:rPr>
          <w:rFonts w:hint="eastAsia"/>
          <w:color w:val="auto"/>
          <w:sz w:val="24"/>
        </w:rPr>
        <w:t>——</w:t>
      </w:r>
      <w:r>
        <w:rPr>
          <w:color w:val="auto"/>
          <w:sz w:val="24"/>
        </w:rPr>
        <w:t>粉质粘土</w:t>
      </w:r>
    </w:p>
    <w:p>
      <w:pPr>
        <w:spacing w:line="360" w:lineRule="auto"/>
        <w:ind w:firstLine="480" w:firstLineChars="200"/>
        <w:rPr>
          <w:color w:val="auto"/>
          <w:sz w:val="24"/>
        </w:rPr>
      </w:pPr>
      <w:r>
        <w:rPr>
          <w:rFonts w:hint="eastAsia"/>
          <w:color w:val="auto"/>
          <w:sz w:val="24"/>
        </w:rPr>
        <w:t>属于丘前沟谷间河流冲积层，较广泛分布，钻孔揭露率72%以上，顶板标高9.61~5.69m，顶板埋深2.03~5.64m，平均3.51m，层厚0.95~3.90m，平均2.60m。褐、褐黄色，可塑状，组成物为粘粒、粉粒，含少量砂粒，粘韧性较强。</w:t>
      </w:r>
    </w:p>
    <w:p>
      <w:pPr>
        <w:spacing w:line="360" w:lineRule="auto"/>
        <w:ind w:firstLine="480" w:firstLineChars="200"/>
        <w:rPr>
          <w:color w:val="auto"/>
          <w:sz w:val="24"/>
        </w:rPr>
      </w:pPr>
      <w:r>
        <w:rPr>
          <w:color w:val="auto"/>
          <w:sz w:val="24"/>
        </w:rPr>
        <w:t>该土层透水性差，孔隙少发育，赋存地下水为无法自由流动的结合水，渗透系数为2.4 E-07～1.2 E-06 cm/s，属</w:t>
      </w:r>
      <w:r>
        <w:rPr>
          <w:b/>
          <w:color w:val="auto"/>
          <w:sz w:val="24"/>
        </w:rPr>
        <w:t>隔水层</w:t>
      </w:r>
      <w:r>
        <w:rPr>
          <w:color w:val="auto"/>
          <w:sz w:val="24"/>
        </w:rPr>
        <w:t>。</w:t>
      </w:r>
    </w:p>
    <w:p>
      <w:pPr>
        <w:spacing w:line="360" w:lineRule="auto"/>
        <w:ind w:firstLine="480" w:firstLineChars="200"/>
        <w:rPr>
          <w:color w:val="auto"/>
          <w:sz w:val="24"/>
        </w:rPr>
      </w:pPr>
      <w:r>
        <w:rPr>
          <w:rFonts w:hint="eastAsia" w:ascii="宋体" w:hAnsi="宋体" w:cs="宋体"/>
          <w:color w:val="auto"/>
          <w:sz w:val="24"/>
        </w:rPr>
        <w:t>③</w:t>
      </w:r>
      <w:r>
        <w:rPr>
          <w:color w:val="auto"/>
          <w:sz w:val="24"/>
        </w:rPr>
        <w:t xml:space="preserve"> </w:t>
      </w:r>
      <w:r>
        <w:rPr>
          <w:color w:val="auto"/>
          <w:spacing w:val="2"/>
          <w:sz w:val="24"/>
        </w:rPr>
        <w:t>第四系</w:t>
      </w:r>
      <w:r>
        <w:rPr>
          <w:rFonts w:hint="eastAsia"/>
          <w:color w:val="auto"/>
          <w:sz w:val="24"/>
        </w:rPr>
        <w:t>湖</w:t>
      </w:r>
      <w:r>
        <w:rPr>
          <w:color w:val="auto"/>
          <w:sz w:val="24"/>
        </w:rPr>
        <w:t>积层（Q</w:t>
      </w:r>
      <w:r>
        <w:rPr>
          <w:rFonts w:hint="eastAsia"/>
          <w:color w:val="auto"/>
          <w:sz w:val="24"/>
          <w:vertAlign w:val="subscript"/>
        </w:rPr>
        <w:t>4</w:t>
      </w:r>
      <w:r>
        <w:rPr>
          <w:i/>
          <w:color w:val="auto"/>
          <w:sz w:val="24"/>
          <w:vertAlign w:val="superscript"/>
        </w:rPr>
        <w:t>l</w:t>
      </w:r>
      <w:r>
        <w:rPr>
          <w:color w:val="auto"/>
          <w:sz w:val="24"/>
        </w:rPr>
        <w:t>）</w:t>
      </w:r>
      <w:r>
        <w:rPr>
          <w:rFonts w:hint="eastAsia"/>
          <w:color w:val="auto"/>
          <w:sz w:val="24"/>
        </w:rPr>
        <w:t>——</w:t>
      </w:r>
      <w:r>
        <w:rPr>
          <w:color w:val="auto"/>
          <w:sz w:val="24"/>
        </w:rPr>
        <w:t>淤泥</w:t>
      </w:r>
    </w:p>
    <w:p>
      <w:pPr>
        <w:spacing w:line="360" w:lineRule="auto"/>
        <w:ind w:firstLine="480" w:firstLineChars="200"/>
        <w:rPr>
          <w:color w:val="auto"/>
        </w:rPr>
      </w:pPr>
      <w:r>
        <w:rPr>
          <w:rFonts w:hint="eastAsia"/>
          <w:color w:val="auto"/>
          <w:sz w:val="24"/>
        </w:rPr>
        <w:t>属于牛轭湖相静水环境沉积层，广泛分布，顶板标高8.61~2.69m，顶板深埋2.90~8.59m，平均5.99m，层厚1.80~8.52m，平均4.21m。浅灰、灰黑、黑色，流塑状，组成物主要为朽木茎、腐植质及粉粘粒，土芯浸水体积膨胀，退税收缩，具腥臭味。</w:t>
      </w:r>
    </w:p>
    <w:p>
      <w:pPr>
        <w:spacing w:line="360" w:lineRule="auto"/>
        <w:ind w:firstLine="480" w:firstLineChars="200"/>
        <w:rPr>
          <w:color w:val="auto"/>
          <w:sz w:val="24"/>
        </w:rPr>
      </w:pPr>
      <w:r>
        <w:rPr>
          <w:color w:val="auto"/>
          <w:sz w:val="24"/>
        </w:rPr>
        <w:t>该土层透水性差，赋存地下水为无法自由流动的结合水，据本次室内土工试验及地区经验，渗透系数为2.50 E-07～1.10 E-06 cm/s，属</w:t>
      </w:r>
      <w:r>
        <w:rPr>
          <w:b/>
          <w:color w:val="auto"/>
          <w:sz w:val="24"/>
        </w:rPr>
        <w:t>隔水层</w:t>
      </w:r>
      <w:r>
        <w:rPr>
          <w:color w:val="auto"/>
          <w:sz w:val="24"/>
        </w:rPr>
        <w:t>。</w:t>
      </w:r>
    </w:p>
    <w:p>
      <w:pPr>
        <w:spacing w:line="360" w:lineRule="auto"/>
        <w:ind w:firstLine="480" w:firstLineChars="200"/>
        <w:rPr>
          <w:color w:val="auto"/>
          <w:sz w:val="24"/>
        </w:rPr>
      </w:pPr>
      <w:r>
        <w:rPr>
          <w:rFonts w:hint="eastAsia" w:ascii="宋体" w:hAnsi="宋体" w:cs="宋体"/>
          <w:color w:val="auto"/>
          <w:sz w:val="24"/>
        </w:rPr>
        <w:t>④</w:t>
      </w:r>
      <w:r>
        <w:rPr>
          <w:color w:val="auto"/>
          <w:sz w:val="24"/>
        </w:rPr>
        <w:t xml:space="preserve"> </w:t>
      </w:r>
      <w:r>
        <w:rPr>
          <w:color w:val="auto"/>
          <w:spacing w:val="2"/>
          <w:sz w:val="24"/>
        </w:rPr>
        <w:t>第四系</w:t>
      </w:r>
      <w:r>
        <w:rPr>
          <w:color w:val="auto"/>
          <w:sz w:val="24"/>
        </w:rPr>
        <w:t>冲积层</w:t>
      </w:r>
      <w:r>
        <w:rPr>
          <w:rFonts w:hint="eastAsia"/>
          <w:color w:val="auto"/>
          <w:sz w:val="24"/>
        </w:rPr>
        <w:t>+洪积层</w:t>
      </w:r>
      <w:r>
        <w:rPr>
          <w:color w:val="auto"/>
          <w:sz w:val="24"/>
        </w:rPr>
        <w:t>（Q</w:t>
      </w:r>
      <w:r>
        <w:rPr>
          <w:rFonts w:hint="eastAsia"/>
          <w:color w:val="auto"/>
          <w:sz w:val="24"/>
          <w:vertAlign w:val="subscript"/>
        </w:rPr>
        <w:t>4</w:t>
      </w:r>
      <w:r>
        <w:rPr>
          <w:i/>
          <w:color w:val="auto"/>
          <w:sz w:val="24"/>
          <w:vertAlign w:val="superscript"/>
        </w:rPr>
        <w:t>al</w:t>
      </w:r>
      <w:r>
        <w:rPr>
          <w:rFonts w:hint="eastAsia"/>
          <w:i/>
          <w:color w:val="auto"/>
          <w:sz w:val="24"/>
          <w:vertAlign w:val="superscript"/>
        </w:rPr>
        <w:t>+pl</w:t>
      </w:r>
      <w:r>
        <w:rPr>
          <w:color w:val="auto"/>
          <w:sz w:val="24"/>
        </w:rPr>
        <w:t>）</w:t>
      </w:r>
      <w:r>
        <w:rPr>
          <w:rFonts w:hint="eastAsia"/>
          <w:color w:val="auto"/>
          <w:sz w:val="24"/>
        </w:rPr>
        <w:t>——</w:t>
      </w:r>
      <w:r>
        <w:rPr>
          <w:color w:val="auto"/>
          <w:sz w:val="24"/>
        </w:rPr>
        <w:t>粉质粘土</w:t>
      </w:r>
    </w:p>
    <w:p>
      <w:pPr>
        <w:spacing w:line="360" w:lineRule="auto"/>
        <w:ind w:firstLine="480" w:firstLineChars="200"/>
        <w:rPr>
          <w:color w:val="auto"/>
          <w:sz w:val="24"/>
        </w:rPr>
      </w:pPr>
      <w:r>
        <w:rPr>
          <w:rFonts w:hint="eastAsia"/>
          <w:color w:val="auto"/>
          <w:sz w:val="24"/>
        </w:rPr>
        <w:t>较广泛分布，揭露率57%以上。顶板标高8.36~-1.29m；顶板埋深3.13~12.50m，平均9.63m；层厚0.51~5.41m，平均2.33m，褐黄色、浅褐黄、浅黄、灰等色，可塑状，组成为粘粒、粉粒，多含砂粒，砂感较好。</w:t>
      </w:r>
    </w:p>
    <w:p>
      <w:pPr>
        <w:spacing w:line="360" w:lineRule="auto"/>
        <w:ind w:firstLine="480" w:firstLineChars="200"/>
        <w:rPr>
          <w:color w:val="auto"/>
          <w:sz w:val="24"/>
        </w:rPr>
      </w:pPr>
      <w:r>
        <w:rPr>
          <w:color w:val="auto"/>
          <w:sz w:val="24"/>
        </w:rPr>
        <w:t>该土层透水性差，孔隙少发育，赋存地下水为无法自由流动的结合水，渗透系数为2.40 E-07～1.2 0E-06cm/s，属</w:t>
      </w:r>
      <w:r>
        <w:rPr>
          <w:b/>
          <w:color w:val="auto"/>
          <w:sz w:val="24"/>
        </w:rPr>
        <w:t>隔水层</w:t>
      </w:r>
      <w:r>
        <w:rPr>
          <w:color w:val="auto"/>
          <w:sz w:val="24"/>
        </w:rPr>
        <w:t>。</w:t>
      </w:r>
    </w:p>
    <w:p>
      <w:pPr>
        <w:spacing w:line="360" w:lineRule="auto"/>
        <w:ind w:firstLine="480" w:firstLineChars="200"/>
        <w:rPr>
          <w:color w:val="auto"/>
          <w:sz w:val="24"/>
        </w:rPr>
      </w:pPr>
      <w:r>
        <w:rPr>
          <w:rFonts w:hint="eastAsia" w:ascii="宋体" w:hAnsi="宋体" w:cs="宋体"/>
          <w:color w:val="auto"/>
          <w:sz w:val="24"/>
        </w:rPr>
        <w:t>⑤</w:t>
      </w:r>
      <w:r>
        <w:rPr>
          <w:color w:val="auto"/>
          <w:sz w:val="24"/>
        </w:rPr>
        <w:t xml:space="preserve"> </w:t>
      </w:r>
      <w:r>
        <w:rPr>
          <w:color w:val="auto"/>
          <w:spacing w:val="2"/>
          <w:sz w:val="24"/>
        </w:rPr>
        <w:t>第四系</w:t>
      </w:r>
      <w:r>
        <w:rPr>
          <w:rFonts w:hint="eastAsia"/>
          <w:color w:val="auto"/>
          <w:spacing w:val="2"/>
          <w:sz w:val="24"/>
        </w:rPr>
        <w:t>残</w:t>
      </w:r>
      <w:r>
        <w:rPr>
          <w:color w:val="auto"/>
          <w:sz w:val="24"/>
        </w:rPr>
        <w:t>积层（Q</w:t>
      </w:r>
      <w:r>
        <w:rPr>
          <w:rFonts w:hint="eastAsia"/>
          <w:color w:val="auto"/>
          <w:sz w:val="24"/>
          <w:vertAlign w:val="subscript"/>
        </w:rPr>
        <w:t>3</w:t>
      </w:r>
      <w:r>
        <w:rPr>
          <w:rFonts w:hint="eastAsia"/>
          <w:color w:val="auto"/>
          <w:sz w:val="24"/>
          <w:vertAlign w:val="superscript"/>
        </w:rPr>
        <w:t>e</w:t>
      </w:r>
      <w:r>
        <w:rPr>
          <w:i/>
          <w:color w:val="auto"/>
          <w:sz w:val="24"/>
          <w:vertAlign w:val="superscript"/>
        </w:rPr>
        <w:t>l</w:t>
      </w:r>
      <w:r>
        <w:rPr>
          <w:color w:val="auto"/>
          <w:sz w:val="24"/>
        </w:rPr>
        <w:t>）</w:t>
      </w:r>
      <w:r>
        <w:rPr>
          <w:rFonts w:hint="eastAsia"/>
          <w:color w:val="auto"/>
          <w:sz w:val="24"/>
        </w:rPr>
        <w:t>——粉</w:t>
      </w:r>
      <w:r>
        <w:rPr>
          <w:color w:val="auto"/>
          <w:sz w:val="24"/>
        </w:rPr>
        <w:t>土</w:t>
      </w:r>
    </w:p>
    <w:p>
      <w:pPr>
        <w:spacing w:line="360" w:lineRule="auto"/>
        <w:ind w:firstLine="480" w:firstLineChars="200"/>
        <w:rPr>
          <w:color w:val="auto"/>
          <w:sz w:val="24"/>
        </w:rPr>
      </w:pPr>
      <w:r>
        <w:rPr>
          <w:color w:val="auto"/>
          <w:sz w:val="24"/>
        </w:rPr>
        <w:t>该层</w:t>
      </w:r>
      <w:r>
        <w:rPr>
          <w:rFonts w:hint="eastAsia"/>
          <w:color w:val="auto"/>
          <w:sz w:val="24"/>
        </w:rPr>
        <w:t>为粉砂岩、粗砂岩、含砾</w:t>
      </w:r>
      <w:r>
        <w:rPr>
          <w:color w:val="auto"/>
          <w:sz w:val="24"/>
        </w:rPr>
        <w:t>砂</w:t>
      </w:r>
      <w:r>
        <w:rPr>
          <w:rFonts w:hint="eastAsia"/>
          <w:color w:val="auto"/>
          <w:sz w:val="24"/>
        </w:rPr>
        <w:t>岩等厌食风化混合残积土，较广泛分布，揭露率33%，顶板标高4.16~-3.75m，顶板埋深7.30~15.24m，平均11.22m，层厚0.93~7.37m，平均3.47m。</w:t>
      </w:r>
    </w:p>
    <w:p>
      <w:pPr>
        <w:spacing w:line="360" w:lineRule="auto"/>
        <w:ind w:firstLine="480" w:firstLineChars="200"/>
        <w:rPr>
          <w:color w:val="auto"/>
          <w:sz w:val="24"/>
        </w:rPr>
      </w:pPr>
      <w:r>
        <w:rPr>
          <w:rFonts w:hint="eastAsia"/>
          <w:color w:val="auto"/>
          <w:sz w:val="24"/>
        </w:rPr>
        <w:t>褐黄、浅褐等色，土性以粉土和含砾粉土为主。稍湿，中密状，多数含原岩岩屑（角砾）或风化残余砂砾，雨水较易软化、崩解。</w:t>
      </w:r>
    </w:p>
    <w:p>
      <w:pPr>
        <w:spacing w:line="360" w:lineRule="auto"/>
        <w:ind w:firstLine="480" w:firstLineChars="200"/>
        <w:rPr>
          <w:color w:val="auto"/>
          <w:sz w:val="24"/>
        </w:rPr>
      </w:pPr>
      <w:r>
        <w:rPr>
          <w:color w:val="auto"/>
          <w:sz w:val="24"/>
        </w:rPr>
        <w:t>该土层透水性差，渗透系数为</w:t>
      </w:r>
      <w:r>
        <w:rPr>
          <w:rFonts w:hint="eastAsia"/>
          <w:color w:val="auto"/>
          <w:sz w:val="24"/>
        </w:rPr>
        <w:t>8.3</w:t>
      </w:r>
      <w:r>
        <w:rPr>
          <w:color w:val="auto"/>
          <w:sz w:val="24"/>
        </w:rPr>
        <w:t>E-0</w:t>
      </w:r>
      <w:r>
        <w:rPr>
          <w:rFonts w:hint="eastAsia"/>
          <w:color w:val="auto"/>
          <w:sz w:val="24"/>
        </w:rPr>
        <w:t>5</w:t>
      </w:r>
      <w:r>
        <w:rPr>
          <w:color w:val="auto"/>
          <w:sz w:val="24"/>
        </w:rPr>
        <w:t>～</w:t>
      </w:r>
      <w:r>
        <w:rPr>
          <w:rFonts w:hint="eastAsia"/>
          <w:color w:val="auto"/>
          <w:sz w:val="24"/>
        </w:rPr>
        <w:t>4.2</w:t>
      </w:r>
      <w:r>
        <w:rPr>
          <w:color w:val="auto"/>
          <w:sz w:val="24"/>
        </w:rPr>
        <w:t>E-0</w:t>
      </w:r>
      <w:r>
        <w:rPr>
          <w:rFonts w:hint="eastAsia"/>
          <w:color w:val="auto"/>
          <w:sz w:val="24"/>
        </w:rPr>
        <w:t>4</w:t>
      </w:r>
      <w:r>
        <w:rPr>
          <w:color w:val="auto"/>
          <w:sz w:val="24"/>
        </w:rPr>
        <w:t>cm/s，属</w:t>
      </w:r>
      <w:r>
        <w:rPr>
          <w:b/>
          <w:color w:val="auto"/>
          <w:sz w:val="24"/>
        </w:rPr>
        <w:t>隔水层</w:t>
      </w:r>
      <w:r>
        <w:rPr>
          <w:color w:val="auto"/>
          <w:sz w:val="24"/>
        </w:rPr>
        <w:t>。</w:t>
      </w:r>
    </w:p>
    <w:p>
      <w:pPr>
        <w:spacing w:line="360" w:lineRule="auto"/>
        <w:ind w:firstLine="480" w:firstLineChars="200"/>
        <w:rPr>
          <w:color w:val="auto"/>
          <w:sz w:val="24"/>
        </w:rPr>
      </w:pPr>
      <w:r>
        <w:rPr>
          <w:rFonts w:hint="eastAsia"/>
          <w:color w:val="auto"/>
          <w:sz w:val="24"/>
        </w:rPr>
        <w:t>⑥白垩系（k2）红色沉积碎屑岩层——各类砂岩</w:t>
      </w:r>
    </w:p>
    <w:p>
      <w:pPr>
        <w:spacing w:line="360" w:lineRule="auto"/>
        <w:ind w:firstLine="480" w:firstLineChars="200"/>
        <w:rPr>
          <w:color w:val="auto"/>
          <w:sz w:val="24"/>
        </w:rPr>
      </w:pPr>
      <w:r>
        <w:rPr>
          <w:rFonts w:hint="eastAsia"/>
          <w:color w:val="auto"/>
          <w:sz w:val="24"/>
        </w:rPr>
        <w:t>广泛分布整个场地，该层岩性种类较多，有泥质砂岩、粉砂岩、细砂岩、含砾砂岩和砾岩。可分为强风化岩带、中风化岩带和微风化岩带。厚度较大，平均厚度为8.8m。</w:t>
      </w:r>
    </w:p>
    <w:p>
      <w:pPr>
        <w:spacing w:line="360" w:lineRule="auto"/>
        <w:ind w:firstLine="480" w:firstLineChars="200"/>
        <w:rPr>
          <w:b/>
          <w:color w:val="auto"/>
          <w:sz w:val="24"/>
        </w:rPr>
      </w:pPr>
      <w:r>
        <w:rPr>
          <w:color w:val="auto"/>
          <w:sz w:val="24"/>
        </w:rPr>
        <w:t>该土层透水性差，孔隙少发育，赋存地下水为无法自由流动的结合水，渗透系数为</w:t>
      </w:r>
      <w:r>
        <w:rPr>
          <w:rFonts w:hint="eastAsia"/>
          <w:color w:val="auto"/>
          <w:sz w:val="24"/>
        </w:rPr>
        <w:t>3.1</w:t>
      </w:r>
      <w:r>
        <w:rPr>
          <w:color w:val="auto"/>
          <w:sz w:val="24"/>
        </w:rPr>
        <w:t xml:space="preserve"> E-0</w:t>
      </w:r>
      <w:r>
        <w:rPr>
          <w:rFonts w:hint="eastAsia"/>
          <w:color w:val="auto"/>
          <w:sz w:val="24"/>
        </w:rPr>
        <w:t>8</w:t>
      </w:r>
      <w:r>
        <w:rPr>
          <w:color w:val="auto"/>
          <w:sz w:val="24"/>
        </w:rPr>
        <w:t>～</w:t>
      </w:r>
      <w:r>
        <w:rPr>
          <w:rFonts w:hint="eastAsia"/>
          <w:color w:val="auto"/>
          <w:sz w:val="24"/>
        </w:rPr>
        <w:t>5.0</w:t>
      </w:r>
      <w:r>
        <w:rPr>
          <w:color w:val="auto"/>
          <w:sz w:val="24"/>
        </w:rPr>
        <w:t>E-06cm/s，属</w:t>
      </w:r>
      <w:r>
        <w:rPr>
          <w:b/>
          <w:color w:val="auto"/>
          <w:sz w:val="24"/>
        </w:rPr>
        <w:t>隔水层</w:t>
      </w:r>
      <w:r>
        <w:rPr>
          <w:color w:val="auto"/>
          <w:sz w:val="24"/>
        </w:rPr>
        <w:t>。</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5.5.2.2  </w:t>
      </w:r>
      <w:r>
        <w:rPr>
          <w:color w:val="auto"/>
        </w:rPr>
        <w:t>地下水的赋存条件</w:t>
      </w:r>
    </w:p>
    <w:p>
      <w:pPr>
        <w:tabs>
          <w:tab w:val="left" w:pos="1605"/>
        </w:tabs>
        <w:spacing w:line="360" w:lineRule="auto"/>
        <w:ind w:firstLine="470" w:firstLineChars="196"/>
        <w:jc w:val="left"/>
        <w:rPr>
          <w:color w:val="auto"/>
          <w:sz w:val="24"/>
        </w:rPr>
      </w:pPr>
      <w:r>
        <w:rPr>
          <w:color w:val="auto"/>
          <w:sz w:val="24"/>
        </w:rPr>
        <w:t>1、包气带</w:t>
      </w:r>
    </w:p>
    <w:p>
      <w:pPr>
        <w:tabs>
          <w:tab w:val="left" w:pos="1050"/>
          <w:tab w:val="left" w:pos="1365"/>
        </w:tabs>
        <w:spacing w:line="360" w:lineRule="auto"/>
        <w:ind w:firstLine="480" w:firstLineChars="200"/>
        <w:rPr>
          <w:color w:val="auto"/>
          <w:sz w:val="24"/>
        </w:rPr>
      </w:pPr>
      <w:r>
        <w:rPr>
          <w:color w:val="auto"/>
          <w:sz w:val="24"/>
        </w:rPr>
        <w:t>潜水面以上的地带，也称非饱和带，是大气水和地表水同</w:t>
      </w:r>
      <w:r>
        <w:rPr>
          <w:color w:val="auto"/>
          <w:sz w:val="24"/>
        </w:rPr>
        <w:fldChar w:fldCharType="begin"/>
      </w:r>
      <w:r>
        <w:rPr>
          <w:color w:val="auto"/>
          <w:sz w:val="24"/>
        </w:rPr>
        <w:instrText xml:space="preserve"> HYPERLINK "http://baike.baidu.com/view/36813.htm" \t "_blank" </w:instrText>
      </w:r>
      <w:r>
        <w:rPr>
          <w:color w:val="auto"/>
          <w:sz w:val="24"/>
        </w:rPr>
        <w:fldChar w:fldCharType="separate"/>
      </w:r>
      <w:r>
        <w:rPr>
          <w:color w:val="auto"/>
          <w:sz w:val="24"/>
        </w:rPr>
        <w:t>地下水</w:t>
      </w:r>
      <w:r>
        <w:rPr>
          <w:color w:val="auto"/>
          <w:sz w:val="24"/>
        </w:rPr>
        <w:fldChar w:fldCharType="end"/>
      </w:r>
      <w:r>
        <w:rPr>
          <w:color w:val="auto"/>
          <w:sz w:val="24"/>
        </w:rPr>
        <w:t>发生联系并进行水分交换的地带，它是岩土颗粒、水、空气三者同时存在的一个复杂系统。包气带具有吸收水分、保持水分和传递水分的能力。本区的包气带岩土性主要由素填土层组成，素填土结构的为松散状，物质成份为</w:t>
      </w:r>
      <w:r>
        <w:rPr>
          <w:rFonts w:hint="eastAsia"/>
          <w:color w:val="auto"/>
          <w:sz w:val="24"/>
        </w:rPr>
        <w:t>粉质粘土、砂粒和少量碎石</w:t>
      </w:r>
      <w:r>
        <w:rPr>
          <w:color w:val="auto"/>
          <w:sz w:val="24"/>
        </w:rPr>
        <w:t>。根据水文地质试验可知，包气带的岩（土）层渗透系数为3.1 E-06～4.3 E-05</w:t>
      </w:r>
      <w:r>
        <w:rPr>
          <w:color w:val="auto"/>
          <w:kern w:val="0"/>
          <w:sz w:val="24"/>
        </w:rPr>
        <w:t>cm/s</w:t>
      </w:r>
      <w:r>
        <w:rPr>
          <w:color w:val="auto"/>
          <w:sz w:val="24"/>
        </w:rPr>
        <w:t>。</w:t>
      </w:r>
    </w:p>
    <w:p>
      <w:pPr>
        <w:tabs>
          <w:tab w:val="left" w:pos="1605"/>
        </w:tabs>
        <w:spacing w:line="360" w:lineRule="auto"/>
        <w:ind w:firstLine="470" w:firstLineChars="196"/>
        <w:jc w:val="left"/>
        <w:rPr>
          <w:color w:val="auto"/>
          <w:sz w:val="24"/>
        </w:rPr>
      </w:pPr>
      <w:r>
        <w:rPr>
          <w:color w:val="auto"/>
          <w:sz w:val="24"/>
        </w:rPr>
        <w:t>2、隔水层</w:t>
      </w:r>
    </w:p>
    <w:p>
      <w:pPr>
        <w:spacing w:line="360" w:lineRule="auto"/>
        <w:ind w:firstLine="480" w:firstLineChars="200"/>
        <w:rPr>
          <w:color w:val="auto"/>
          <w:sz w:val="24"/>
        </w:rPr>
      </w:pPr>
      <w:r>
        <w:rPr>
          <w:color w:val="auto"/>
          <w:sz w:val="24"/>
        </w:rPr>
        <w:t>场区内隔水层</w:t>
      </w:r>
      <w:r>
        <w:rPr>
          <w:rFonts w:hint="eastAsia"/>
          <w:color w:val="auto"/>
          <w:sz w:val="24"/>
        </w:rPr>
        <w:t>较多，主要有</w:t>
      </w:r>
      <w:r>
        <w:rPr>
          <w:color w:val="auto"/>
          <w:spacing w:val="2"/>
          <w:sz w:val="24"/>
        </w:rPr>
        <w:t>第四系</w:t>
      </w:r>
      <w:r>
        <w:rPr>
          <w:color w:val="auto"/>
          <w:sz w:val="24"/>
        </w:rPr>
        <w:t>冲积层（Q</w:t>
      </w:r>
      <w:r>
        <w:rPr>
          <w:rFonts w:hint="eastAsia"/>
          <w:color w:val="auto"/>
          <w:sz w:val="24"/>
          <w:vertAlign w:val="subscript"/>
        </w:rPr>
        <w:t>4</w:t>
      </w:r>
      <w:r>
        <w:rPr>
          <w:i/>
          <w:color w:val="auto"/>
          <w:sz w:val="24"/>
          <w:vertAlign w:val="superscript"/>
        </w:rPr>
        <w:t>al</w:t>
      </w:r>
      <w:r>
        <w:rPr>
          <w:color w:val="auto"/>
          <w:sz w:val="24"/>
        </w:rPr>
        <w:t>）</w:t>
      </w:r>
      <w:r>
        <w:rPr>
          <w:rFonts w:hint="eastAsia"/>
          <w:color w:val="auto"/>
          <w:sz w:val="24"/>
        </w:rPr>
        <w:t>、</w:t>
      </w:r>
      <w:r>
        <w:rPr>
          <w:color w:val="auto"/>
          <w:spacing w:val="2"/>
          <w:sz w:val="24"/>
        </w:rPr>
        <w:t>第四系</w:t>
      </w:r>
      <w:r>
        <w:rPr>
          <w:rFonts w:hint="eastAsia"/>
          <w:color w:val="auto"/>
          <w:sz w:val="24"/>
        </w:rPr>
        <w:t>湖</w:t>
      </w:r>
      <w:r>
        <w:rPr>
          <w:color w:val="auto"/>
          <w:sz w:val="24"/>
        </w:rPr>
        <w:t>积层（Q</w:t>
      </w:r>
      <w:r>
        <w:rPr>
          <w:rFonts w:hint="eastAsia"/>
          <w:color w:val="auto"/>
          <w:sz w:val="24"/>
          <w:vertAlign w:val="subscript"/>
        </w:rPr>
        <w:t>4</w:t>
      </w:r>
      <w:r>
        <w:rPr>
          <w:i/>
          <w:color w:val="auto"/>
          <w:sz w:val="24"/>
          <w:vertAlign w:val="superscript"/>
        </w:rPr>
        <w:t>l</w:t>
      </w:r>
      <w:r>
        <w:rPr>
          <w:color w:val="auto"/>
          <w:sz w:val="24"/>
        </w:rPr>
        <w:t>）</w:t>
      </w:r>
      <w:r>
        <w:rPr>
          <w:rFonts w:hint="eastAsia"/>
          <w:color w:val="auto"/>
          <w:sz w:val="24"/>
        </w:rPr>
        <w:t>、</w:t>
      </w:r>
      <w:r>
        <w:rPr>
          <w:color w:val="auto"/>
          <w:spacing w:val="2"/>
          <w:sz w:val="24"/>
        </w:rPr>
        <w:t>第四系</w:t>
      </w:r>
      <w:r>
        <w:rPr>
          <w:color w:val="auto"/>
          <w:sz w:val="24"/>
        </w:rPr>
        <w:t>冲积层</w:t>
      </w:r>
      <w:r>
        <w:rPr>
          <w:rFonts w:hint="eastAsia"/>
          <w:color w:val="auto"/>
          <w:sz w:val="24"/>
        </w:rPr>
        <w:t>+洪积层</w:t>
      </w:r>
      <w:r>
        <w:rPr>
          <w:color w:val="auto"/>
          <w:sz w:val="24"/>
        </w:rPr>
        <w:t>（Q</w:t>
      </w:r>
      <w:r>
        <w:rPr>
          <w:rFonts w:hint="eastAsia"/>
          <w:color w:val="auto"/>
          <w:sz w:val="24"/>
          <w:vertAlign w:val="subscript"/>
        </w:rPr>
        <w:t>4</w:t>
      </w:r>
      <w:r>
        <w:rPr>
          <w:i/>
          <w:color w:val="auto"/>
          <w:sz w:val="24"/>
          <w:vertAlign w:val="superscript"/>
        </w:rPr>
        <w:t>al</w:t>
      </w:r>
      <w:r>
        <w:rPr>
          <w:rFonts w:hint="eastAsia"/>
          <w:i/>
          <w:color w:val="auto"/>
          <w:sz w:val="24"/>
          <w:vertAlign w:val="superscript"/>
        </w:rPr>
        <w:t>+pl</w:t>
      </w:r>
      <w:r>
        <w:rPr>
          <w:color w:val="auto"/>
          <w:sz w:val="24"/>
        </w:rPr>
        <w:t>）</w:t>
      </w:r>
      <w:r>
        <w:rPr>
          <w:rFonts w:hint="eastAsia"/>
          <w:color w:val="auto"/>
          <w:sz w:val="24"/>
        </w:rPr>
        <w:t>、</w:t>
      </w:r>
      <w:r>
        <w:rPr>
          <w:color w:val="auto"/>
          <w:spacing w:val="2"/>
          <w:sz w:val="24"/>
        </w:rPr>
        <w:t>第四系</w:t>
      </w:r>
      <w:r>
        <w:rPr>
          <w:rFonts w:hint="eastAsia"/>
          <w:color w:val="auto"/>
          <w:spacing w:val="2"/>
          <w:sz w:val="24"/>
        </w:rPr>
        <w:t>残</w:t>
      </w:r>
      <w:r>
        <w:rPr>
          <w:color w:val="auto"/>
          <w:sz w:val="24"/>
        </w:rPr>
        <w:t>积层（Q</w:t>
      </w:r>
      <w:r>
        <w:rPr>
          <w:rFonts w:hint="eastAsia"/>
          <w:color w:val="auto"/>
          <w:sz w:val="24"/>
          <w:vertAlign w:val="subscript"/>
        </w:rPr>
        <w:t>3</w:t>
      </w:r>
      <w:r>
        <w:rPr>
          <w:rFonts w:hint="eastAsia"/>
          <w:color w:val="auto"/>
          <w:sz w:val="24"/>
          <w:vertAlign w:val="superscript"/>
        </w:rPr>
        <w:t>e</w:t>
      </w:r>
      <w:r>
        <w:rPr>
          <w:i/>
          <w:color w:val="auto"/>
          <w:sz w:val="24"/>
          <w:vertAlign w:val="superscript"/>
        </w:rPr>
        <w:t>l</w:t>
      </w:r>
      <w:r>
        <w:rPr>
          <w:color w:val="auto"/>
          <w:sz w:val="24"/>
        </w:rPr>
        <w:t>）</w:t>
      </w:r>
      <w:r>
        <w:rPr>
          <w:rFonts w:hint="eastAsia"/>
          <w:color w:val="auto"/>
          <w:sz w:val="24"/>
        </w:rPr>
        <w:t>和白垩系（k2）红色沉积碎屑岩层。各隔水层相关参数如下表。</w:t>
      </w:r>
    </w:p>
    <w:p>
      <w:pPr>
        <w:pStyle w:val="35"/>
        <w:spacing w:before="159" w:beforeLines="50" w:after="0" w:line="360" w:lineRule="auto"/>
        <w:rPr>
          <w:rFonts w:eastAsia="宋体"/>
          <w:color w:val="auto"/>
          <w:sz w:val="21"/>
          <w:szCs w:val="21"/>
        </w:rPr>
      </w:pPr>
      <w:r>
        <w:rPr>
          <w:rFonts w:hint="eastAsia" w:eastAsia="宋体"/>
          <w:color w:val="auto"/>
          <w:sz w:val="21"/>
          <w:szCs w:val="21"/>
        </w:rPr>
        <w:t>表5.5-1 项目场地隔水层信息一览表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147"/>
        <w:gridCol w:w="2820"/>
        <w:gridCol w:w="1050"/>
        <w:gridCol w:w="2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b/>
                <w:bCs/>
                <w:color w:val="auto"/>
                <w:szCs w:val="21"/>
              </w:rPr>
            </w:pPr>
            <w:r>
              <w:rPr>
                <w:b/>
                <w:bCs/>
                <w:color w:val="auto"/>
                <w:szCs w:val="21"/>
              </w:rPr>
              <w:t>土层</w:t>
            </w:r>
          </w:p>
        </w:tc>
        <w:tc>
          <w:tcPr>
            <w:tcW w:w="1147" w:type="dxa"/>
            <w:vAlign w:val="center"/>
          </w:tcPr>
          <w:p>
            <w:pPr>
              <w:jc w:val="center"/>
              <w:rPr>
                <w:b/>
                <w:bCs/>
                <w:color w:val="auto"/>
                <w:szCs w:val="21"/>
              </w:rPr>
            </w:pPr>
            <w:r>
              <w:rPr>
                <w:b/>
                <w:bCs/>
                <w:color w:val="auto"/>
                <w:szCs w:val="21"/>
              </w:rPr>
              <w:t>土质</w:t>
            </w:r>
          </w:p>
        </w:tc>
        <w:tc>
          <w:tcPr>
            <w:tcW w:w="2820" w:type="dxa"/>
            <w:vAlign w:val="center"/>
          </w:tcPr>
          <w:p>
            <w:pPr>
              <w:jc w:val="center"/>
              <w:rPr>
                <w:b/>
                <w:bCs/>
                <w:color w:val="auto"/>
                <w:szCs w:val="21"/>
              </w:rPr>
            </w:pPr>
            <w:r>
              <w:rPr>
                <w:b/>
                <w:bCs/>
                <w:color w:val="auto"/>
                <w:szCs w:val="21"/>
              </w:rPr>
              <w:t>成份</w:t>
            </w:r>
          </w:p>
        </w:tc>
        <w:tc>
          <w:tcPr>
            <w:tcW w:w="1050" w:type="dxa"/>
            <w:vAlign w:val="center"/>
          </w:tcPr>
          <w:p>
            <w:pPr>
              <w:jc w:val="center"/>
              <w:rPr>
                <w:b/>
                <w:bCs/>
                <w:color w:val="auto"/>
                <w:szCs w:val="21"/>
              </w:rPr>
            </w:pPr>
            <w:r>
              <w:rPr>
                <w:b/>
                <w:bCs/>
                <w:color w:val="auto"/>
                <w:szCs w:val="21"/>
              </w:rPr>
              <w:t>平均厚度</w:t>
            </w:r>
            <w:r>
              <w:rPr>
                <w:rFonts w:hint="eastAsia"/>
                <w:b/>
                <w:bCs/>
                <w:color w:val="auto"/>
                <w:szCs w:val="21"/>
              </w:rPr>
              <w:t>（m）</w:t>
            </w:r>
          </w:p>
        </w:tc>
        <w:tc>
          <w:tcPr>
            <w:tcW w:w="2142" w:type="dxa"/>
            <w:vAlign w:val="center"/>
          </w:tcPr>
          <w:p>
            <w:pPr>
              <w:jc w:val="center"/>
              <w:rPr>
                <w:b/>
                <w:bCs/>
                <w:color w:val="auto"/>
                <w:szCs w:val="21"/>
              </w:rPr>
            </w:pPr>
            <w:r>
              <w:rPr>
                <w:b/>
                <w:bCs/>
                <w:color w:val="auto"/>
                <w:szCs w:val="21"/>
              </w:rPr>
              <w:t>渗透系数</w:t>
            </w:r>
            <w:r>
              <w:rPr>
                <w:rFonts w:hint="eastAsia"/>
                <w:b/>
                <w:bCs/>
                <w:color w:val="auto"/>
                <w:szCs w:val="21"/>
              </w:rPr>
              <w:t>（</w:t>
            </w:r>
            <w:r>
              <w:rPr>
                <w:b/>
                <w:bCs/>
                <w:color w:val="auto"/>
                <w:sz w:val="24"/>
              </w:rPr>
              <w:t>cm/s</w:t>
            </w:r>
            <w:r>
              <w:rPr>
                <w:rFonts w:hint="eastAsia"/>
                <w:b/>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color w:val="auto"/>
                <w:szCs w:val="21"/>
              </w:rPr>
            </w:pPr>
            <w:r>
              <w:rPr>
                <w:color w:val="auto"/>
                <w:spacing w:val="2"/>
                <w:szCs w:val="21"/>
              </w:rPr>
              <w:t>第四系</w:t>
            </w:r>
            <w:r>
              <w:rPr>
                <w:color w:val="auto"/>
                <w:szCs w:val="21"/>
              </w:rPr>
              <w:t>冲积层（Q</w:t>
            </w:r>
            <w:r>
              <w:rPr>
                <w:color w:val="auto"/>
                <w:szCs w:val="21"/>
                <w:vertAlign w:val="subscript"/>
              </w:rPr>
              <w:t>4</w:t>
            </w:r>
            <w:r>
              <w:rPr>
                <w:i/>
                <w:color w:val="auto"/>
                <w:szCs w:val="21"/>
                <w:vertAlign w:val="superscript"/>
              </w:rPr>
              <w:t>al</w:t>
            </w:r>
            <w:r>
              <w:rPr>
                <w:color w:val="auto"/>
                <w:szCs w:val="21"/>
              </w:rPr>
              <w:t>）</w:t>
            </w:r>
          </w:p>
        </w:tc>
        <w:tc>
          <w:tcPr>
            <w:tcW w:w="1147" w:type="dxa"/>
            <w:vAlign w:val="center"/>
          </w:tcPr>
          <w:p>
            <w:pPr>
              <w:jc w:val="center"/>
              <w:rPr>
                <w:color w:val="auto"/>
                <w:szCs w:val="21"/>
              </w:rPr>
            </w:pPr>
            <w:r>
              <w:rPr>
                <w:color w:val="auto"/>
                <w:szCs w:val="21"/>
              </w:rPr>
              <w:t>粉质粘土</w:t>
            </w:r>
          </w:p>
        </w:tc>
        <w:tc>
          <w:tcPr>
            <w:tcW w:w="2820" w:type="dxa"/>
            <w:vAlign w:val="center"/>
          </w:tcPr>
          <w:p>
            <w:pPr>
              <w:jc w:val="center"/>
              <w:rPr>
                <w:color w:val="auto"/>
                <w:szCs w:val="21"/>
              </w:rPr>
            </w:pPr>
            <w:r>
              <w:rPr>
                <w:color w:val="auto"/>
                <w:szCs w:val="21"/>
              </w:rPr>
              <w:t>粘粒、粉粒，含少量砂粒</w:t>
            </w:r>
          </w:p>
        </w:tc>
        <w:tc>
          <w:tcPr>
            <w:tcW w:w="1050" w:type="dxa"/>
            <w:vAlign w:val="center"/>
          </w:tcPr>
          <w:p>
            <w:pPr>
              <w:jc w:val="center"/>
              <w:rPr>
                <w:color w:val="auto"/>
                <w:szCs w:val="21"/>
              </w:rPr>
            </w:pPr>
            <w:r>
              <w:rPr>
                <w:color w:val="auto"/>
                <w:szCs w:val="21"/>
              </w:rPr>
              <w:t>2.60</w:t>
            </w:r>
          </w:p>
        </w:tc>
        <w:tc>
          <w:tcPr>
            <w:tcW w:w="2142" w:type="dxa"/>
            <w:vAlign w:val="center"/>
          </w:tcPr>
          <w:p>
            <w:pPr>
              <w:jc w:val="center"/>
              <w:rPr>
                <w:color w:val="auto"/>
                <w:szCs w:val="21"/>
              </w:rPr>
            </w:pPr>
            <w:r>
              <w:rPr>
                <w:color w:val="auto"/>
                <w:szCs w:val="21"/>
              </w:rPr>
              <w:t>2.4 E-07～1.2 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color w:val="auto"/>
                <w:szCs w:val="21"/>
              </w:rPr>
            </w:pPr>
            <w:r>
              <w:rPr>
                <w:color w:val="auto"/>
                <w:spacing w:val="2"/>
                <w:szCs w:val="21"/>
              </w:rPr>
              <w:t>第四系</w:t>
            </w:r>
            <w:r>
              <w:rPr>
                <w:color w:val="auto"/>
                <w:szCs w:val="21"/>
              </w:rPr>
              <w:t>湖积层（Q</w:t>
            </w:r>
            <w:r>
              <w:rPr>
                <w:color w:val="auto"/>
                <w:szCs w:val="21"/>
                <w:vertAlign w:val="subscript"/>
              </w:rPr>
              <w:t>4</w:t>
            </w:r>
            <w:r>
              <w:rPr>
                <w:i/>
                <w:color w:val="auto"/>
                <w:szCs w:val="21"/>
                <w:vertAlign w:val="superscript"/>
              </w:rPr>
              <w:t>l</w:t>
            </w:r>
            <w:r>
              <w:rPr>
                <w:color w:val="auto"/>
                <w:szCs w:val="21"/>
              </w:rPr>
              <w:t>）</w:t>
            </w:r>
          </w:p>
        </w:tc>
        <w:tc>
          <w:tcPr>
            <w:tcW w:w="1147" w:type="dxa"/>
            <w:vAlign w:val="center"/>
          </w:tcPr>
          <w:p>
            <w:pPr>
              <w:jc w:val="center"/>
              <w:rPr>
                <w:color w:val="auto"/>
                <w:szCs w:val="21"/>
              </w:rPr>
            </w:pPr>
            <w:r>
              <w:rPr>
                <w:color w:val="auto"/>
                <w:szCs w:val="21"/>
              </w:rPr>
              <w:t>淤泥</w:t>
            </w:r>
          </w:p>
        </w:tc>
        <w:tc>
          <w:tcPr>
            <w:tcW w:w="2820" w:type="dxa"/>
            <w:vAlign w:val="center"/>
          </w:tcPr>
          <w:p>
            <w:pPr>
              <w:jc w:val="center"/>
              <w:rPr>
                <w:color w:val="auto"/>
                <w:szCs w:val="21"/>
              </w:rPr>
            </w:pPr>
            <w:r>
              <w:rPr>
                <w:color w:val="auto"/>
                <w:szCs w:val="21"/>
              </w:rPr>
              <w:t>朽木茎、腐植质及粉粘粒</w:t>
            </w:r>
          </w:p>
        </w:tc>
        <w:tc>
          <w:tcPr>
            <w:tcW w:w="1050" w:type="dxa"/>
            <w:vAlign w:val="center"/>
          </w:tcPr>
          <w:p>
            <w:pPr>
              <w:jc w:val="center"/>
              <w:rPr>
                <w:color w:val="auto"/>
                <w:szCs w:val="21"/>
              </w:rPr>
            </w:pPr>
            <w:r>
              <w:rPr>
                <w:color w:val="auto"/>
                <w:szCs w:val="21"/>
              </w:rPr>
              <w:t>4.21</w:t>
            </w:r>
          </w:p>
        </w:tc>
        <w:tc>
          <w:tcPr>
            <w:tcW w:w="2142" w:type="dxa"/>
            <w:vAlign w:val="center"/>
          </w:tcPr>
          <w:p>
            <w:pPr>
              <w:jc w:val="center"/>
              <w:rPr>
                <w:color w:val="auto"/>
                <w:szCs w:val="21"/>
              </w:rPr>
            </w:pPr>
            <w:r>
              <w:rPr>
                <w:color w:val="auto"/>
                <w:szCs w:val="21"/>
              </w:rPr>
              <w:t>2.50 E-07～1.10 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color w:val="auto"/>
                <w:szCs w:val="21"/>
              </w:rPr>
            </w:pPr>
            <w:r>
              <w:rPr>
                <w:color w:val="auto"/>
                <w:spacing w:val="2"/>
                <w:szCs w:val="21"/>
              </w:rPr>
              <w:t>第四系</w:t>
            </w:r>
            <w:r>
              <w:rPr>
                <w:color w:val="auto"/>
                <w:szCs w:val="21"/>
              </w:rPr>
              <w:t>冲积层+洪积层（Q</w:t>
            </w:r>
            <w:r>
              <w:rPr>
                <w:color w:val="auto"/>
                <w:szCs w:val="21"/>
                <w:vertAlign w:val="subscript"/>
              </w:rPr>
              <w:t>4</w:t>
            </w:r>
            <w:r>
              <w:rPr>
                <w:i/>
                <w:color w:val="auto"/>
                <w:szCs w:val="21"/>
                <w:vertAlign w:val="superscript"/>
              </w:rPr>
              <w:t>al+pl</w:t>
            </w:r>
            <w:r>
              <w:rPr>
                <w:color w:val="auto"/>
                <w:szCs w:val="21"/>
              </w:rPr>
              <w:t>）</w:t>
            </w:r>
          </w:p>
        </w:tc>
        <w:tc>
          <w:tcPr>
            <w:tcW w:w="1147" w:type="dxa"/>
            <w:vAlign w:val="center"/>
          </w:tcPr>
          <w:p>
            <w:pPr>
              <w:jc w:val="center"/>
              <w:rPr>
                <w:color w:val="auto"/>
                <w:szCs w:val="21"/>
              </w:rPr>
            </w:pPr>
            <w:r>
              <w:rPr>
                <w:color w:val="auto"/>
                <w:szCs w:val="21"/>
              </w:rPr>
              <w:t>粉质粘土</w:t>
            </w:r>
          </w:p>
        </w:tc>
        <w:tc>
          <w:tcPr>
            <w:tcW w:w="2820" w:type="dxa"/>
            <w:vAlign w:val="center"/>
          </w:tcPr>
          <w:p>
            <w:pPr>
              <w:jc w:val="center"/>
              <w:rPr>
                <w:color w:val="auto"/>
                <w:szCs w:val="21"/>
              </w:rPr>
            </w:pPr>
            <w:r>
              <w:rPr>
                <w:color w:val="auto"/>
                <w:szCs w:val="21"/>
              </w:rPr>
              <w:t>粘粒、粉粒，多含砂粒</w:t>
            </w:r>
          </w:p>
        </w:tc>
        <w:tc>
          <w:tcPr>
            <w:tcW w:w="1050" w:type="dxa"/>
            <w:vAlign w:val="center"/>
          </w:tcPr>
          <w:p>
            <w:pPr>
              <w:jc w:val="center"/>
              <w:rPr>
                <w:color w:val="auto"/>
                <w:szCs w:val="21"/>
              </w:rPr>
            </w:pPr>
            <w:r>
              <w:rPr>
                <w:color w:val="auto"/>
                <w:szCs w:val="21"/>
              </w:rPr>
              <w:t>2.33</w:t>
            </w:r>
          </w:p>
        </w:tc>
        <w:tc>
          <w:tcPr>
            <w:tcW w:w="2142" w:type="dxa"/>
            <w:vAlign w:val="center"/>
          </w:tcPr>
          <w:p>
            <w:pPr>
              <w:jc w:val="center"/>
              <w:rPr>
                <w:color w:val="auto"/>
                <w:szCs w:val="21"/>
              </w:rPr>
            </w:pPr>
            <w:r>
              <w:rPr>
                <w:color w:val="auto"/>
                <w:szCs w:val="21"/>
              </w:rPr>
              <w:t>2.40 E-07～1.2 0E-06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color w:val="auto"/>
                <w:szCs w:val="21"/>
              </w:rPr>
            </w:pPr>
            <w:r>
              <w:rPr>
                <w:color w:val="auto"/>
                <w:spacing w:val="2"/>
                <w:szCs w:val="21"/>
              </w:rPr>
              <w:t>第四系残</w:t>
            </w:r>
            <w:r>
              <w:rPr>
                <w:color w:val="auto"/>
                <w:szCs w:val="21"/>
              </w:rPr>
              <w:t>积层（Q</w:t>
            </w:r>
            <w:r>
              <w:rPr>
                <w:color w:val="auto"/>
                <w:szCs w:val="21"/>
                <w:vertAlign w:val="subscript"/>
              </w:rPr>
              <w:t>3</w:t>
            </w:r>
            <w:r>
              <w:rPr>
                <w:color w:val="auto"/>
                <w:szCs w:val="21"/>
                <w:vertAlign w:val="superscript"/>
              </w:rPr>
              <w:t>e</w:t>
            </w:r>
            <w:r>
              <w:rPr>
                <w:i/>
                <w:color w:val="auto"/>
                <w:szCs w:val="21"/>
                <w:vertAlign w:val="superscript"/>
              </w:rPr>
              <w:t>l</w:t>
            </w:r>
            <w:r>
              <w:rPr>
                <w:color w:val="auto"/>
                <w:szCs w:val="21"/>
              </w:rPr>
              <w:t>）</w:t>
            </w:r>
          </w:p>
        </w:tc>
        <w:tc>
          <w:tcPr>
            <w:tcW w:w="1147" w:type="dxa"/>
            <w:vAlign w:val="center"/>
          </w:tcPr>
          <w:p>
            <w:pPr>
              <w:jc w:val="center"/>
              <w:rPr>
                <w:color w:val="auto"/>
                <w:szCs w:val="21"/>
              </w:rPr>
            </w:pPr>
            <w:r>
              <w:rPr>
                <w:color w:val="auto"/>
                <w:szCs w:val="21"/>
              </w:rPr>
              <w:t>粉土</w:t>
            </w:r>
          </w:p>
        </w:tc>
        <w:tc>
          <w:tcPr>
            <w:tcW w:w="2820" w:type="dxa"/>
            <w:vAlign w:val="center"/>
          </w:tcPr>
          <w:p>
            <w:pPr>
              <w:jc w:val="center"/>
              <w:rPr>
                <w:color w:val="auto"/>
                <w:szCs w:val="21"/>
              </w:rPr>
            </w:pPr>
            <w:r>
              <w:rPr>
                <w:color w:val="auto"/>
                <w:szCs w:val="21"/>
              </w:rPr>
              <w:t>粉砂岩、粗砂岩、含砾砂岩等厌食风化混合残积土</w:t>
            </w:r>
          </w:p>
        </w:tc>
        <w:tc>
          <w:tcPr>
            <w:tcW w:w="1050" w:type="dxa"/>
            <w:vAlign w:val="center"/>
          </w:tcPr>
          <w:p>
            <w:pPr>
              <w:jc w:val="center"/>
              <w:rPr>
                <w:color w:val="auto"/>
                <w:szCs w:val="21"/>
              </w:rPr>
            </w:pPr>
            <w:r>
              <w:rPr>
                <w:color w:val="auto"/>
                <w:szCs w:val="21"/>
              </w:rPr>
              <w:t>11.22</w:t>
            </w:r>
          </w:p>
        </w:tc>
        <w:tc>
          <w:tcPr>
            <w:tcW w:w="2142" w:type="dxa"/>
            <w:vAlign w:val="center"/>
          </w:tcPr>
          <w:p>
            <w:pPr>
              <w:jc w:val="center"/>
              <w:rPr>
                <w:color w:val="auto"/>
                <w:szCs w:val="21"/>
              </w:rPr>
            </w:pPr>
            <w:r>
              <w:rPr>
                <w:color w:val="auto"/>
                <w:szCs w:val="21"/>
              </w:rPr>
              <w:t>8.3E-05～4.2E-04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vAlign w:val="center"/>
          </w:tcPr>
          <w:p>
            <w:pPr>
              <w:jc w:val="center"/>
              <w:rPr>
                <w:color w:val="auto"/>
                <w:szCs w:val="21"/>
              </w:rPr>
            </w:pPr>
            <w:r>
              <w:rPr>
                <w:color w:val="auto"/>
                <w:szCs w:val="21"/>
              </w:rPr>
              <w:t>白垩系（k2）红色沉积碎屑岩层</w:t>
            </w:r>
          </w:p>
        </w:tc>
        <w:tc>
          <w:tcPr>
            <w:tcW w:w="1147" w:type="dxa"/>
            <w:vAlign w:val="center"/>
          </w:tcPr>
          <w:p>
            <w:pPr>
              <w:jc w:val="center"/>
              <w:rPr>
                <w:color w:val="auto"/>
                <w:szCs w:val="21"/>
              </w:rPr>
            </w:pPr>
            <w:r>
              <w:rPr>
                <w:color w:val="auto"/>
                <w:szCs w:val="21"/>
              </w:rPr>
              <w:t>砂岩</w:t>
            </w:r>
          </w:p>
        </w:tc>
        <w:tc>
          <w:tcPr>
            <w:tcW w:w="2820" w:type="dxa"/>
            <w:vAlign w:val="center"/>
          </w:tcPr>
          <w:p>
            <w:pPr>
              <w:jc w:val="center"/>
              <w:rPr>
                <w:color w:val="auto"/>
                <w:szCs w:val="21"/>
              </w:rPr>
            </w:pPr>
            <w:r>
              <w:rPr>
                <w:color w:val="auto"/>
                <w:szCs w:val="21"/>
              </w:rPr>
              <w:t>泥质砂岩、粉砂岩、细砂岩、含砾砂岩和砾岩</w:t>
            </w:r>
          </w:p>
        </w:tc>
        <w:tc>
          <w:tcPr>
            <w:tcW w:w="1050" w:type="dxa"/>
            <w:vAlign w:val="center"/>
          </w:tcPr>
          <w:p>
            <w:pPr>
              <w:jc w:val="center"/>
              <w:rPr>
                <w:color w:val="auto"/>
                <w:szCs w:val="21"/>
              </w:rPr>
            </w:pPr>
            <w:r>
              <w:rPr>
                <w:color w:val="auto"/>
                <w:szCs w:val="21"/>
              </w:rPr>
              <w:t>8.8</w:t>
            </w:r>
          </w:p>
        </w:tc>
        <w:tc>
          <w:tcPr>
            <w:tcW w:w="2142" w:type="dxa"/>
            <w:vAlign w:val="center"/>
          </w:tcPr>
          <w:p>
            <w:pPr>
              <w:jc w:val="center"/>
              <w:rPr>
                <w:color w:val="auto"/>
                <w:szCs w:val="21"/>
              </w:rPr>
            </w:pPr>
            <w:r>
              <w:rPr>
                <w:color w:val="auto"/>
                <w:szCs w:val="21"/>
              </w:rPr>
              <w:t>3.1E-08～5.0E-06</w:t>
            </w:r>
          </w:p>
        </w:tc>
      </w:tr>
    </w:tbl>
    <w:p>
      <w:pPr>
        <w:spacing w:line="360" w:lineRule="auto"/>
        <w:ind w:firstLine="480" w:firstLineChars="200"/>
        <w:rPr>
          <w:color w:val="auto"/>
          <w:sz w:val="24"/>
        </w:rPr>
      </w:pPr>
      <w:r>
        <w:rPr>
          <w:rFonts w:hint="eastAsia"/>
          <w:color w:val="auto"/>
          <w:sz w:val="24"/>
        </w:rPr>
        <w:t>3、含水层</w:t>
      </w:r>
    </w:p>
    <w:p>
      <w:pPr>
        <w:spacing w:line="360" w:lineRule="auto"/>
        <w:ind w:firstLine="480" w:firstLineChars="200"/>
        <w:rPr>
          <w:rFonts w:ascii="Calibri" w:hAnsi="Calibri"/>
          <w:color w:val="auto"/>
          <w:sz w:val="24"/>
        </w:rPr>
      </w:pPr>
      <w:r>
        <w:rPr>
          <w:rFonts w:hint="eastAsia"/>
          <w:color w:val="auto"/>
          <w:sz w:val="24"/>
        </w:rPr>
        <w:t>根据地质勘查结果，</w:t>
      </w:r>
      <w:r>
        <w:rPr>
          <w:rFonts w:hint="eastAsia" w:ascii="Calibri" w:hAnsi="Calibri"/>
          <w:color w:val="auto"/>
          <w:sz w:val="24"/>
        </w:rPr>
        <w:t>本项目</w:t>
      </w:r>
      <w:r>
        <w:rPr>
          <w:rFonts w:hint="eastAsia"/>
          <w:color w:val="auto"/>
          <w:sz w:val="24"/>
        </w:rPr>
        <w:t>场地上覆第四系土层中无明显含水层，各土层的透水性差，富水性弱。地下水补给来源主要为大气降水，补给来源差。本次监测结果显示，各钻探孔水位深度为5.7~2.8m，水位埋深变化较大。</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5.5.2.3  </w:t>
      </w:r>
      <w:r>
        <w:rPr>
          <w:color w:val="auto"/>
        </w:rPr>
        <w:t>地下水类型</w:t>
      </w:r>
    </w:p>
    <w:p>
      <w:pPr>
        <w:spacing w:line="360" w:lineRule="auto"/>
        <w:ind w:firstLine="480" w:firstLineChars="200"/>
        <w:rPr>
          <w:rFonts w:ascii="Calibri" w:hAnsi="Calibri"/>
          <w:color w:val="auto"/>
          <w:sz w:val="24"/>
        </w:rPr>
      </w:pPr>
      <w:r>
        <w:rPr>
          <w:rFonts w:hint="eastAsia" w:ascii="Calibri" w:hAnsi="Calibri"/>
          <w:color w:val="auto"/>
          <w:sz w:val="24"/>
        </w:rPr>
        <w:t>拟建场地地下水按含水介质岩性类型主要为潜水。潜水为埋藏在地表以下第一个稳定隔水层以上具有自由水面的</w:t>
      </w:r>
      <w:r>
        <w:rPr>
          <w:rFonts w:ascii="Calibri" w:hAnsi="Calibri"/>
          <w:color w:val="auto"/>
          <w:sz w:val="24"/>
        </w:rPr>
        <w:fldChar w:fldCharType="begin"/>
      </w:r>
      <w:r>
        <w:rPr>
          <w:rFonts w:ascii="Calibri" w:hAnsi="Calibri"/>
          <w:color w:val="auto"/>
          <w:sz w:val="24"/>
        </w:rPr>
        <w:instrText xml:space="preserve"> HYPERLINK "https://baike.baidu.com/item/%E9%87%8D%E5%8A%9B%E6%B0%B4/3246432" \t "https://baike.baidu.com/item/%E6%BD%9C%E6%B0%B4/_blank" </w:instrText>
      </w:r>
      <w:r>
        <w:rPr>
          <w:rFonts w:ascii="Calibri" w:hAnsi="Calibri"/>
          <w:color w:val="auto"/>
          <w:sz w:val="24"/>
        </w:rPr>
        <w:fldChar w:fldCharType="separate"/>
      </w:r>
      <w:r>
        <w:rPr>
          <w:rFonts w:ascii="Calibri" w:hAnsi="Calibri"/>
          <w:color w:val="auto"/>
          <w:sz w:val="24"/>
        </w:rPr>
        <w:t>重力水</w:t>
      </w:r>
      <w:r>
        <w:rPr>
          <w:rFonts w:ascii="Calibri" w:hAnsi="Calibri"/>
          <w:color w:val="auto"/>
          <w:sz w:val="24"/>
        </w:rPr>
        <w:fldChar w:fldCharType="end"/>
      </w:r>
      <w:r>
        <w:rPr>
          <w:rFonts w:ascii="Calibri" w:hAnsi="Calibri"/>
          <w:color w:val="auto"/>
          <w:sz w:val="24"/>
        </w:rPr>
        <w:t>。</w:t>
      </w:r>
      <w:r>
        <w:rPr>
          <w:rFonts w:hint="eastAsia" w:ascii="Calibri" w:hAnsi="Calibri"/>
          <w:color w:val="auto"/>
          <w:sz w:val="24"/>
        </w:rPr>
        <w:t>一般多埋藏在地表的第四纪松散沉积物中，也可以形成于基岩中。</w:t>
      </w:r>
      <w:r>
        <w:rPr>
          <w:rFonts w:ascii="Calibri" w:hAnsi="Calibri"/>
          <w:color w:val="auto"/>
          <w:sz w:val="24"/>
        </w:rPr>
        <w:t>自由水面即为</w:t>
      </w:r>
      <w:r>
        <w:rPr>
          <w:color w:val="auto"/>
        </w:rPr>
        <w:fldChar w:fldCharType="begin"/>
      </w:r>
      <w:r>
        <w:rPr>
          <w:color w:val="auto"/>
        </w:rPr>
        <w:instrText xml:space="preserve"> HYPERLINK "https://baike.baidu.com/item/%E6%BD%9C%E6%B0%B4%E9%9D%A2/2184935" \t "https://baike.baidu.com/item/%E6%BD%9C%E6%B0%B4/_blank" </w:instrText>
      </w:r>
      <w:r>
        <w:rPr>
          <w:color w:val="auto"/>
        </w:rPr>
        <w:fldChar w:fldCharType="separate"/>
      </w:r>
      <w:r>
        <w:rPr>
          <w:rFonts w:ascii="Calibri" w:hAnsi="Calibri"/>
          <w:color w:val="auto"/>
          <w:sz w:val="24"/>
        </w:rPr>
        <w:t>潜水面</w:t>
      </w:r>
      <w:r>
        <w:rPr>
          <w:rFonts w:ascii="Calibri" w:hAnsi="Calibri"/>
          <w:color w:val="auto"/>
          <w:sz w:val="24"/>
        </w:rPr>
        <w:fldChar w:fldCharType="end"/>
      </w:r>
      <w:r>
        <w:rPr>
          <w:rFonts w:ascii="Calibri" w:hAnsi="Calibri"/>
          <w:color w:val="auto"/>
          <w:sz w:val="24"/>
        </w:rPr>
        <w:t>，从整体看它不承受除大气压力以外的任何附加压力</w:t>
      </w:r>
      <w:r>
        <w:rPr>
          <w:rFonts w:hint="eastAsia" w:ascii="Calibri" w:hAnsi="Calibri"/>
          <w:color w:val="auto"/>
          <w:sz w:val="24"/>
        </w:rPr>
        <w:t>。</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5.5.2.4  </w:t>
      </w:r>
      <w:r>
        <w:rPr>
          <w:color w:val="auto"/>
        </w:rPr>
        <w:t>地下水补径排条件</w:t>
      </w:r>
    </w:p>
    <w:p>
      <w:pPr>
        <w:spacing w:line="360" w:lineRule="auto"/>
        <w:ind w:firstLine="480" w:firstLineChars="200"/>
        <w:rPr>
          <w:color w:val="auto"/>
          <w:sz w:val="24"/>
        </w:rPr>
      </w:pPr>
      <w:r>
        <w:rPr>
          <w:rFonts w:hint="eastAsia"/>
          <w:color w:val="auto"/>
          <w:sz w:val="24"/>
        </w:rPr>
        <w:t>1</w:t>
      </w:r>
      <w:r>
        <w:rPr>
          <w:color w:val="auto"/>
          <w:sz w:val="24"/>
        </w:rPr>
        <w:t>、补给</w:t>
      </w:r>
    </w:p>
    <w:p>
      <w:pPr>
        <w:spacing w:line="360" w:lineRule="auto"/>
        <w:ind w:firstLine="480" w:firstLineChars="200"/>
        <w:rPr>
          <w:color w:val="auto"/>
          <w:sz w:val="24"/>
        </w:rPr>
      </w:pPr>
      <w:r>
        <w:rPr>
          <w:color w:val="auto"/>
          <w:sz w:val="24"/>
        </w:rPr>
        <w:t>地下水补给来源主要有</w:t>
      </w:r>
      <w:r>
        <w:rPr>
          <w:rFonts w:hint="eastAsia"/>
          <w:color w:val="auto"/>
          <w:sz w:val="24"/>
        </w:rPr>
        <w:t>三</w:t>
      </w:r>
      <w:r>
        <w:rPr>
          <w:color w:val="auto"/>
          <w:sz w:val="24"/>
        </w:rPr>
        <w:t>种，分别为：大气降雨渗入补给、</w:t>
      </w:r>
      <w:r>
        <w:rPr>
          <w:rFonts w:hint="eastAsia"/>
          <w:color w:val="auto"/>
          <w:sz w:val="24"/>
        </w:rPr>
        <w:t>地下径流侧向补给和</w:t>
      </w:r>
      <w:r>
        <w:rPr>
          <w:color w:val="auto"/>
          <w:sz w:val="24"/>
        </w:rPr>
        <w:t>地表水渗漏补给。</w:t>
      </w:r>
      <w:r>
        <w:rPr>
          <w:rFonts w:hint="eastAsia"/>
          <w:color w:val="auto"/>
          <w:sz w:val="24"/>
        </w:rPr>
        <w:t>但项目所在地地下水类型为潜水，周边没有地下径流，故项目仅有</w:t>
      </w:r>
      <w:r>
        <w:rPr>
          <w:color w:val="auto"/>
          <w:sz w:val="24"/>
        </w:rPr>
        <w:t>大气降雨渗入补给</w:t>
      </w:r>
      <w:r>
        <w:rPr>
          <w:rFonts w:hint="eastAsia"/>
          <w:color w:val="auto"/>
          <w:sz w:val="24"/>
        </w:rPr>
        <w:t>和</w:t>
      </w:r>
      <w:r>
        <w:rPr>
          <w:color w:val="auto"/>
          <w:sz w:val="24"/>
        </w:rPr>
        <w:t>地表水渗漏补给</w:t>
      </w:r>
      <w:r>
        <w:rPr>
          <w:rFonts w:hint="eastAsia"/>
          <w:color w:val="auto"/>
          <w:sz w:val="24"/>
        </w:rPr>
        <w:t>。</w:t>
      </w:r>
    </w:p>
    <w:p>
      <w:pPr>
        <w:spacing w:line="360" w:lineRule="auto"/>
        <w:ind w:firstLine="482" w:firstLineChars="200"/>
        <w:rPr>
          <w:b/>
          <w:color w:val="auto"/>
          <w:sz w:val="24"/>
        </w:rPr>
      </w:pPr>
      <w:r>
        <w:rPr>
          <w:b/>
          <w:color w:val="auto"/>
          <w:sz w:val="24"/>
        </w:rPr>
        <w:t>（1）大气降雨渗入补给</w:t>
      </w:r>
    </w:p>
    <w:p>
      <w:pPr>
        <w:spacing w:line="360" w:lineRule="auto"/>
        <w:ind w:firstLine="480" w:firstLineChars="200"/>
        <w:rPr>
          <w:color w:val="auto"/>
          <w:sz w:val="24"/>
        </w:rPr>
      </w:pPr>
      <w:r>
        <w:rPr>
          <w:color w:val="auto"/>
          <w:sz w:val="24"/>
        </w:rPr>
        <w:t>调查区地处北回归线北侧附近，属亚热带季风气候区，雨量充沛，多年平均降雨量大于多年平均蒸发量，为大气降雨渗入补给地下水的有利条件和重要来源之一，但由于降雨在年内分配不均，不同季节地下水获得的补给量也不同，丰水季节获得的补给量大，枯水期基本上无降水补给。同时，大气降雨的渗入补给量也由于各地段的地形地貌、地表岩性、风化程度、岩石节理、裂隙发育程度及植被情况等的不同，其补给程度亦因此而异。总体而言，拟建场地及其附近地表以</w:t>
      </w:r>
      <w:r>
        <w:rPr>
          <w:rFonts w:hint="eastAsia"/>
          <w:color w:val="auto"/>
          <w:sz w:val="24"/>
        </w:rPr>
        <w:t>素</w:t>
      </w:r>
      <w:r>
        <w:rPr>
          <w:color w:val="auto"/>
          <w:sz w:val="24"/>
        </w:rPr>
        <w:t>填土为主，地表水渗透系数</w:t>
      </w:r>
      <w:r>
        <w:rPr>
          <w:rFonts w:hint="eastAsia"/>
          <w:color w:val="auto"/>
          <w:sz w:val="24"/>
        </w:rPr>
        <w:t>不高</w:t>
      </w:r>
      <w:r>
        <w:rPr>
          <w:color w:val="auto"/>
          <w:sz w:val="24"/>
        </w:rPr>
        <w:t>，</w:t>
      </w:r>
      <w:r>
        <w:rPr>
          <w:rFonts w:hint="eastAsia"/>
          <w:color w:val="auto"/>
          <w:sz w:val="24"/>
        </w:rPr>
        <w:t>且项目所在片区的大部分地表均已进行了硬底化处理，故</w:t>
      </w:r>
      <w:r>
        <w:rPr>
          <w:color w:val="auto"/>
          <w:sz w:val="24"/>
        </w:rPr>
        <w:t>入渗条件较差。</w:t>
      </w:r>
    </w:p>
    <w:p>
      <w:pPr>
        <w:spacing w:line="360" w:lineRule="auto"/>
        <w:ind w:firstLine="482" w:firstLineChars="200"/>
        <w:rPr>
          <w:b/>
          <w:color w:val="auto"/>
          <w:sz w:val="24"/>
        </w:rPr>
      </w:pPr>
      <w:r>
        <w:rPr>
          <w:b/>
          <w:color w:val="auto"/>
          <w:sz w:val="24"/>
        </w:rPr>
        <w:t>（2）</w:t>
      </w:r>
      <w:r>
        <w:rPr>
          <w:color w:val="auto"/>
          <w:sz w:val="24"/>
        </w:rPr>
        <w:t>地表水渗漏补给</w:t>
      </w:r>
    </w:p>
    <w:p>
      <w:pPr>
        <w:spacing w:line="360" w:lineRule="auto"/>
        <w:ind w:firstLine="480" w:firstLineChars="200"/>
        <w:rPr>
          <w:color w:val="auto"/>
          <w:sz w:val="24"/>
        </w:rPr>
      </w:pPr>
      <w:r>
        <w:rPr>
          <w:color w:val="auto"/>
          <w:sz w:val="24"/>
        </w:rPr>
        <w:t>拟建场地</w:t>
      </w:r>
      <w:r>
        <w:rPr>
          <w:rFonts w:hint="eastAsia"/>
          <w:color w:val="auto"/>
          <w:sz w:val="24"/>
        </w:rPr>
        <w:t>距离西北面的北江约1600m。一般情况下，河面与项目潜水面大致持平。由于项目所在地降雨</w:t>
      </w:r>
      <w:r>
        <w:rPr>
          <w:color w:val="auto"/>
          <w:sz w:val="24"/>
        </w:rPr>
        <w:t>渗入补给</w:t>
      </w:r>
      <w:r>
        <w:rPr>
          <w:rFonts w:hint="eastAsia"/>
          <w:color w:val="auto"/>
          <w:sz w:val="24"/>
        </w:rPr>
        <w:t>较少，也缺少地下径流侧向补给，因此为</w:t>
      </w:r>
      <w:r>
        <w:rPr>
          <w:color w:val="auto"/>
          <w:sz w:val="24"/>
        </w:rPr>
        <w:t>地表水渗漏补给</w:t>
      </w:r>
      <w:r>
        <w:rPr>
          <w:rFonts w:hint="eastAsia"/>
          <w:color w:val="auto"/>
          <w:sz w:val="24"/>
        </w:rPr>
        <w:t>成了</w:t>
      </w:r>
      <w:r>
        <w:rPr>
          <w:color w:val="auto"/>
          <w:sz w:val="24"/>
        </w:rPr>
        <w:t>拟建场地地下水</w:t>
      </w:r>
      <w:r>
        <w:rPr>
          <w:rFonts w:hint="eastAsia"/>
          <w:color w:val="auto"/>
          <w:sz w:val="24"/>
        </w:rPr>
        <w:t>主要</w:t>
      </w:r>
      <w:r>
        <w:rPr>
          <w:color w:val="auto"/>
          <w:sz w:val="24"/>
        </w:rPr>
        <w:t>补给</w:t>
      </w:r>
      <w:r>
        <w:rPr>
          <w:rFonts w:hint="eastAsia"/>
          <w:color w:val="auto"/>
          <w:sz w:val="24"/>
        </w:rPr>
        <w:t>来源，</w:t>
      </w:r>
      <w:r>
        <w:rPr>
          <w:color w:val="auto"/>
          <w:sz w:val="24"/>
        </w:rPr>
        <w:t>大部分时候地表水补给地下水</w:t>
      </w:r>
      <w:r>
        <w:rPr>
          <w:rFonts w:hint="eastAsia"/>
          <w:color w:val="auto"/>
          <w:sz w:val="24"/>
        </w:rPr>
        <w:t>。</w:t>
      </w:r>
    </w:p>
    <w:p>
      <w:pPr>
        <w:spacing w:line="360" w:lineRule="auto"/>
        <w:ind w:firstLine="480" w:firstLineChars="200"/>
        <w:rPr>
          <w:color w:val="auto"/>
          <w:sz w:val="24"/>
        </w:rPr>
      </w:pPr>
      <w:r>
        <w:rPr>
          <w:rFonts w:hint="eastAsia"/>
          <w:color w:val="auto"/>
          <w:sz w:val="24"/>
        </w:rPr>
        <w:t>2</w:t>
      </w:r>
      <w:r>
        <w:rPr>
          <w:color w:val="auto"/>
          <w:sz w:val="24"/>
        </w:rPr>
        <w:t>、迳流</w:t>
      </w:r>
    </w:p>
    <w:p>
      <w:pPr>
        <w:spacing w:line="360" w:lineRule="auto"/>
        <w:ind w:firstLine="482" w:firstLineChars="200"/>
        <w:rPr>
          <w:b/>
          <w:color w:val="auto"/>
          <w:sz w:val="24"/>
        </w:rPr>
      </w:pPr>
      <w:r>
        <w:rPr>
          <w:b/>
          <w:color w:val="auto"/>
          <w:sz w:val="24"/>
        </w:rPr>
        <w:t>（1）地下水流向</w:t>
      </w:r>
    </w:p>
    <w:p>
      <w:pPr>
        <w:spacing w:line="360" w:lineRule="auto"/>
        <w:ind w:firstLine="480" w:firstLineChars="200"/>
        <w:rPr>
          <w:color w:val="auto"/>
          <w:sz w:val="24"/>
        </w:rPr>
      </w:pPr>
      <w:r>
        <w:rPr>
          <w:color w:val="auto"/>
          <w:sz w:val="24"/>
        </w:rPr>
        <w:t>拟建场地内地下水流向总体自西北向南或东南方向流动。</w:t>
      </w:r>
    </w:p>
    <w:p>
      <w:pPr>
        <w:spacing w:line="360" w:lineRule="auto"/>
        <w:ind w:firstLine="480" w:firstLineChars="200"/>
        <w:rPr>
          <w:color w:val="auto"/>
          <w:sz w:val="24"/>
        </w:rPr>
      </w:pPr>
      <w:r>
        <w:rPr>
          <w:color w:val="auto"/>
          <w:sz w:val="24"/>
        </w:rPr>
        <w:t>地下水自高水头区流向低水头区，</w:t>
      </w:r>
      <w:r>
        <w:rPr>
          <w:rFonts w:hint="eastAsia"/>
          <w:color w:val="auto"/>
          <w:sz w:val="24"/>
        </w:rPr>
        <w:t>界牌村</w:t>
      </w:r>
      <w:r>
        <w:rPr>
          <w:color w:val="auto"/>
          <w:sz w:val="24"/>
        </w:rPr>
        <w:t>地下水水位较高，达</w:t>
      </w:r>
      <w:r>
        <w:rPr>
          <w:rFonts w:hint="eastAsia"/>
          <w:color w:val="auto"/>
          <w:sz w:val="24"/>
        </w:rPr>
        <w:t>5.7</w:t>
      </w:r>
      <w:r>
        <w:rPr>
          <w:color w:val="auto"/>
          <w:sz w:val="24"/>
        </w:rPr>
        <w:t>m，</w:t>
      </w:r>
      <w:r>
        <w:rPr>
          <w:rFonts w:hint="eastAsia"/>
          <w:color w:val="auto"/>
          <w:sz w:val="24"/>
        </w:rPr>
        <w:t>项目外西南方空地</w:t>
      </w:r>
      <w:r>
        <w:rPr>
          <w:color w:val="auto"/>
          <w:sz w:val="24"/>
        </w:rPr>
        <w:t>地下水水位较低，</w:t>
      </w:r>
      <w:r>
        <w:rPr>
          <w:rFonts w:hint="eastAsia"/>
          <w:color w:val="auto"/>
          <w:sz w:val="24"/>
        </w:rPr>
        <w:t>为2.8</w:t>
      </w:r>
      <w:r>
        <w:rPr>
          <w:color w:val="auto"/>
          <w:sz w:val="24"/>
        </w:rPr>
        <w:t>m</w:t>
      </w:r>
      <w:r>
        <w:rPr>
          <w:rFonts w:hint="eastAsia"/>
          <w:color w:val="auto"/>
          <w:sz w:val="24"/>
        </w:rPr>
        <w:t>。可知</w:t>
      </w:r>
      <w:r>
        <w:rPr>
          <w:color w:val="auto"/>
          <w:sz w:val="24"/>
        </w:rPr>
        <w:t>地下水自</w:t>
      </w:r>
      <w:r>
        <w:rPr>
          <w:rFonts w:hint="eastAsia"/>
          <w:color w:val="auto"/>
          <w:sz w:val="24"/>
        </w:rPr>
        <w:t>西北面的北江开始，一直向西南方向流动。在项目内，先进入卷材生产区，然后进入原料堆放区，最后到达湿式破碎生产区。</w:t>
      </w:r>
      <w:r>
        <w:rPr>
          <w:color w:val="auto"/>
          <w:sz w:val="24"/>
        </w:rPr>
        <w:t>流出厂区后地下水</w:t>
      </w:r>
      <w:r>
        <w:rPr>
          <w:rFonts w:hint="eastAsia"/>
          <w:color w:val="auto"/>
          <w:sz w:val="24"/>
        </w:rPr>
        <w:t>即系</w:t>
      </w:r>
      <w:r>
        <w:rPr>
          <w:color w:val="auto"/>
          <w:sz w:val="24"/>
        </w:rPr>
        <w:t>向南及西南方向流动</w:t>
      </w:r>
      <w:r>
        <w:rPr>
          <w:rFonts w:hint="eastAsia"/>
          <w:color w:val="auto"/>
          <w:sz w:val="24"/>
        </w:rPr>
        <w:t>，在低洼处积聚，形成鱼塘或水库</w:t>
      </w:r>
      <w:r>
        <w:rPr>
          <w:color w:val="auto"/>
          <w:sz w:val="24"/>
        </w:rPr>
        <w:t>。区内地下水水头差较小，流速十分缓慢。</w:t>
      </w:r>
    </w:p>
    <w:p>
      <w:pPr>
        <w:spacing w:line="360" w:lineRule="auto"/>
        <w:ind w:firstLine="482" w:firstLineChars="200"/>
        <w:rPr>
          <w:b/>
          <w:color w:val="auto"/>
          <w:sz w:val="24"/>
        </w:rPr>
      </w:pPr>
      <w:r>
        <w:rPr>
          <w:b/>
          <w:color w:val="auto"/>
          <w:sz w:val="24"/>
        </w:rPr>
        <w:t>（2）地下水流速</w:t>
      </w:r>
    </w:p>
    <w:p>
      <w:pPr>
        <w:spacing w:line="360" w:lineRule="auto"/>
        <w:ind w:firstLine="480" w:firstLineChars="200"/>
        <w:rPr>
          <w:color w:val="auto"/>
          <w:sz w:val="24"/>
        </w:rPr>
      </w:pPr>
      <w:r>
        <w:rPr>
          <w:color w:val="auto"/>
          <w:sz w:val="24"/>
        </w:rPr>
        <w:t>拟建场地内</w:t>
      </w:r>
      <w:r>
        <w:rPr>
          <w:rFonts w:hint="eastAsia"/>
          <w:color w:val="auto"/>
          <w:sz w:val="24"/>
        </w:rPr>
        <w:t>的地下水类型为潜水，地下水</w:t>
      </w:r>
      <w:r>
        <w:rPr>
          <w:color w:val="auto"/>
          <w:sz w:val="24"/>
        </w:rPr>
        <w:t>流速计算选取</w:t>
      </w:r>
      <w:r>
        <w:rPr>
          <w:rFonts w:hint="eastAsia"/>
          <w:color w:val="auto"/>
          <w:sz w:val="24"/>
        </w:rPr>
        <w:t>U1（界牌村）</w:t>
      </w:r>
      <w:r>
        <w:rPr>
          <w:color w:val="auto"/>
          <w:sz w:val="24"/>
        </w:rPr>
        <w:t>和</w:t>
      </w:r>
      <w:r>
        <w:rPr>
          <w:rFonts w:hint="eastAsia"/>
          <w:color w:val="auto"/>
          <w:sz w:val="24"/>
        </w:rPr>
        <w:t>U5</w:t>
      </w:r>
      <w:r>
        <w:rPr>
          <w:color w:val="auto"/>
          <w:sz w:val="24"/>
        </w:rPr>
        <w:t>（</w:t>
      </w:r>
      <w:r>
        <w:rPr>
          <w:color w:val="auto"/>
          <w:szCs w:val="21"/>
        </w:rPr>
        <w:t>项目</w:t>
      </w:r>
      <w:r>
        <w:rPr>
          <w:rFonts w:hint="eastAsia"/>
          <w:color w:val="auto"/>
          <w:szCs w:val="21"/>
        </w:rPr>
        <w:t>外西南方空地</w:t>
      </w:r>
      <w:r>
        <w:rPr>
          <w:color w:val="auto"/>
          <w:sz w:val="24"/>
        </w:rPr>
        <w:t>）</w:t>
      </w:r>
      <w:r>
        <w:rPr>
          <w:rFonts w:hint="eastAsia"/>
          <w:color w:val="auto"/>
          <w:sz w:val="24"/>
        </w:rPr>
        <w:t>，</w:t>
      </w:r>
      <w:r>
        <w:rPr>
          <w:color w:val="auto"/>
          <w:sz w:val="24"/>
        </w:rPr>
        <w:t>获取</w:t>
      </w:r>
      <w:r>
        <w:rPr>
          <w:rFonts w:hint="eastAsia"/>
          <w:color w:val="auto"/>
          <w:sz w:val="24"/>
        </w:rPr>
        <w:t>其</w:t>
      </w:r>
      <w:r>
        <w:rPr>
          <w:color w:val="auto"/>
          <w:sz w:val="24"/>
        </w:rPr>
        <w:t>孔距及孔内水位标高数据，计算建设场地平原地带的水力坡度</w:t>
      </w:r>
      <w:r>
        <w:rPr>
          <w:i/>
          <w:color w:val="auto"/>
          <w:sz w:val="24"/>
        </w:rPr>
        <w:t>I</w:t>
      </w:r>
      <w:r>
        <w:rPr>
          <w:color w:val="auto"/>
          <w:sz w:val="24"/>
        </w:rPr>
        <w:t>，关系式为</w:t>
      </w:r>
      <w:r>
        <w:rPr>
          <w:i/>
          <w:color w:val="auto"/>
          <w:sz w:val="24"/>
        </w:rPr>
        <w:t>I</w:t>
      </w:r>
      <w:r>
        <w:rPr>
          <w:color w:val="auto"/>
          <w:sz w:val="24"/>
        </w:rPr>
        <w:t>=</w:t>
      </w:r>
      <w:r>
        <w:rPr>
          <w:i/>
          <w:color w:val="auto"/>
          <w:sz w:val="24"/>
        </w:rPr>
        <w:t>h</w:t>
      </w:r>
      <w:r>
        <w:rPr>
          <w:color w:val="auto"/>
          <w:sz w:val="24"/>
        </w:rPr>
        <w:t>/</w:t>
      </w:r>
      <w:r>
        <w:rPr>
          <w:i/>
          <w:color w:val="auto"/>
          <w:sz w:val="24"/>
        </w:rPr>
        <w:t>L</w:t>
      </w:r>
      <w:r>
        <w:rPr>
          <w:color w:val="auto"/>
          <w:sz w:val="24"/>
        </w:rPr>
        <w:t>。</w:t>
      </w:r>
    </w:p>
    <w:p>
      <w:pPr>
        <w:spacing w:line="450" w:lineRule="exact"/>
        <w:ind w:firstLine="480" w:firstLineChars="200"/>
        <w:jc w:val="left"/>
        <w:rPr>
          <w:color w:val="auto"/>
          <w:sz w:val="24"/>
        </w:rPr>
      </w:pPr>
      <w:r>
        <w:rPr>
          <w:i/>
          <w:color w:val="auto"/>
          <w:sz w:val="24"/>
        </w:rPr>
        <w:t>h</w:t>
      </w:r>
      <w:r>
        <w:rPr>
          <w:color w:val="auto"/>
          <w:sz w:val="24"/>
        </w:rPr>
        <w:t>—水头损失（</w:t>
      </w:r>
      <w:r>
        <w:rPr>
          <w:i/>
          <w:color w:val="auto"/>
          <w:sz w:val="24"/>
        </w:rPr>
        <w:t>h</w:t>
      </w:r>
      <w:r>
        <w:rPr>
          <w:color w:val="auto"/>
          <w:sz w:val="24"/>
          <w:vertAlign w:val="subscript"/>
        </w:rPr>
        <w:t>1</w:t>
      </w:r>
      <w:r>
        <w:rPr>
          <w:color w:val="auto"/>
          <w:sz w:val="24"/>
        </w:rPr>
        <w:t xml:space="preserve">= </w:t>
      </w:r>
      <w:r>
        <w:rPr>
          <w:i/>
          <w:color w:val="auto"/>
          <w:sz w:val="24"/>
        </w:rPr>
        <w:t>H</w:t>
      </w:r>
      <w:r>
        <w:rPr>
          <w:color w:val="auto"/>
          <w:sz w:val="24"/>
          <w:vertAlign w:val="subscript"/>
        </w:rPr>
        <w:t>1</w:t>
      </w:r>
      <w:r>
        <w:rPr>
          <w:color w:val="auto"/>
          <w:sz w:val="24"/>
        </w:rPr>
        <w:t xml:space="preserve"> -</w:t>
      </w:r>
      <w:r>
        <w:rPr>
          <w:i/>
          <w:color w:val="auto"/>
          <w:sz w:val="24"/>
        </w:rPr>
        <w:t>H</w:t>
      </w:r>
      <w:r>
        <w:rPr>
          <w:color w:val="auto"/>
          <w:sz w:val="24"/>
          <w:vertAlign w:val="subscript"/>
        </w:rPr>
        <w:t>2</w:t>
      </w:r>
      <w:r>
        <w:rPr>
          <w:color w:val="auto"/>
          <w:sz w:val="24"/>
        </w:rPr>
        <w:t>）</w:t>
      </w:r>
    </w:p>
    <w:p>
      <w:pPr>
        <w:spacing w:line="450" w:lineRule="exact"/>
        <w:ind w:firstLine="480" w:firstLineChars="200"/>
        <w:jc w:val="left"/>
        <w:rPr>
          <w:color w:val="auto"/>
          <w:sz w:val="24"/>
        </w:rPr>
      </w:pPr>
      <w:r>
        <w:rPr>
          <w:i/>
          <w:color w:val="auto"/>
          <w:sz w:val="24"/>
        </w:rPr>
        <w:t>L</w:t>
      </w:r>
      <w:r>
        <w:rPr>
          <w:color w:val="auto"/>
          <w:sz w:val="24"/>
        </w:rPr>
        <w:t>—渗透途径</w:t>
      </w:r>
    </w:p>
    <w:p>
      <w:pPr>
        <w:spacing w:line="450" w:lineRule="exact"/>
        <w:ind w:firstLine="480" w:firstLineChars="200"/>
        <w:jc w:val="left"/>
        <w:rPr>
          <w:color w:val="auto"/>
          <w:sz w:val="24"/>
        </w:rPr>
      </w:pPr>
      <w:r>
        <w:rPr>
          <w:i/>
          <w:color w:val="auto"/>
          <w:sz w:val="24"/>
        </w:rPr>
        <w:t>K</w:t>
      </w:r>
      <w:r>
        <w:rPr>
          <w:color w:val="auto"/>
          <w:sz w:val="24"/>
        </w:rPr>
        <w:t>—渗透系数（抽水试验获得值）</w:t>
      </w:r>
    </w:p>
    <w:p>
      <w:pPr>
        <w:spacing w:line="450" w:lineRule="exact"/>
        <w:ind w:firstLine="480" w:firstLineChars="200"/>
        <w:jc w:val="left"/>
        <w:rPr>
          <w:color w:val="auto"/>
          <w:sz w:val="24"/>
        </w:rPr>
      </w:pPr>
      <w:r>
        <w:rPr>
          <w:i/>
          <w:color w:val="auto"/>
          <w:sz w:val="24"/>
        </w:rPr>
        <w:t>I</w:t>
      </w:r>
      <w:r>
        <w:rPr>
          <w:color w:val="auto"/>
          <w:sz w:val="24"/>
        </w:rPr>
        <w:t>—水力梯度（</w:t>
      </w:r>
      <w:r>
        <w:rPr>
          <w:i/>
          <w:color w:val="auto"/>
          <w:sz w:val="24"/>
        </w:rPr>
        <w:t>h/ L</w:t>
      </w:r>
      <w:r>
        <w:rPr>
          <w:color w:val="auto"/>
          <w:sz w:val="24"/>
        </w:rPr>
        <w:t>）</w:t>
      </w:r>
    </w:p>
    <w:p>
      <w:pPr>
        <w:spacing w:line="450" w:lineRule="exact"/>
        <w:ind w:firstLine="480" w:firstLineChars="200"/>
        <w:rPr>
          <w:color w:val="auto"/>
          <w:sz w:val="24"/>
        </w:rPr>
      </w:pPr>
      <w:r>
        <w:rPr>
          <w:color w:val="auto"/>
          <w:sz w:val="24"/>
        </w:rPr>
        <w:t>根据“达西定律”进行线性计算地下水流速V=</w:t>
      </w:r>
      <w:r>
        <w:rPr>
          <w:i/>
          <w:color w:val="auto"/>
          <w:sz w:val="24"/>
        </w:rPr>
        <w:t>K</w:t>
      </w:r>
      <w:r>
        <w:rPr>
          <w:color w:val="auto"/>
          <w:sz w:val="24"/>
        </w:rPr>
        <w:t>×</w:t>
      </w:r>
      <w:r>
        <w:rPr>
          <w:i/>
          <w:color w:val="auto"/>
          <w:sz w:val="24"/>
        </w:rPr>
        <w:t>I</w:t>
      </w:r>
      <w:r>
        <w:rPr>
          <w:color w:val="auto"/>
          <w:sz w:val="24"/>
        </w:rPr>
        <w:t>。</w:t>
      </w:r>
    </w:p>
    <w:p>
      <w:pPr>
        <w:spacing w:line="450" w:lineRule="exact"/>
        <w:ind w:firstLine="480" w:firstLineChars="200"/>
        <w:rPr>
          <w:color w:val="auto"/>
          <w:sz w:val="24"/>
        </w:rPr>
      </w:pPr>
      <w:r>
        <w:rPr>
          <w:color w:val="auto"/>
          <w:sz w:val="24"/>
        </w:rPr>
        <w:t>计算结果见</w:t>
      </w:r>
      <w:r>
        <w:rPr>
          <w:rFonts w:hint="eastAsia"/>
          <w:color w:val="auto"/>
          <w:sz w:val="24"/>
        </w:rPr>
        <w:t>下表</w:t>
      </w:r>
      <w:r>
        <w:rPr>
          <w:color w:val="auto"/>
          <w:sz w:val="24"/>
        </w:rPr>
        <w:t>。</w:t>
      </w:r>
    </w:p>
    <w:p>
      <w:pPr>
        <w:pStyle w:val="35"/>
        <w:spacing w:before="159" w:beforeLines="50" w:after="0" w:line="360" w:lineRule="auto"/>
        <w:rPr>
          <w:rFonts w:eastAsia="宋体"/>
          <w:color w:val="auto"/>
          <w:sz w:val="21"/>
          <w:szCs w:val="21"/>
        </w:rPr>
      </w:pPr>
      <w:r>
        <w:rPr>
          <w:rFonts w:eastAsia="宋体"/>
          <w:color w:val="auto"/>
          <w:sz w:val="21"/>
          <w:szCs w:val="21"/>
        </w:rPr>
        <w:t xml:space="preserve">表5.5-2 </w:t>
      </w:r>
      <w:r>
        <w:rPr>
          <w:rFonts w:hint="eastAsia" w:eastAsia="宋体"/>
          <w:color w:val="auto"/>
          <w:sz w:val="21"/>
          <w:szCs w:val="21"/>
        </w:rPr>
        <w:t xml:space="preserve"> </w:t>
      </w:r>
      <w:r>
        <w:rPr>
          <w:rFonts w:eastAsia="宋体"/>
          <w:color w:val="auto"/>
          <w:sz w:val="21"/>
          <w:szCs w:val="21"/>
        </w:rPr>
        <w:t>拟建场地监测井之间地下水流速计算</w:t>
      </w:r>
    </w:p>
    <w:tbl>
      <w:tblPr>
        <w:tblStyle w:val="23"/>
        <w:tblW w:w="9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2169"/>
        <w:gridCol w:w="930"/>
        <w:gridCol w:w="940"/>
        <w:gridCol w:w="1316"/>
        <w:gridCol w:w="1169"/>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1" w:type="dxa"/>
            <w:vAlign w:val="center"/>
          </w:tcPr>
          <w:p>
            <w:pPr>
              <w:spacing w:line="300" w:lineRule="auto"/>
              <w:jc w:val="center"/>
              <w:rPr>
                <w:bCs/>
                <w:color w:val="auto"/>
                <w:szCs w:val="21"/>
              </w:rPr>
            </w:pPr>
            <w:r>
              <w:rPr>
                <w:bCs/>
                <w:color w:val="auto"/>
                <w:szCs w:val="21"/>
              </w:rPr>
              <w:t>计算含水层</w:t>
            </w:r>
          </w:p>
        </w:tc>
        <w:tc>
          <w:tcPr>
            <w:tcW w:w="2169" w:type="dxa"/>
            <w:vAlign w:val="center"/>
          </w:tcPr>
          <w:p>
            <w:pPr>
              <w:spacing w:line="300" w:lineRule="auto"/>
              <w:jc w:val="center"/>
              <w:rPr>
                <w:bCs/>
                <w:color w:val="auto"/>
                <w:szCs w:val="21"/>
              </w:rPr>
            </w:pPr>
            <w:r>
              <w:rPr>
                <w:bCs/>
                <w:color w:val="auto"/>
                <w:szCs w:val="21"/>
              </w:rPr>
              <w:t>含水层岩性</w:t>
            </w:r>
          </w:p>
        </w:tc>
        <w:tc>
          <w:tcPr>
            <w:tcW w:w="930" w:type="dxa"/>
            <w:vAlign w:val="center"/>
          </w:tcPr>
          <w:p>
            <w:pPr>
              <w:spacing w:line="300" w:lineRule="auto"/>
              <w:jc w:val="center"/>
              <w:rPr>
                <w:bCs/>
                <w:i/>
                <w:color w:val="auto"/>
                <w:szCs w:val="21"/>
              </w:rPr>
            </w:pPr>
            <w:r>
              <w:rPr>
                <w:bCs/>
                <w:i/>
                <w:color w:val="auto"/>
                <w:szCs w:val="21"/>
              </w:rPr>
              <w:t>h</w:t>
            </w:r>
            <w:r>
              <w:rPr>
                <w:bCs/>
                <w:color w:val="auto"/>
                <w:szCs w:val="21"/>
              </w:rPr>
              <w:t>（m）</w:t>
            </w:r>
          </w:p>
        </w:tc>
        <w:tc>
          <w:tcPr>
            <w:tcW w:w="940" w:type="dxa"/>
            <w:vAlign w:val="center"/>
          </w:tcPr>
          <w:p>
            <w:pPr>
              <w:spacing w:line="300" w:lineRule="auto"/>
              <w:jc w:val="center"/>
              <w:rPr>
                <w:bCs/>
                <w:i/>
                <w:color w:val="auto"/>
                <w:szCs w:val="21"/>
              </w:rPr>
            </w:pPr>
            <w:r>
              <w:rPr>
                <w:bCs/>
                <w:i/>
                <w:color w:val="auto"/>
                <w:szCs w:val="21"/>
              </w:rPr>
              <w:t>L</w:t>
            </w:r>
            <w:r>
              <w:rPr>
                <w:bCs/>
                <w:color w:val="auto"/>
                <w:szCs w:val="21"/>
              </w:rPr>
              <w:t>（m）</w:t>
            </w:r>
          </w:p>
        </w:tc>
        <w:tc>
          <w:tcPr>
            <w:tcW w:w="1316" w:type="dxa"/>
            <w:vAlign w:val="center"/>
          </w:tcPr>
          <w:p>
            <w:pPr>
              <w:spacing w:line="300" w:lineRule="auto"/>
              <w:jc w:val="center"/>
              <w:rPr>
                <w:bCs/>
                <w:color w:val="auto"/>
                <w:szCs w:val="21"/>
              </w:rPr>
            </w:pPr>
            <w:r>
              <w:rPr>
                <w:bCs/>
                <w:i/>
                <w:color w:val="auto"/>
                <w:szCs w:val="21"/>
              </w:rPr>
              <w:t xml:space="preserve">K </w:t>
            </w:r>
            <w:r>
              <w:rPr>
                <w:bCs/>
                <w:color w:val="auto"/>
                <w:szCs w:val="21"/>
              </w:rPr>
              <w:t>（cm/s）</w:t>
            </w:r>
          </w:p>
        </w:tc>
        <w:tc>
          <w:tcPr>
            <w:tcW w:w="1169" w:type="dxa"/>
            <w:vAlign w:val="center"/>
          </w:tcPr>
          <w:p>
            <w:pPr>
              <w:spacing w:line="300" w:lineRule="auto"/>
              <w:jc w:val="center"/>
              <w:rPr>
                <w:bCs/>
                <w:i/>
                <w:color w:val="auto"/>
                <w:szCs w:val="21"/>
              </w:rPr>
            </w:pPr>
            <w:r>
              <w:rPr>
                <w:bCs/>
                <w:i/>
                <w:color w:val="auto"/>
                <w:szCs w:val="21"/>
              </w:rPr>
              <w:t>I</w:t>
            </w:r>
          </w:p>
        </w:tc>
        <w:tc>
          <w:tcPr>
            <w:tcW w:w="1191" w:type="dxa"/>
            <w:vAlign w:val="center"/>
          </w:tcPr>
          <w:p>
            <w:pPr>
              <w:spacing w:line="300" w:lineRule="auto"/>
              <w:jc w:val="center"/>
              <w:rPr>
                <w:bCs/>
                <w:i/>
                <w:color w:val="auto"/>
                <w:szCs w:val="21"/>
              </w:rPr>
            </w:pPr>
            <w:r>
              <w:rPr>
                <w:bCs/>
                <w:i/>
                <w:color w:val="auto"/>
                <w:szCs w:val="21"/>
              </w:rPr>
              <w:t>V</w:t>
            </w:r>
            <w:r>
              <w:rPr>
                <w:bCs/>
                <w:color w:val="auto"/>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1" w:type="dxa"/>
            <w:vAlign w:val="center"/>
          </w:tcPr>
          <w:p>
            <w:pPr>
              <w:spacing w:line="300" w:lineRule="auto"/>
              <w:jc w:val="center"/>
              <w:rPr>
                <w:bCs/>
                <w:color w:val="auto"/>
                <w:szCs w:val="21"/>
              </w:rPr>
            </w:pPr>
            <w:r>
              <w:rPr>
                <w:rFonts w:hint="eastAsia"/>
                <w:bCs/>
                <w:color w:val="auto"/>
                <w:szCs w:val="21"/>
              </w:rPr>
              <w:t>潜水含水层</w:t>
            </w:r>
          </w:p>
        </w:tc>
        <w:tc>
          <w:tcPr>
            <w:tcW w:w="2169" w:type="dxa"/>
            <w:vAlign w:val="center"/>
          </w:tcPr>
          <w:p>
            <w:pPr>
              <w:spacing w:line="300" w:lineRule="auto"/>
              <w:jc w:val="center"/>
              <w:rPr>
                <w:bCs/>
                <w:color w:val="auto"/>
                <w:szCs w:val="21"/>
              </w:rPr>
            </w:pPr>
            <w:r>
              <w:rPr>
                <w:rFonts w:hint="eastAsia"/>
                <w:color w:val="auto"/>
                <w:szCs w:val="21"/>
              </w:rPr>
              <w:t>素填土——粉质粘土、砂粒和少量碎石</w:t>
            </w:r>
          </w:p>
        </w:tc>
        <w:tc>
          <w:tcPr>
            <w:tcW w:w="930" w:type="dxa"/>
            <w:vAlign w:val="center"/>
          </w:tcPr>
          <w:p>
            <w:pPr>
              <w:spacing w:line="300" w:lineRule="auto"/>
              <w:jc w:val="center"/>
              <w:rPr>
                <w:bCs/>
                <w:color w:val="auto"/>
                <w:szCs w:val="21"/>
              </w:rPr>
            </w:pPr>
            <w:r>
              <w:rPr>
                <w:rFonts w:hint="eastAsia"/>
                <w:bCs/>
                <w:color w:val="auto"/>
                <w:szCs w:val="21"/>
              </w:rPr>
              <w:t>2.9</w:t>
            </w:r>
          </w:p>
        </w:tc>
        <w:tc>
          <w:tcPr>
            <w:tcW w:w="940" w:type="dxa"/>
            <w:vAlign w:val="center"/>
          </w:tcPr>
          <w:p>
            <w:pPr>
              <w:spacing w:line="300" w:lineRule="auto"/>
              <w:jc w:val="center"/>
              <w:rPr>
                <w:bCs/>
                <w:color w:val="auto"/>
                <w:szCs w:val="21"/>
              </w:rPr>
            </w:pPr>
            <w:r>
              <w:rPr>
                <w:rFonts w:hint="eastAsia"/>
                <w:bCs/>
                <w:color w:val="auto"/>
                <w:szCs w:val="21"/>
              </w:rPr>
              <w:t>1000</w:t>
            </w:r>
          </w:p>
        </w:tc>
        <w:tc>
          <w:tcPr>
            <w:tcW w:w="1316" w:type="dxa"/>
            <w:vAlign w:val="center"/>
          </w:tcPr>
          <w:p>
            <w:pPr>
              <w:spacing w:line="300" w:lineRule="auto"/>
              <w:jc w:val="center"/>
              <w:rPr>
                <w:bCs/>
                <w:color w:val="auto"/>
                <w:szCs w:val="21"/>
              </w:rPr>
            </w:pPr>
            <w:r>
              <w:rPr>
                <w:bCs/>
                <w:color w:val="auto"/>
                <w:szCs w:val="21"/>
              </w:rPr>
              <w:t>4.3×10</w:t>
            </w:r>
            <w:r>
              <w:rPr>
                <w:bCs/>
                <w:color w:val="auto"/>
                <w:szCs w:val="21"/>
                <w:vertAlign w:val="superscript"/>
              </w:rPr>
              <w:t>-5</w:t>
            </w:r>
          </w:p>
        </w:tc>
        <w:tc>
          <w:tcPr>
            <w:tcW w:w="1169" w:type="dxa"/>
            <w:vAlign w:val="center"/>
          </w:tcPr>
          <w:p>
            <w:pPr>
              <w:spacing w:line="300" w:lineRule="auto"/>
              <w:jc w:val="center"/>
              <w:rPr>
                <w:bCs/>
                <w:color w:val="auto"/>
                <w:szCs w:val="21"/>
              </w:rPr>
            </w:pPr>
            <w:r>
              <w:rPr>
                <w:rFonts w:hint="eastAsia"/>
                <w:bCs/>
                <w:color w:val="auto"/>
                <w:szCs w:val="21"/>
              </w:rPr>
              <w:t>0.0029</w:t>
            </w:r>
          </w:p>
        </w:tc>
        <w:tc>
          <w:tcPr>
            <w:tcW w:w="1191" w:type="dxa"/>
            <w:vAlign w:val="center"/>
          </w:tcPr>
          <w:p>
            <w:pPr>
              <w:spacing w:line="300" w:lineRule="auto"/>
              <w:jc w:val="center"/>
              <w:rPr>
                <w:bCs/>
                <w:color w:val="auto"/>
                <w:szCs w:val="21"/>
              </w:rPr>
            </w:pPr>
            <w:r>
              <w:rPr>
                <w:rFonts w:hint="eastAsia"/>
                <w:bCs/>
                <w:color w:val="auto"/>
                <w:szCs w:val="21"/>
              </w:rPr>
              <w:t>1.247</w:t>
            </w:r>
            <w:r>
              <w:rPr>
                <w:bCs/>
                <w:color w:val="auto"/>
                <w:szCs w:val="21"/>
              </w:rPr>
              <w:t>×10</w:t>
            </w:r>
            <w:r>
              <w:rPr>
                <w:bCs/>
                <w:color w:val="auto"/>
                <w:szCs w:val="21"/>
                <w:vertAlign w:val="superscript"/>
              </w:rPr>
              <w:t>-7</w:t>
            </w:r>
          </w:p>
        </w:tc>
      </w:tr>
    </w:tbl>
    <w:p>
      <w:pPr>
        <w:spacing w:before="190" w:beforeLines="60" w:line="450" w:lineRule="exact"/>
        <w:ind w:firstLine="480" w:firstLineChars="200"/>
        <w:rPr>
          <w:color w:val="auto"/>
          <w:sz w:val="24"/>
        </w:rPr>
      </w:pPr>
      <w:r>
        <w:rPr>
          <w:color w:val="auto"/>
          <w:sz w:val="24"/>
        </w:rPr>
        <w:t>综上所述，拟建场地的地下水流速为</w:t>
      </w:r>
      <w:r>
        <w:rPr>
          <w:rFonts w:hint="eastAsia"/>
          <w:color w:val="auto"/>
          <w:sz w:val="24"/>
        </w:rPr>
        <w:t>1.247</w:t>
      </w:r>
      <w:r>
        <w:rPr>
          <w:color w:val="auto"/>
          <w:sz w:val="24"/>
        </w:rPr>
        <w:t>×10</w:t>
      </w:r>
      <w:r>
        <w:rPr>
          <w:color w:val="auto"/>
          <w:sz w:val="24"/>
          <w:vertAlign w:val="superscript"/>
        </w:rPr>
        <w:t>-7</w:t>
      </w:r>
      <w:r>
        <w:rPr>
          <w:color w:val="auto"/>
          <w:sz w:val="24"/>
        </w:rPr>
        <w:t>cm/s。</w:t>
      </w:r>
    </w:p>
    <w:p>
      <w:pPr>
        <w:spacing w:line="450" w:lineRule="exact"/>
        <w:ind w:firstLine="480" w:firstLineChars="200"/>
        <w:rPr>
          <w:color w:val="auto"/>
          <w:sz w:val="24"/>
        </w:rPr>
      </w:pPr>
      <w:r>
        <w:rPr>
          <w:color w:val="auto"/>
          <w:sz w:val="24"/>
        </w:rPr>
        <w:t>4、排泄</w:t>
      </w:r>
    </w:p>
    <w:p>
      <w:pPr>
        <w:spacing w:line="450" w:lineRule="exact"/>
        <w:ind w:firstLine="480" w:firstLineChars="200"/>
        <w:rPr>
          <w:color w:val="auto"/>
          <w:sz w:val="24"/>
        </w:rPr>
      </w:pPr>
      <w:r>
        <w:rPr>
          <w:color w:val="auto"/>
          <w:sz w:val="24"/>
        </w:rPr>
        <w:t>拟建项目场地所在水文地质单元地下水的排泄方式主要为潜水蒸发排泄、地下</w:t>
      </w:r>
      <w:r>
        <w:rPr>
          <w:rFonts w:hint="eastAsia"/>
          <w:color w:val="auto"/>
          <w:sz w:val="24"/>
        </w:rPr>
        <w:t>径流</w:t>
      </w:r>
      <w:r>
        <w:rPr>
          <w:color w:val="auto"/>
          <w:sz w:val="24"/>
        </w:rPr>
        <w:t>排泄等。</w:t>
      </w:r>
    </w:p>
    <w:p>
      <w:pPr>
        <w:spacing w:line="450" w:lineRule="exact"/>
        <w:ind w:firstLine="480" w:firstLineChars="200"/>
        <w:rPr>
          <w:color w:val="auto"/>
          <w:sz w:val="24"/>
        </w:rPr>
      </w:pPr>
      <w:r>
        <w:rPr>
          <w:color w:val="auto"/>
          <w:sz w:val="24"/>
        </w:rPr>
        <w:t>拟建项目地处亚热带，常年气温较高，地面较平缓，地下水流速缓慢，因此地下水主要消耗于蒸发作用。在调查区平原一带，地下水还通过地下</w:t>
      </w:r>
      <w:r>
        <w:rPr>
          <w:rFonts w:hint="eastAsia"/>
          <w:color w:val="auto"/>
          <w:sz w:val="24"/>
        </w:rPr>
        <w:t>径流</w:t>
      </w:r>
      <w:r>
        <w:rPr>
          <w:color w:val="auto"/>
          <w:sz w:val="24"/>
        </w:rPr>
        <w:t>的方式排至拟建场地之外。</w:t>
      </w:r>
    </w:p>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5.5.2.5  </w:t>
      </w:r>
      <w:r>
        <w:rPr>
          <w:color w:val="auto"/>
        </w:rPr>
        <w:t>包气带特征</w:t>
      </w:r>
    </w:p>
    <w:p>
      <w:pPr>
        <w:spacing w:line="360" w:lineRule="auto"/>
        <w:ind w:firstLine="480" w:firstLineChars="200"/>
        <w:rPr>
          <w:color w:val="auto"/>
          <w:sz w:val="24"/>
        </w:rPr>
      </w:pPr>
      <w:r>
        <w:rPr>
          <w:color w:val="auto"/>
          <w:sz w:val="24"/>
        </w:rPr>
        <w:t>建设场地及周边</w:t>
      </w:r>
      <w:r>
        <w:rPr>
          <w:rFonts w:hint="eastAsia"/>
          <w:color w:val="auto"/>
          <w:sz w:val="24"/>
        </w:rPr>
        <w:t>潜水</w:t>
      </w:r>
      <w:r>
        <w:rPr>
          <w:color w:val="auto"/>
          <w:sz w:val="24"/>
        </w:rPr>
        <w:t>水位埋深为</w:t>
      </w:r>
      <w:r>
        <w:rPr>
          <w:rFonts w:hint="eastAsia"/>
          <w:color w:val="auto"/>
          <w:sz w:val="24"/>
        </w:rPr>
        <w:t>5.7~2.8</w:t>
      </w:r>
      <w:r>
        <w:rPr>
          <w:color w:val="auto"/>
          <w:sz w:val="24"/>
        </w:rPr>
        <w:t>m，因此，建设场地包气带厚度亦为</w:t>
      </w:r>
      <w:r>
        <w:rPr>
          <w:rFonts w:hint="eastAsia"/>
          <w:color w:val="auto"/>
          <w:sz w:val="24"/>
        </w:rPr>
        <w:t>5.7~2.8</w:t>
      </w:r>
      <w:r>
        <w:rPr>
          <w:color w:val="auto"/>
          <w:sz w:val="24"/>
        </w:rPr>
        <w:t>m，包气带岩性主要为人工回填的</w:t>
      </w:r>
      <w:r>
        <w:rPr>
          <w:rFonts w:hint="eastAsia"/>
          <w:color w:val="auto"/>
          <w:sz w:val="24"/>
        </w:rPr>
        <w:t>粉质粘土、砂粒和少量碎石组成。</w:t>
      </w:r>
      <w:r>
        <w:rPr>
          <w:color w:val="auto"/>
          <w:sz w:val="24"/>
        </w:rPr>
        <w:t>根据试坑渗水试验成果和室内土工试验成果，结合地区经验，本项目场地包气带土层渗透系数为3.1×10</w:t>
      </w:r>
      <w:r>
        <w:rPr>
          <w:color w:val="auto"/>
          <w:sz w:val="24"/>
          <w:vertAlign w:val="superscript"/>
        </w:rPr>
        <w:t>-6</w:t>
      </w:r>
      <w:r>
        <w:rPr>
          <w:color w:val="auto"/>
          <w:sz w:val="24"/>
        </w:rPr>
        <w:t>～4.3×10</w:t>
      </w:r>
      <w:r>
        <w:rPr>
          <w:color w:val="auto"/>
          <w:sz w:val="24"/>
          <w:vertAlign w:val="superscript"/>
        </w:rPr>
        <w:t>-5</w:t>
      </w:r>
      <w:r>
        <w:rPr>
          <w:color w:val="auto"/>
          <w:sz w:val="24"/>
        </w:rPr>
        <w:t>cm/s不等，属弱透水层。</w:t>
      </w:r>
      <w:r>
        <w:rPr>
          <w:rFonts w:hint="eastAsia"/>
          <w:color w:val="auto"/>
          <w:sz w:val="24"/>
        </w:rPr>
        <w:t>根据《环境影响评价导则  地下水环境》（HJ 610-2016），天然包气带防污性能分级如下表。</w:t>
      </w:r>
    </w:p>
    <w:p>
      <w:pPr>
        <w:pStyle w:val="35"/>
        <w:spacing w:before="159" w:beforeLines="50" w:after="0" w:line="360" w:lineRule="auto"/>
        <w:rPr>
          <w:rFonts w:eastAsia="宋体"/>
          <w:color w:val="auto"/>
          <w:sz w:val="21"/>
          <w:szCs w:val="21"/>
        </w:rPr>
      </w:pPr>
      <w:r>
        <w:rPr>
          <w:rFonts w:eastAsia="宋体"/>
          <w:color w:val="auto"/>
          <w:sz w:val="21"/>
          <w:szCs w:val="21"/>
        </w:rPr>
        <w:t xml:space="preserve">表5.5-3  </w:t>
      </w:r>
      <w:r>
        <w:rPr>
          <w:rFonts w:hint="eastAsia" w:eastAsia="宋体"/>
          <w:color w:val="auto"/>
          <w:sz w:val="21"/>
          <w:szCs w:val="21"/>
        </w:rPr>
        <w:t>天然</w:t>
      </w:r>
      <w:r>
        <w:rPr>
          <w:rFonts w:eastAsia="宋体"/>
          <w:color w:val="auto"/>
          <w:sz w:val="21"/>
          <w:szCs w:val="21"/>
        </w:rPr>
        <w:t>包气带防污性能</w:t>
      </w:r>
      <w:r>
        <w:rPr>
          <w:rFonts w:hint="eastAsia" w:eastAsia="宋体"/>
          <w:color w:val="auto"/>
          <w:sz w:val="21"/>
          <w:szCs w:val="21"/>
        </w:rPr>
        <w:t>分级参照表</w:t>
      </w:r>
    </w:p>
    <w:tbl>
      <w:tblPr>
        <w:tblStyle w:val="23"/>
        <w:tblW w:w="9209"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25"/>
        <w:gridCol w:w="80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1125" w:type="dxa"/>
            <w:tcBorders>
              <w:top w:val="single" w:color="auto" w:sz="4" w:space="0"/>
              <w:left w:val="single" w:color="auto" w:sz="4" w:space="0"/>
              <w:bottom w:val="single" w:color="auto" w:sz="4" w:space="0"/>
              <w:right w:val="single" w:color="auto" w:sz="4" w:space="0"/>
            </w:tcBorders>
            <w:vAlign w:val="center"/>
          </w:tcPr>
          <w:p>
            <w:pPr>
              <w:jc w:val="center"/>
              <w:rPr>
                <w:b/>
                <w:color w:val="auto"/>
              </w:rPr>
            </w:pPr>
            <w:r>
              <w:rPr>
                <w:b/>
                <w:color w:val="auto"/>
              </w:rPr>
              <w:t>分类</w:t>
            </w:r>
          </w:p>
        </w:tc>
        <w:tc>
          <w:tcPr>
            <w:tcW w:w="8084" w:type="dxa"/>
            <w:tcBorders>
              <w:top w:val="single" w:color="auto" w:sz="4" w:space="0"/>
              <w:left w:val="single" w:color="auto" w:sz="4" w:space="0"/>
              <w:bottom w:val="single" w:color="auto" w:sz="4" w:space="0"/>
              <w:right w:val="single" w:color="auto" w:sz="4" w:space="0"/>
            </w:tcBorders>
            <w:vAlign w:val="center"/>
          </w:tcPr>
          <w:p>
            <w:pPr>
              <w:jc w:val="center"/>
              <w:rPr>
                <w:b/>
                <w:color w:val="auto"/>
              </w:rPr>
            </w:pPr>
            <w:r>
              <w:rPr>
                <w:b/>
                <w:color w:val="auto"/>
              </w:rPr>
              <w:t>包气带岩土的渗透性能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25"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强</w:t>
            </w:r>
          </w:p>
        </w:tc>
        <w:tc>
          <w:tcPr>
            <w:tcW w:w="8084"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岩（</w:t>
            </w:r>
            <w:r>
              <w:rPr>
                <w:color w:val="auto"/>
              </w:rPr>
              <w:t>土</w:t>
            </w:r>
            <w:r>
              <w:rPr>
                <w:rFonts w:hint="eastAsia"/>
                <w:color w:val="auto"/>
              </w:rPr>
              <w:t>）</w:t>
            </w:r>
            <w:r>
              <w:rPr>
                <w:color w:val="auto"/>
              </w:rPr>
              <w:t>单层厚度Mb</w:t>
            </w:r>
            <w:r>
              <w:rPr>
                <w:rFonts w:hint="eastAsia"/>
                <w:color w:val="auto"/>
              </w:rPr>
              <w:t>≥</w:t>
            </w:r>
            <w:r>
              <w:rPr>
                <w:color w:val="auto"/>
              </w:rPr>
              <w:t>1.0m</w:t>
            </w:r>
            <w:r>
              <w:rPr>
                <w:rFonts w:hint="eastAsia"/>
                <w:color w:val="auto"/>
              </w:rPr>
              <w:t>，渗透系数k≤1×10</w:t>
            </w:r>
            <w:r>
              <w:rPr>
                <w:rFonts w:hint="eastAsia"/>
                <w:color w:val="auto"/>
                <w:vertAlign w:val="superscript"/>
              </w:rPr>
              <w:t>-6</w:t>
            </w:r>
            <w:r>
              <w:rPr>
                <w:rFonts w:hint="eastAsia"/>
                <w:color w:val="auto"/>
              </w:rPr>
              <w:t>cm/s，且分布连续、稳定。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25"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中</w:t>
            </w:r>
          </w:p>
        </w:tc>
        <w:tc>
          <w:tcPr>
            <w:tcW w:w="8084"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岩（</w:t>
            </w:r>
            <w:r>
              <w:rPr>
                <w:color w:val="auto"/>
              </w:rPr>
              <w:t>土</w:t>
            </w:r>
            <w:r>
              <w:rPr>
                <w:rFonts w:hint="eastAsia"/>
                <w:color w:val="auto"/>
              </w:rPr>
              <w:t>）</w:t>
            </w:r>
            <w:r>
              <w:rPr>
                <w:color w:val="auto"/>
              </w:rPr>
              <w:t>单层厚度</w:t>
            </w:r>
            <w:r>
              <w:rPr>
                <w:rFonts w:hint="eastAsia"/>
                <w:color w:val="auto"/>
              </w:rPr>
              <w:t>0.5m≤</w:t>
            </w:r>
            <w:r>
              <w:rPr>
                <w:color w:val="auto"/>
              </w:rPr>
              <w:t>Mb</w:t>
            </w:r>
            <w:r>
              <w:rPr>
                <w:rFonts w:hint="eastAsia"/>
                <w:color w:val="auto"/>
              </w:rPr>
              <w:t>≤</w:t>
            </w:r>
            <w:r>
              <w:rPr>
                <w:color w:val="auto"/>
              </w:rPr>
              <w:t>1.0m</w:t>
            </w:r>
            <w:r>
              <w:rPr>
                <w:rFonts w:hint="eastAsia"/>
                <w:color w:val="auto"/>
              </w:rPr>
              <w:t>，渗透系数k≤1×10</w:t>
            </w:r>
            <w:r>
              <w:rPr>
                <w:rFonts w:hint="eastAsia"/>
                <w:color w:val="auto"/>
                <w:vertAlign w:val="superscript"/>
              </w:rPr>
              <w:t>-6</w:t>
            </w:r>
            <w:r>
              <w:rPr>
                <w:rFonts w:hint="eastAsia"/>
                <w:color w:val="auto"/>
              </w:rPr>
              <w:t>cm/s，且分布连续、稳定。</w:t>
            </w:r>
          </w:p>
          <w:p>
            <w:pPr>
              <w:jc w:val="center"/>
              <w:rPr>
                <w:color w:val="auto"/>
              </w:rPr>
            </w:pPr>
            <w:r>
              <w:rPr>
                <w:rFonts w:hint="eastAsia"/>
                <w:color w:val="auto"/>
              </w:rPr>
              <w:t>岩（</w:t>
            </w:r>
            <w:r>
              <w:rPr>
                <w:color w:val="auto"/>
              </w:rPr>
              <w:t>土</w:t>
            </w:r>
            <w:r>
              <w:rPr>
                <w:rFonts w:hint="eastAsia"/>
                <w:color w:val="auto"/>
              </w:rPr>
              <w:t>）</w:t>
            </w:r>
            <w:r>
              <w:rPr>
                <w:color w:val="auto"/>
              </w:rPr>
              <w:t>单层厚度Mb</w:t>
            </w:r>
            <w:r>
              <w:rPr>
                <w:rFonts w:hint="eastAsia"/>
                <w:color w:val="auto"/>
              </w:rPr>
              <w:t>≥</w:t>
            </w:r>
            <w:r>
              <w:rPr>
                <w:color w:val="auto"/>
              </w:rPr>
              <w:t>1.0m</w:t>
            </w:r>
            <w:r>
              <w:rPr>
                <w:rFonts w:hint="eastAsia"/>
                <w:color w:val="auto"/>
              </w:rPr>
              <w:t>，渗透系数1×10</w:t>
            </w:r>
            <w:r>
              <w:rPr>
                <w:rFonts w:hint="eastAsia"/>
                <w:color w:val="auto"/>
                <w:vertAlign w:val="superscript"/>
              </w:rPr>
              <w:t>-6</w:t>
            </w:r>
            <w:r>
              <w:rPr>
                <w:rFonts w:hint="eastAsia"/>
                <w:color w:val="auto"/>
              </w:rPr>
              <w:t>cm/s≤k≤1×10</w:t>
            </w:r>
            <w:r>
              <w:rPr>
                <w:rFonts w:hint="eastAsia"/>
                <w:color w:val="auto"/>
                <w:vertAlign w:val="superscript"/>
              </w:rPr>
              <w:t>-4</w:t>
            </w:r>
            <w:r>
              <w:rPr>
                <w:rFonts w:hint="eastAsia"/>
                <w:color w:val="auto"/>
              </w:rPr>
              <w:t>cm/s，且分布连续、稳定。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25"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弱</w:t>
            </w:r>
          </w:p>
        </w:tc>
        <w:tc>
          <w:tcPr>
            <w:tcW w:w="8084"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岩（</w:t>
            </w:r>
            <w:r>
              <w:rPr>
                <w:color w:val="auto"/>
              </w:rPr>
              <w:t>土</w:t>
            </w:r>
            <w:r>
              <w:rPr>
                <w:rFonts w:hint="eastAsia"/>
                <w:color w:val="auto"/>
              </w:rPr>
              <w:t>）</w:t>
            </w:r>
            <w:r>
              <w:rPr>
                <w:color w:val="auto"/>
              </w:rPr>
              <w:t>层</w:t>
            </w:r>
            <w:r>
              <w:rPr>
                <w:rFonts w:hint="eastAsia"/>
                <w:color w:val="auto"/>
              </w:rPr>
              <w:t>不满足上述“强”和“中”条件。</w:t>
            </w:r>
          </w:p>
        </w:tc>
      </w:tr>
    </w:tbl>
    <w:p>
      <w:pPr>
        <w:spacing w:line="360" w:lineRule="auto"/>
        <w:ind w:firstLine="480" w:firstLineChars="200"/>
        <w:rPr>
          <w:color w:val="auto"/>
          <w:sz w:val="24"/>
        </w:rPr>
      </w:pPr>
      <w:r>
        <w:rPr>
          <w:rFonts w:hint="eastAsia"/>
          <w:color w:val="auto"/>
          <w:sz w:val="24"/>
        </w:rPr>
        <w:t>对照上表，本项目</w:t>
      </w:r>
      <w:r>
        <w:rPr>
          <w:color w:val="auto"/>
          <w:sz w:val="24"/>
        </w:rPr>
        <w:t>厂区的包气带粘土防污性能为“中”类别。</w:t>
      </w:r>
    </w:p>
    <w:p>
      <w:pPr>
        <w:pStyle w:val="8"/>
        <w:numPr>
          <w:ilvl w:val="3"/>
          <w:numId w:val="0"/>
        </w:numPr>
        <w:tabs>
          <w:tab w:val="left" w:pos="360"/>
          <w:tab w:val="left" w:pos="567"/>
          <w:tab w:val="left" w:pos="851"/>
          <w:tab w:val="clear" w:pos="720"/>
        </w:tabs>
        <w:snapToGrid w:val="0"/>
        <w:rPr>
          <w:color w:val="auto"/>
        </w:rPr>
      </w:pPr>
      <w:r>
        <w:rPr>
          <w:rFonts w:hint="eastAsia"/>
          <w:color w:val="auto"/>
        </w:rPr>
        <w:t>5.5.2.5  地下水水位情况</w:t>
      </w:r>
    </w:p>
    <w:p>
      <w:pPr>
        <w:spacing w:line="450" w:lineRule="exact"/>
        <w:ind w:firstLine="480" w:firstLineChars="200"/>
        <w:rPr>
          <w:color w:val="auto"/>
          <w:sz w:val="24"/>
        </w:rPr>
      </w:pPr>
      <w:r>
        <w:rPr>
          <w:color w:val="auto"/>
          <w:sz w:val="24"/>
        </w:rPr>
        <w:t>为了明确项目所在区域的地下水环境质量现状，对地下水环境影响评价提供必要的基础数据，本次评价针对项目所在地周边的地下水水质及水位情况，设置</w:t>
      </w:r>
      <w:r>
        <w:rPr>
          <w:rFonts w:hint="eastAsia"/>
          <w:color w:val="auto"/>
          <w:sz w:val="24"/>
        </w:rPr>
        <w:t>5</w:t>
      </w:r>
      <w:r>
        <w:rPr>
          <w:color w:val="auto"/>
          <w:sz w:val="24"/>
        </w:rPr>
        <w:t>个地下水监测点</w:t>
      </w:r>
      <w:r>
        <w:rPr>
          <w:rFonts w:hint="eastAsia"/>
          <w:color w:val="auto"/>
          <w:sz w:val="24"/>
        </w:rPr>
        <w:t>U1-U5</w:t>
      </w:r>
      <w:r>
        <w:rPr>
          <w:color w:val="auto"/>
          <w:sz w:val="24"/>
        </w:rPr>
        <w:t>。此外，引用《</w:t>
      </w:r>
      <w:r>
        <w:rPr>
          <w:rFonts w:hint="eastAsia"/>
          <w:color w:val="auto"/>
          <w:sz w:val="24"/>
        </w:rPr>
        <w:t>清远市财源五金铸造有限公司2×35吨电炉炼钢生产线项目环境影响报告书</w:t>
      </w:r>
      <w:r>
        <w:rPr>
          <w:color w:val="auto"/>
          <w:sz w:val="24"/>
        </w:rPr>
        <w:t>》</w:t>
      </w:r>
      <w:r>
        <w:rPr>
          <w:rFonts w:hint="eastAsia"/>
          <w:color w:val="auto"/>
          <w:sz w:val="24"/>
        </w:rPr>
        <w:t>中由深圳市清华环科检测技术有限公司编制的监测报告（Q</w:t>
      </w:r>
      <w:r>
        <w:rPr>
          <w:color w:val="auto"/>
          <w:sz w:val="24"/>
        </w:rPr>
        <w:t>HT-WNS20180830021</w:t>
      </w:r>
      <w:r>
        <w:rPr>
          <w:rFonts w:hint="eastAsia"/>
          <w:color w:val="auto"/>
          <w:sz w:val="24"/>
        </w:rPr>
        <w:t>）的一个地下水监测点（GW3）的监测资料</w:t>
      </w:r>
      <w:r>
        <w:rPr>
          <w:color w:val="auto"/>
          <w:sz w:val="24"/>
        </w:rPr>
        <w:t>。具体位置见</w:t>
      </w:r>
      <w:r>
        <w:rPr>
          <w:rFonts w:hint="eastAsia"/>
          <w:color w:val="auto"/>
          <w:sz w:val="24"/>
        </w:rPr>
        <w:t>下表</w:t>
      </w:r>
      <w:r>
        <w:rPr>
          <w:color w:val="auto"/>
          <w:sz w:val="24"/>
        </w:rPr>
        <w:t>和</w:t>
      </w:r>
      <w:r>
        <w:rPr>
          <w:rFonts w:hint="eastAsia"/>
          <w:color w:val="auto"/>
          <w:sz w:val="24"/>
        </w:rPr>
        <w:t>下图</w:t>
      </w:r>
      <w:r>
        <w:rPr>
          <w:color w:val="auto"/>
          <w:sz w:val="24"/>
        </w:rPr>
        <w:t>。</w:t>
      </w:r>
    </w:p>
    <w:p>
      <w:pPr>
        <w:numPr>
          <w:ilvl w:val="3"/>
          <w:numId w:val="0"/>
        </w:numPr>
        <w:tabs>
          <w:tab w:val="left" w:pos="720"/>
        </w:tabs>
        <w:spacing w:line="360" w:lineRule="auto"/>
        <w:jc w:val="center"/>
        <w:rPr>
          <w:b/>
          <w:bCs/>
          <w:color w:val="auto"/>
          <w:szCs w:val="21"/>
        </w:rPr>
      </w:pPr>
      <w:r>
        <w:rPr>
          <w:rFonts w:hint="eastAsia"/>
          <w:b/>
          <w:bCs/>
          <w:color w:val="auto"/>
          <w:szCs w:val="21"/>
        </w:rPr>
        <w:t>表5.5-4  地下水水位水质监测点布置情况</w:t>
      </w:r>
    </w:p>
    <w:tbl>
      <w:tblPr>
        <w:tblStyle w:val="23"/>
        <w:tblW w:w="89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7"/>
        <w:gridCol w:w="3537"/>
        <w:gridCol w:w="3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pStyle w:val="33"/>
              <w:spacing w:line="25" w:lineRule="atLeast"/>
              <w:rPr>
                <w:bCs/>
                <w:color w:val="auto"/>
                <w:szCs w:val="21"/>
              </w:rPr>
            </w:pPr>
            <w:r>
              <w:rPr>
                <w:bCs/>
                <w:color w:val="auto"/>
                <w:szCs w:val="21"/>
              </w:rPr>
              <w:t>监测点编号</w:t>
            </w:r>
          </w:p>
        </w:tc>
        <w:tc>
          <w:tcPr>
            <w:tcW w:w="3537" w:type="dxa"/>
            <w:vAlign w:val="center"/>
          </w:tcPr>
          <w:p>
            <w:pPr>
              <w:pStyle w:val="33"/>
              <w:spacing w:line="25" w:lineRule="atLeast"/>
              <w:rPr>
                <w:bCs/>
                <w:color w:val="auto"/>
                <w:szCs w:val="21"/>
              </w:rPr>
            </w:pPr>
            <w:r>
              <w:rPr>
                <w:bCs/>
                <w:color w:val="auto"/>
                <w:szCs w:val="21"/>
              </w:rPr>
              <w:t>监测点位置</w:t>
            </w:r>
          </w:p>
        </w:tc>
        <w:tc>
          <w:tcPr>
            <w:tcW w:w="3530" w:type="dxa"/>
            <w:vAlign w:val="center"/>
          </w:tcPr>
          <w:p>
            <w:pPr>
              <w:pStyle w:val="33"/>
              <w:spacing w:line="25" w:lineRule="atLeast"/>
              <w:rPr>
                <w:bCs/>
                <w:color w:val="auto"/>
                <w:szCs w:val="21"/>
              </w:rPr>
            </w:pPr>
            <w:r>
              <w:rPr>
                <w:bCs/>
                <w:color w:val="auto"/>
                <w:szCs w:val="21"/>
              </w:rPr>
              <w:t>监测内容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napToGrid w:val="0"/>
              <w:spacing w:line="25" w:lineRule="atLeast"/>
              <w:jc w:val="center"/>
              <w:rPr>
                <w:bCs/>
                <w:color w:val="auto"/>
                <w:szCs w:val="21"/>
              </w:rPr>
            </w:pPr>
            <w:r>
              <w:rPr>
                <w:rFonts w:hint="eastAsia"/>
                <w:bCs/>
                <w:color w:val="auto"/>
                <w:szCs w:val="21"/>
              </w:rPr>
              <w:t>U1</w:t>
            </w:r>
          </w:p>
        </w:tc>
        <w:tc>
          <w:tcPr>
            <w:tcW w:w="3537" w:type="dxa"/>
            <w:vAlign w:val="center"/>
          </w:tcPr>
          <w:p>
            <w:pPr>
              <w:spacing w:line="25" w:lineRule="atLeast"/>
              <w:jc w:val="center"/>
              <w:rPr>
                <w:bCs/>
                <w:color w:val="auto"/>
                <w:kern w:val="0"/>
                <w:szCs w:val="21"/>
              </w:rPr>
            </w:pPr>
            <w:r>
              <w:rPr>
                <w:bCs/>
                <w:color w:val="auto"/>
                <w:kern w:val="0"/>
                <w:szCs w:val="21"/>
              </w:rPr>
              <w:t>界牌村</w:t>
            </w:r>
          </w:p>
        </w:tc>
        <w:tc>
          <w:tcPr>
            <w:tcW w:w="3530" w:type="dxa"/>
            <w:vMerge w:val="restart"/>
            <w:vAlign w:val="center"/>
          </w:tcPr>
          <w:p>
            <w:pPr>
              <w:spacing w:line="25" w:lineRule="atLeast"/>
              <w:jc w:val="center"/>
              <w:rPr>
                <w:bCs/>
                <w:color w:val="auto"/>
                <w:szCs w:val="21"/>
              </w:rPr>
            </w:pPr>
            <w:r>
              <w:rPr>
                <w:bCs/>
                <w:color w:val="auto"/>
                <w:szCs w:val="21"/>
              </w:rPr>
              <w:t>水质及水位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napToGrid w:val="0"/>
              <w:spacing w:line="25" w:lineRule="atLeast"/>
              <w:jc w:val="center"/>
              <w:rPr>
                <w:color w:val="auto"/>
                <w:szCs w:val="21"/>
              </w:rPr>
            </w:pPr>
            <w:r>
              <w:rPr>
                <w:color w:val="auto"/>
                <w:szCs w:val="21"/>
              </w:rPr>
              <w:t>U2</w:t>
            </w:r>
          </w:p>
        </w:tc>
        <w:tc>
          <w:tcPr>
            <w:tcW w:w="3537" w:type="dxa"/>
            <w:vAlign w:val="center"/>
          </w:tcPr>
          <w:p>
            <w:pPr>
              <w:spacing w:line="25" w:lineRule="atLeast"/>
              <w:jc w:val="center"/>
              <w:rPr>
                <w:color w:val="auto"/>
                <w:szCs w:val="21"/>
              </w:rPr>
            </w:pPr>
            <w:r>
              <w:rPr>
                <w:color w:val="auto"/>
                <w:kern w:val="0"/>
                <w:szCs w:val="21"/>
              </w:rPr>
              <w:t>项目内卷材生产区北面角落</w:t>
            </w:r>
          </w:p>
        </w:tc>
        <w:tc>
          <w:tcPr>
            <w:tcW w:w="3530" w:type="dxa"/>
            <w:vMerge w:val="continue"/>
            <w:vAlign w:val="center"/>
          </w:tcPr>
          <w:p>
            <w:pPr>
              <w:spacing w:line="25" w:lineRule="atLeas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napToGrid w:val="0"/>
              <w:spacing w:line="25" w:lineRule="atLeast"/>
              <w:jc w:val="center"/>
              <w:rPr>
                <w:color w:val="auto"/>
                <w:szCs w:val="21"/>
              </w:rPr>
            </w:pPr>
            <w:r>
              <w:rPr>
                <w:color w:val="auto"/>
                <w:szCs w:val="21"/>
              </w:rPr>
              <w:t>U3</w:t>
            </w:r>
          </w:p>
        </w:tc>
        <w:tc>
          <w:tcPr>
            <w:tcW w:w="3537" w:type="dxa"/>
            <w:vAlign w:val="center"/>
          </w:tcPr>
          <w:p>
            <w:pPr>
              <w:spacing w:line="25" w:lineRule="atLeast"/>
              <w:jc w:val="center"/>
              <w:rPr>
                <w:color w:val="auto"/>
                <w:szCs w:val="21"/>
              </w:rPr>
            </w:pPr>
            <w:r>
              <w:rPr>
                <w:color w:val="auto"/>
                <w:szCs w:val="21"/>
              </w:rPr>
              <w:t>项目西面700m处</w:t>
            </w:r>
          </w:p>
        </w:tc>
        <w:tc>
          <w:tcPr>
            <w:tcW w:w="3530" w:type="dxa"/>
            <w:vMerge w:val="continue"/>
            <w:vAlign w:val="center"/>
          </w:tcPr>
          <w:p>
            <w:pPr>
              <w:spacing w:line="25" w:lineRule="atLeas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napToGrid w:val="0"/>
              <w:spacing w:line="25" w:lineRule="atLeast"/>
              <w:jc w:val="center"/>
              <w:rPr>
                <w:color w:val="auto"/>
                <w:szCs w:val="21"/>
              </w:rPr>
            </w:pPr>
            <w:r>
              <w:rPr>
                <w:color w:val="auto"/>
                <w:szCs w:val="21"/>
              </w:rPr>
              <w:t>U4</w:t>
            </w:r>
          </w:p>
        </w:tc>
        <w:tc>
          <w:tcPr>
            <w:tcW w:w="3537" w:type="dxa"/>
            <w:vAlign w:val="center"/>
          </w:tcPr>
          <w:p>
            <w:pPr>
              <w:spacing w:line="25" w:lineRule="atLeast"/>
              <w:jc w:val="center"/>
              <w:rPr>
                <w:color w:val="auto"/>
                <w:szCs w:val="21"/>
              </w:rPr>
            </w:pPr>
            <w:r>
              <w:rPr>
                <w:color w:val="auto"/>
                <w:szCs w:val="21"/>
              </w:rPr>
              <w:t>项目东面空地</w:t>
            </w:r>
          </w:p>
        </w:tc>
        <w:tc>
          <w:tcPr>
            <w:tcW w:w="3530" w:type="dxa"/>
            <w:vMerge w:val="continue"/>
            <w:vAlign w:val="center"/>
          </w:tcPr>
          <w:p>
            <w:pPr>
              <w:spacing w:line="25" w:lineRule="atLeas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napToGrid w:val="0"/>
              <w:spacing w:line="25" w:lineRule="atLeast"/>
              <w:jc w:val="center"/>
              <w:rPr>
                <w:color w:val="auto"/>
                <w:szCs w:val="21"/>
              </w:rPr>
            </w:pPr>
            <w:r>
              <w:rPr>
                <w:color w:val="auto"/>
                <w:szCs w:val="21"/>
              </w:rPr>
              <w:t>U5</w:t>
            </w:r>
          </w:p>
        </w:tc>
        <w:tc>
          <w:tcPr>
            <w:tcW w:w="3537" w:type="dxa"/>
            <w:vAlign w:val="center"/>
          </w:tcPr>
          <w:p>
            <w:pPr>
              <w:spacing w:line="25" w:lineRule="atLeast"/>
              <w:jc w:val="center"/>
              <w:rPr>
                <w:color w:val="auto"/>
                <w:szCs w:val="21"/>
              </w:rPr>
            </w:pPr>
            <w:r>
              <w:rPr>
                <w:color w:val="auto"/>
                <w:szCs w:val="21"/>
              </w:rPr>
              <w:t>项目外西南方空地</w:t>
            </w:r>
          </w:p>
        </w:tc>
        <w:tc>
          <w:tcPr>
            <w:tcW w:w="3530" w:type="dxa"/>
            <w:vMerge w:val="continue"/>
            <w:vAlign w:val="center"/>
          </w:tcPr>
          <w:p>
            <w:pPr>
              <w:spacing w:line="25" w:lineRule="atLeas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7" w:type="dxa"/>
            <w:vAlign w:val="center"/>
          </w:tcPr>
          <w:p>
            <w:pPr>
              <w:spacing w:line="25" w:lineRule="atLeast"/>
              <w:jc w:val="center"/>
              <w:rPr>
                <w:color w:val="auto"/>
                <w:szCs w:val="21"/>
              </w:rPr>
            </w:pPr>
            <w:r>
              <w:rPr>
                <w:rFonts w:hint="eastAsia"/>
                <w:color w:val="auto"/>
                <w:szCs w:val="21"/>
              </w:rPr>
              <w:t>GW3</w:t>
            </w:r>
          </w:p>
        </w:tc>
        <w:tc>
          <w:tcPr>
            <w:tcW w:w="3537" w:type="dxa"/>
            <w:vAlign w:val="center"/>
          </w:tcPr>
          <w:p>
            <w:pPr>
              <w:spacing w:line="25" w:lineRule="atLeast"/>
              <w:jc w:val="center"/>
              <w:rPr>
                <w:color w:val="auto"/>
                <w:szCs w:val="21"/>
              </w:rPr>
            </w:pPr>
            <w:r>
              <w:rPr>
                <w:rFonts w:hint="eastAsia"/>
                <w:color w:val="auto"/>
                <w:szCs w:val="21"/>
              </w:rPr>
              <w:t>项目外东侧约800m处</w:t>
            </w:r>
          </w:p>
        </w:tc>
        <w:tc>
          <w:tcPr>
            <w:tcW w:w="3530" w:type="dxa"/>
            <w:vAlign w:val="center"/>
          </w:tcPr>
          <w:p>
            <w:pPr>
              <w:spacing w:line="25" w:lineRule="atLeast"/>
              <w:jc w:val="center"/>
              <w:rPr>
                <w:color w:val="auto"/>
                <w:szCs w:val="21"/>
              </w:rPr>
            </w:pPr>
            <w:r>
              <w:rPr>
                <w:rFonts w:hint="eastAsia"/>
                <w:color w:val="auto"/>
                <w:szCs w:val="21"/>
              </w:rPr>
              <w:t>水位</w:t>
            </w:r>
          </w:p>
        </w:tc>
      </w:tr>
    </w:tbl>
    <w:p>
      <w:pPr>
        <w:numPr>
          <w:ilvl w:val="3"/>
          <w:numId w:val="0"/>
        </w:numPr>
        <w:tabs>
          <w:tab w:val="left" w:pos="360"/>
          <w:tab w:val="left" w:pos="567"/>
          <w:tab w:val="left" w:pos="851"/>
        </w:tabs>
        <w:snapToGrid w:val="0"/>
        <w:jc w:val="both"/>
        <w:outlineLvl w:val="9"/>
        <w:rPr>
          <w:color w:val="auto"/>
        </w:rPr>
      </w:pPr>
      <w:r>
        <w:rPr>
          <w:rFonts w:hint="eastAsia"/>
          <w:color w:val="auto"/>
        </w:rPr>
        <w:drawing>
          <wp:inline distT="0" distB="0" distL="114300" distR="114300">
            <wp:extent cx="5612765" cy="4877435"/>
            <wp:effectExtent l="0" t="0" r="10795" b="14605"/>
            <wp:docPr id="103" name="图片 103" descr="3d68733229cc112088c741b7c706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d68733229cc112088c741b7c706df2"/>
                    <pic:cNvPicPr>
                      <a:picLocks noChangeAspect="1"/>
                    </pic:cNvPicPr>
                  </pic:nvPicPr>
                  <pic:blipFill>
                    <a:blip r:embed="rId73"/>
                    <a:stretch>
                      <a:fillRect/>
                    </a:stretch>
                  </pic:blipFill>
                  <pic:spPr>
                    <a:xfrm>
                      <a:off x="0" y="0"/>
                      <a:ext cx="5612765" cy="4877435"/>
                    </a:xfrm>
                    <a:prstGeom prst="rect">
                      <a:avLst/>
                    </a:prstGeom>
                  </pic:spPr>
                </pic:pic>
              </a:graphicData>
            </a:graphic>
          </wp:inline>
        </w:drawing>
      </w:r>
    </w:p>
    <w:p>
      <w:pPr>
        <w:jc w:val="center"/>
        <w:rPr>
          <w:b/>
          <w:bCs/>
          <w:color w:val="auto"/>
          <w:sz w:val="24"/>
        </w:rPr>
      </w:pPr>
      <w:r>
        <w:rPr>
          <w:rFonts w:hint="eastAsia"/>
          <w:b/>
          <w:bCs/>
          <w:color w:val="auto"/>
          <w:sz w:val="24"/>
        </w:rPr>
        <w:t>图5.5-3  地下水监测点布置图</w:t>
      </w:r>
    </w:p>
    <w:p>
      <w:pPr>
        <w:numPr>
          <w:ilvl w:val="3"/>
          <w:numId w:val="0"/>
        </w:numPr>
        <w:tabs>
          <w:tab w:val="left" w:pos="360"/>
          <w:tab w:val="left" w:pos="567"/>
          <w:tab w:val="left" w:pos="851"/>
        </w:tabs>
        <w:snapToGrid w:val="0"/>
        <w:spacing w:line="360" w:lineRule="auto"/>
        <w:jc w:val="center"/>
        <w:rPr>
          <w:rFonts w:hint="eastAsia"/>
          <w:b/>
          <w:bCs/>
          <w:color w:val="auto"/>
          <w:szCs w:val="21"/>
        </w:rPr>
      </w:pPr>
    </w:p>
    <w:p>
      <w:pPr>
        <w:numPr>
          <w:ilvl w:val="3"/>
          <w:numId w:val="0"/>
        </w:numPr>
        <w:tabs>
          <w:tab w:val="left" w:pos="360"/>
          <w:tab w:val="left" w:pos="567"/>
          <w:tab w:val="left" w:pos="851"/>
        </w:tabs>
        <w:snapToGrid w:val="0"/>
        <w:spacing w:line="360" w:lineRule="auto"/>
        <w:jc w:val="center"/>
        <w:rPr>
          <w:b/>
          <w:bCs/>
          <w:color w:val="auto"/>
          <w:szCs w:val="21"/>
        </w:rPr>
      </w:pPr>
      <w:r>
        <w:rPr>
          <w:rFonts w:hint="eastAsia"/>
          <w:b/>
          <w:bCs/>
          <w:color w:val="auto"/>
          <w:szCs w:val="21"/>
        </w:rPr>
        <w:t>表5.5-5  地下水水位监测情况</w:t>
      </w:r>
    </w:p>
    <w:tbl>
      <w:tblPr>
        <w:tblStyle w:val="23"/>
        <w:tblW w:w="8758" w:type="dxa"/>
        <w:jc w:val="center"/>
        <w:tblLayout w:type="fixed"/>
        <w:tblCellMar>
          <w:top w:w="15" w:type="dxa"/>
          <w:left w:w="15" w:type="dxa"/>
          <w:bottom w:w="15" w:type="dxa"/>
          <w:right w:w="15" w:type="dxa"/>
        </w:tblCellMar>
      </w:tblPr>
      <w:tblGrid>
        <w:gridCol w:w="2919"/>
        <w:gridCol w:w="2919"/>
        <w:gridCol w:w="2920"/>
      </w:tblGrid>
      <w:tr>
        <w:tblPrEx>
          <w:tblCellMar>
            <w:top w:w="15" w:type="dxa"/>
            <w:left w:w="15" w:type="dxa"/>
            <w:bottom w:w="15" w:type="dxa"/>
            <w:right w:w="15" w:type="dxa"/>
          </w:tblCellMar>
        </w:tblPrEx>
        <w:trPr>
          <w:trHeight w:val="397" w:hRule="atLeast"/>
          <w:tblHeader/>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监测点编号</w:t>
            </w:r>
          </w:p>
        </w:tc>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监测时间</w:t>
            </w: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水位（m）</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U1</w:t>
            </w:r>
          </w:p>
        </w:tc>
        <w:tc>
          <w:tcPr>
            <w:tcW w:w="2919" w:type="dxa"/>
            <w:vMerge w:val="restart"/>
            <w:tcBorders>
              <w:top w:val="single" w:color="auto" w:sz="4" w:space="0"/>
              <w:left w:val="single" w:color="auto" w:sz="4" w:space="0"/>
              <w:right w:val="single" w:color="auto" w:sz="4" w:space="0"/>
            </w:tcBorders>
            <w:vAlign w:val="center"/>
          </w:tcPr>
          <w:p>
            <w:pPr>
              <w:spacing w:line="300" w:lineRule="auto"/>
              <w:jc w:val="center"/>
              <w:rPr>
                <w:bCs/>
                <w:color w:val="auto"/>
                <w:szCs w:val="21"/>
              </w:rPr>
            </w:pPr>
            <w:r>
              <w:rPr>
                <w:bCs/>
                <w:color w:val="auto"/>
                <w:szCs w:val="21"/>
              </w:rPr>
              <w:t>2020年5月20日</w:t>
            </w: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5.7</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U2</w:t>
            </w:r>
          </w:p>
        </w:tc>
        <w:tc>
          <w:tcPr>
            <w:tcW w:w="2919" w:type="dxa"/>
            <w:vMerge w:val="continue"/>
            <w:tcBorders>
              <w:left w:val="single" w:color="auto" w:sz="4" w:space="0"/>
              <w:right w:val="single" w:color="auto" w:sz="4" w:space="0"/>
            </w:tcBorders>
            <w:vAlign w:val="center"/>
          </w:tcPr>
          <w:p>
            <w:pPr>
              <w:spacing w:line="300" w:lineRule="auto"/>
              <w:jc w:val="center"/>
              <w:rPr>
                <w:bCs/>
                <w:color w:val="auto"/>
                <w:szCs w:val="21"/>
              </w:rPr>
            </w:pP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3.3</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U3</w:t>
            </w:r>
          </w:p>
        </w:tc>
        <w:tc>
          <w:tcPr>
            <w:tcW w:w="2919" w:type="dxa"/>
            <w:vMerge w:val="continue"/>
            <w:tcBorders>
              <w:left w:val="single" w:color="auto" w:sz="4" w:space="0"/>
              <w:right w:val="single" w:color="auto" w:sz="4" w:space="0"/>
            </w:tcBorders>
            <w:vAlign w:val="center"/>
          </w:tcPr>
          <w:p>
            <w:pPr>
              <w:spacing w:line="300" w:lineRule="auto"/>
              <w:jc w:val="center"/>
              <w:rPr>
                <w:bCs/>
                <w:color w:val="auto"/>
                <w:szCs w:val="21"/>
              </w:rPr>
            </w:pP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3.1</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U4</w:t>
            </w:r>
          </w:p>
        </w:tc>
        <w:tc>
          <w:tcPr>
            <w:tcW w:w="2919" w:type="dxa"/>
            <w:vMerge w:val="continue"/>
            <w:tcBorders>
              <w:left w:val="single" w:color="auto" w:sz="4" w:space="0"/>
              <w:right w:val="single" w:color="auto" w:sz="4" w:space="0"/>
            </w:tcBorders>
            <w:vAlign w:val="center"/>
          </w:tcPr>
          <w:p>
            <w:pPr>
              <w:spacing w:line="300" w:lineRule="auto"/>
              <w:jc w:val="center"/>
              <w:rPr>
                <w:bCs/>
                <w:color w:val="auto"/>
                <w:szCs w:val="21"/>
              </w:rPr>
            </w:pP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3.6</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U5</w:t>
            </w:r>
          </w:p>
        </w:tc>
        <w:tc>
          <w:tcPr>
            <w:tcW w:w="2919" w:type="dxa"/>
            <w:tcBorders>
              <w:left w:val="single" w:color="auto" w:sz="4" w:space="0"/>
              <w:bottom w:val="single" w:color="auto" w:sz="4" w:space="0"/>
              <w:right w:val="single" w:color="auto" w:sz="4" w:space="0"/>
            </w:tcBorders>
            <w:vAlign w:val="center"/>
          </w:tcPr>
          <w:p>
            <w:pPr>
              <w:spacing w:line="300" w:lineRule="auto"/>
              <w:jc w:val="center"/>
              <w:rPr>
                <w:bCs/>
                <w:color w:val="auto"/>
                <w:szCs w:val="21"/>
              </w:rPr>
            </w:pPr>
          </w:p>
        </w:tc>
        <w:tc>
          <w:tcPr>
            <w:tcW w:w="2920" w:type="dxa"/>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textAlignment w:val="center"/>
              <w:rPr>
                <w:bCs/>
                <w:color w:val="auto"/>
                <w:kern w:val="0"/>
                <w:szCs w:val="21"/>
                <w:lang w:bidi="ar"/>
              </w:rPr>
            </w:pPr>
            <w:r>
              <w:rPr>
                <w:bCs/>
                <w:color w:val="auto"/>
                <w:kern w:val="0"/>
                <w:szCs w:val="21"/>
                <w:lang w:bidi="ar"/>
              </w:rPr>
              <w:t>2.8</w:t>
            </w:r>
          </w:p>
        </w:tc>
      </w:tr>
      <w:tr>
        <w:tblPrEx>
          <w:tblCellMar>
            <w:top w:w="15" w:type="dxa"/>
            <w:left w:w="15" w:type="dxa"/>
            <w:bottom w:w="15" w:type="dxa"/>
            <w:right w:w="15" w:type="dxa"/>
          </w:tblCellMar>
        </w:tblPrEx>
        <w:trPr>
          <w:trHeight w:val="397" w:hRule="atLeast"/>
          <w:jc w:val="center"/>
        </w:trPr>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rFonts w:hint="eastAsia"/>
                <w:bCs/>
                <w:color w:val="auto"/>
                <w:szCs w:val="21"/>
              </w:rPr>
              <w:t>GW3</w:t>
            </w:r>
          </w:p>
        </w:tc>
        <w:tc>
          <w:tcPr>
            <w:tcW w:w="291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bCs/>
                <w:color w:val="auto"/>
                <w:szCs w:val="21"/>
              </w:rPr>
              <w:t>2018年8月17日~18日</w:t>
            </w:r>
          </w:p>
        </w:tc>
        <w:tc>
          <w:tcPr>
            <w:tcW w:w="2920"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szCs w:val="21"/>
              </w:rPr>
            </w:pPr>
            <w:r>
              <w:rPr>
                <w:rFonts w:hint="eastAsia"/>
                <w:bCs/>
                <w:color w:val="auto"/>
                <w:szCs w:val="21"/>
              </w:rPr>
              <w:t>1.9</w:t>
            </w:r>
          </w:p>
        </w:tc>
      </w:tr>
    </w:tbl>
    <w:p>
      <w:pPr>
        <w:pStyle w:val="8"/>
        <w:numPr>
          <w:ilvl w:val="3"/>
          <w:numId w:val="0"/>
        </w:numPr>
        <w:tabs>
          <w:tab w:val="left" w:pos="360"/>
          <w:tab w:val="left" w:pos="567"/>
          <w:tab w:val="left" w:pos="851"/>
          <w:tab w:val="clear" w:pos="720"/>
        </w:tabs>
        <w:snapToGrid w:val="0"/>
        <w:rPr>
          <w:color w:val="auto"/>
        </w:rPr>
      </w:pPr>
      <w:r>
        <w:rPr>
          <w:rFonts w:hint="eastAsia"/>
          <w:color w:val="auto"/>
        </w:rPr>
        <w:t xml:space="preserve">5.5.2.6  </w:t>
      </w:r>
      <w:r>
        <w:rPr>
          <w:color w:val="auto"/>
        </w:rPr>
        <w:t>包气带特征</w:t>
      </w:r>
    </w:p>
    <w:p>
      <w:pPr>
        <w:spacing w:line="360" w:lineRule="auto"/>
        <w:ind w:firstLine="480" w:firstLineChars="200"/>
        <w:rPr>
          <w:color w:val="auto"/>
          <w:sz w:val="24"/>
        </w:rPr>
      </w:pPr>
      <w:r>
        <w:rPr>
          <w:color w:val="auto"/>
          <w:sz w:val="24"/>
        </w:rPr>
        <w:t>建设场地及周边</w:t>
      </w:r>
      <w:r>
        <w:rPr>
          <w:rFonts w:hint="eastAsia"/>
          <w:color w:val="auto"/>
          <w:sz w:val="24"/>
        </w:rPr>
        <w:t>潜水</w:t>
      </w:r>
      <w:r>
        <w:rPr>
          <w:color w:val="auto"/>
          <w:sz w:val="24"/>
        </w:rPr>
        <w:t>水位埋深为</w:t>
      </w:r>
      <w:r>
        <w:rPr>
          <w:rFonts w:hint="eastAsia"/>
          <w:color w:val="auto"/>
          <w:sz w:val="24"/>
        </w:rPr>
        <w:t>5.7~1.9</w:t>
      </w:r>
      <w:r>
        <w:rPr>
          <w:color w:val="auto"/>
          <w:sz w:val="24"/>
        </w:rPr>
        <w:t>m，因此，建设场地包气带厚度亦为</w:t>
      </w:r>
      <w:r>
        <w:rPr>
          <w:rFonts w:hint="eastAsia"/>
          <w:color w:val="auto"/>
          <w:sz w:val="24"/>
        </w:rPr>
        <w:t>5.7~1.9</w:t>
      </w:r>
      <w:r>
        <w:rPr>
          <w:color w:val="auto"/>
          <w:sz w:val="24"/>
        </w:rPr>
        <w:t>m，包气带岩性主要为人工回填的</w:t>
      </w:r>
      <w:r>
        <w:rPr>
          <w:rFonts w:hint="eastAsia"/>
          <w:color w:val="auto"/>
          <w:sz w:val="24"/>
        </w:rPr>
        <w:t>粉质粘土、砂粒和少量碎石组成。</w:t>
      </w:r>
      <w:r>
        <w:rPr>
          <w:color w:val="auto"/>
          <w:sz w:val="24"/>
        </w:rPr>
        <w:t>根据试坑渗水试验成果和室内土工试验成果，结合地区经验，本项目场地包气带土层渗透系数为3.1×10</w:t>
      </w:r>
      <w:r>
        <w:rPr>
          <w:color w:val="auto"/>
          <w:sz w:val="24"/>
          <w:vertAlign w:val="superscript"/>
        </w:rPr>
        <w:t>-6</w:t>
      </w:r>
      <w:r>
        <w:rPr>
          <w:color w:val="auto"/>
          <w:sz w:val="24"/>
        </w:rPr>
        <w:t>～4.3×10</w:t>
      </w:r>
      <w:r>
        <w:rPr>
          <w:color w:val="auto"/>
          <w:sz w:val="24"/>
          <w:vertAlign w:val="superscript"/>
        </w:rPr>
        <w:t>-5</w:t>
      </w:r>
      <w:r>
        <w:rPr>
          <w:color w:val="auto"/>
          <w:sz w:val="24"/>
        </w:rPr>
        <w:t>cm/s不等，属弱透水层。</w:t>
      </w:r>
      <w:r>
        <w:rPr>
          <w:rFonts w:hint="eastAsia"/>
          <w:color w:val="auto"/>
          <w:sz w:val="24"/>
        </w:rPr>
        <w:t>根据《环境影响评价导则  地下水环境》（HJ 610-2016），天然包气带防污性能分级如下表。</w:t>
      </w:r>
    </w:p>
    <w:p>
      <w:pPr>
        <w:pStyle w:val="35"/>
        <w:spacing w:before="159" w:beforeLines="50" w:after="0" w:line="360" w:lineRule="auto"/>
        <w:rPr>
          <w:rFonts w:eastAsia="宋体"/>
          <w:color w:val="auto"/>
          <w:sz w:val="21"/>
          <w:szCs w:val="21"/>
        </w:rPr>
      </w:pPr>
      <w:r>
        <w:rPr>
          <w:rFonts w:eastAsia="宋体"/>
          <w:color w:val="auto"/>
          <w:sz w:val="21"/>
          <w:szCs w:val="21"/>
        </w:rPr>
        <w:t>表5.5-</w:t>
      </w:r>
      <w:r>
        <w:rPr>
          <w:rFonts w:hint="eastAsia" w:eastAsia="宋体"/>
          <w:color w:val="auto"/>
          <w:sz w:val="21"/>
          <w:szCs w:val="21"/>
        </w:rPr>
        <w:t xml:space="preserve">6 </w:t>
      </w:r>
      <w:r>
        <w:rPr>
          <w:rFonts w:eastAsia="宋体"/>
          <w:color w:val="auto"/>
          <w:sz w:val="21"/>
          <w:szCs w:val="21"/>
        </w:rPr>
        <w:t xml:space="preserve"> </w:t>
      </w:r>
      <w:r>
        <w:rPr>
          <w:rFonts w:hint="eastAsia" w:eastAsia="宋体"/>
          <w:color w:val="auto"/>
          <w:sz w:val="21"/>
          <w:szCs w:val="21"/>
        </w:rPr>
        <w:t>天然</w:t>
      </w:r>
      <w:r>
        <w:rPr>
          <w:rFonts w:eastAsia="宋体"/>
          <w:color w:val="auto"/>
          <w:sz w:val="21"/>
          <w:szCs w:val="21"/>
        </w:rPr>
        <w:t>包气带防污性能</w:t>
      </w:r>
      <w:r>
        <w:rPr>
          <w:rFonts w:hint="eastAsia" w:eastAsia="宋体"/>
          <w:color w:val="auto"/>
          <w:sz w:val="21"/>
          <w:szCs w:val="21"/>
        </w:rPr>
        <w:t>分级参照表</w:t>
      </w:r>
    </w:p>
    <w:tbl>
      <w:tblPr>
        <w:tblStyle w:val="23"/>
        <w:tblW w:w="9066" w:type="dxa"/>
        <w:tblInd w:w="-11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97"/>
        <w:gridCol w:w="83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697"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rPr>
            </w:pPr>
            <w:r>
              <w:rPr>
                <w:bCs/>
                <w:color w:val="auto"/>
              </w:rPr>
              <w:t>分类</w:t>
            </w:r>
          </w:p>
        </w:tc>
        <w:tc>
          <w:tcPr>
            <w:tcW w:w="836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bCs/>
                <w:color w:val="auto"/>
              </w:rPr>
            </w:pPr>
            <w:r>
              <w:rPr>
                <w:bCs/>
                <w:color w:val="auto"/>
              </w:rPr>
              <w:t>包气带岩土的渗透性能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97"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rPr>
            </w:pPr>
            <w:r>
              <w:rPr>
                <w:color w:val="auto"/>
              </w:rPr>
              <w:t>强</w:t>
            </w:r>
          </w:p>
        </w:tc>
        <w:tc>
          <w:tcPr>
            <w:tcW w:w="836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rPr>
            </w:pPr>
            <w:r>
              <w:rPr>
                <w:rFonts w:hint="eastAsia"/>
                <w:color w:val="auto"/>
              </w:rPr>
              <w:t>岩（</w:t>
            </w:r>
            <w:r>
              <w:rPr>
                <w:color w:val="auto"/>
              </w:rPr>
              <w:t>土</w:t>
            </w:r>
            <w:r>
              <w:rPr>
                <w:rFonts w:hint="eastAsia"/>
                <w:color w:val="auto"/>
              </w:rPr>
              <w:t>）</w:t>
            </w:r>
            <w:r>
              <w:rPr>
                <w:color w:val="auto"/>
              </w:rPr>
              <w:t>单层厚度Mb</w:t>
            </w:r>
            <w:r>
              <w:rPr>
                <w:rFonts w:hint="eastAsia"/>
                <w:color w:val="auto"/>
              </w:rPr>
              <w:t>≥</w:t>
            </w:r>
            <w:r>
              <w:rPr>
                <w:color w:val="auto"/>
              </w:rPr>
              <w:t>1.0m</w:t>
            </w:r>
            <w:r>
              <w:rPr>
                <w:rFonts w:hint="eastAsia"/>
                <w:color w:val="auto"/>
              </w:rPr>
              <w:t>，渗透系数k≤1×10</w:t>
            </w:r>
            <w:r>
              <w:rPr>
                <w:rFonts w:hint="eastAsia"/>
                <w:color w:val="auto"/>
                <w:vertAlign w:val="superscript"/>
              </w:rPr>
              <w:t>-6</w:t>
            </w:r>
            <w:r>
              <w:rPr>
                <w:rFonts w:hint="eastAsia"/>
                <w:color w:val="auto"/>
              </w:rPr>
              <w:t>cm/s，且分布连续、稳定。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97"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rPr>
            </w:pPr>
            <w:r>
              <w:rPr>
                <w:color w:val="auto"/>
              </w:rPr>
              <w:t>中</w:t>
            </w:r>
          </w:p>
        </w:tc>
        <w:tc>
          <w:tcPr>
            <w:tcW w:w="8369" w:type="dxa"/>
            <w:tcBorders>
              <w:top w:val="single" w:color="auto" w:sz="4" w:space="0"/>
              <w:left w:val="single" w:color="auto" w:sz="4" w:space="0"/>
              <w:bottom w:val="single" w:color="auto" w:sz="4" w:space="0"/>
              <w:right w:val="single" w:color="auto" w:sz="4" w:space="0"/>
            </w:tcBorders>
            <w:vAlign w:val="center"/>
          </w:tcPr>
          <w:p>
            <w:pPr>
              <w:spacing w:line="300" w:lineRule="auto"/>
              <w:jc w:val="both"/>
              <w:rPr>
                <w:rFonts w:hint="eastAsia"/>
                <w:color w:val="auto"/>
              </w:rPr>
            </w:pPr>
            <w:r>
              <w:rPr>
                <w:rFonts w:hint="eastAsia"/>
                <w:color w:val="auto"/>
              </w:rPr>
              <w:t>岩（</w:t>
            </w:r>
            <w:r>
              <w:rPr>
                <w:color w:val="auto"/>
              </w:rPr>
              <w:t>土</w:t>
            </w:r>
            <w:r>
              <w:rPr>
                <w:rFonts w:hint="eastAsia"/>
                <w:color w:val="auto"/>
              </w:rPr>
              <w:t>）</w:t>
            </w:r>
            <w:r>
              <w:rPr>
                <w:color w:val="auto"/>
              </w:rPr>
              <w:t>单层厚度</w:t>
            </w:r>
            <w:r>
              <w:rPr>
                <w:rFonts w:hint="eastAsia"/>
                <w:color w:val="auto"/>
              </w:rPr>
              <w:t>0.5m≤</w:t>
            </w:r>
            <w:r>
              <w:rPr>
                <w:color w:val="auto"/>
              </w:rPr>
              <w:t>Mb</w:t>
            </w:r>
            <w:r>
              <w:rPr>
                <w:rFonts w:hint="eastAsia"/>
                <w:color w:val="auto"/>
              </w:rPr>
              <w:t>≤</w:t>
            </w:r>
            <w:r>
              <w:rPr>
                <w:color w:val="auto"/>
              </w:rPr>
              <w:t>1.0m</w:t>
            </w:r>
            <w:r>
              <w:rPr>
                <w:rFonts w:hint="eastAsia"/>
                <w:color w:val="auto"/>
              </w:rPr>
              <w:t>，渗透系数k≤1×10</w:t>
            </w:r>
            <w:r>
              <w:rPr>
                <w:rFonts w:hint="eastAsia"/>
                <w:color w:val="auto"/>
                <w:vertAlign w:val="superscript"/>
              </w:rPr>
              <w:t>-6</w:t>
            </w:r>
            <w:r>
              <w:rPr>
                <w:rFonts w:hint="eastAsia"/>
                <w:color w:val="auto"/>
              </w:rPr>
              <w:t>cm/s，且分布连续、稳定。</w:t>
            </w:r>
          </w:p>
          <w:p>
            <w:pPr>
              <w:spacing w:line="300" w:lineRule="auto"/>
              <w:jc w:val="both"/>
              <w:rPr>
                <w:color w:val="auto"/>
              </w:rPr>
            </w:pPr>
            <w:r>
              <w:rPr>
                <w:rFonts w:hint="eastAsia"/>
                <w:color w:val="auto"/>
              </w:rPr>
              <w:t>岩（</w:t>
            </w:r>
            <w:r>
              <w:rPr>
                <w:color w:val="auto"/>
              </w:rPr>
              <w:t>土</w:t>
            </w:r>
            <w:r>
              <w:rPr>
                <w:rFonts w:hint="eastAsia"/>
                <w:color w:val="auto"/>
              </w:rPr>
              <w:t>）</w:t>
            </w:r>
            <w:r>
              <w:rPr>
                <w:color w:val="auto"/>
              </w:rPr>
              <w:t>单层厚度Mb</w:t>
            </w:r>
            <w:r>
              <w:rPr>
                <w:rFonts w:hint="eastAsia"/>
                <w:color w:val="auto"/>
              </w:rPr>
              <w:t>≥</w:t>
            </w:r>
            <w:r>
              <w:rPr>
                <w:color w:val="auto"/>
              </w:rPr>
              <w:t>1.0m</w:t>
            </w:r>
            <w:r>
              <w:rPr>
                <w:rFonts w:hint="eastAsia"/>
                <w:color w:val="auto"/>
              </w:rPr>
              <w:t>，渗透系数1×10</w:t>
            </w:r>
            <w:r>
              <w:rPr>
                <w:rFonts w:hint="eastAsia"/>
                <w:color w:val="auto"/>
                <w:vertAlign w:val="superscript"/>
              </w:rPr>
              <w:t>-6</w:t>
            </w:r>
            <w:r>
              <w:rPr>
                <w:rFonts w:hint="eastAsia"/>
                <w:color w:val="auto"/>
              </w:rPr>
              <w:t>cm/s≤k≤1×10</w:t>
            </w:r>
            <w:r>
              <w:rPr>
                <w:rFonts w:hint="eastAsia"/>
                <w:color w:val="auto"/>
                <w:vertAlign w:val="superscript"/>
              </w:rPr>
              <w:t>-4</w:t>
            </w:r>
            <w:r>
              <w:rPr>
                <w:rFonts w:hint="eastAsia"/>
                <w:color w:val="auto"/>
              </w:rPr>
              <w:t>cm/s，且分布连续、稳定。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97"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rPr>
            </w:pPr>
            <w:r>
              <w:rPr>
                <w:color w:val="auto"/>
              </w:rPr>
              <w:t>弱</w:t>
            </w:r>
          </w:p>
        </w:tc>
        <w:tc>
          <w:tcPr>
            <w:tcW w:w="8369" w:type="dxa"/>
            <w:tcBorders>
              <w:top w:val="single" w:color="auto" w:sz="4" w:space="0"/>
              <w:left w:val="single" w:color="auto" w:sz="4" w:space="0"/>
              <w:bottom w:val="single" w:color="auto" w:sz="4" w:space="0"/>
              <w:right w:val="single" w:color="auto" w:sz="4" w:space="0"/>
            </w:tcBorders>
            <w:vAlign w:val="center"/>
          </w:tcPr>
          <w:p>
            <w:pPr>
              <w:spacing w:line="300" w:lineRule="auto"/>
              <w:jc w:val="center"/>
              <w:rPr>
                <w:color w:val="auto"/>
              </w:rPr>
            </w:pPr>
            <w:r>
              <w:rPr>
                <w:rFonts w:hint="eastAsia"/>
                <w:color w:val="auto"/>
              </w:rPr>
              <w:t>岩（</w:t>
            </w:r>
            <w:r>
              <w:rPr>
                <w:color w:val="auto"/>
              </w:rPr>
              <w:t>土</w:t>
            </w:r>
            <w:r>
              <w:rPr>
                <w:rFonts w:hint="eastAsia"/>
                <w:color w:val="auto"/>
              </w:rPr>
              <w:t>）</w:t>
            </w:r>
            <w:r>
              <w:rPr>
                <w:color w:val="auto"/>
              </w:rPr>
              <w:t>层</w:t>
            </w:r>
            <w:r>
              <w:rPr>
                <w:rFonts w:hint="eastAsia"/>
                <w:color w:val="auto"/>
              </w:rPr>
              <w:t>不满足上述“强”和“中”条件。</w:t>
            </w:r>
          </w:p>
        </w:tc>
      </w:tr>
    </w:tbl>
    <w:p>
      <w:pPr>
        <w:spacing w:line="360" w:lineRule="auto"/>
        <w:ind w:firstLine="480" w:firstLineChars="200"/>
        <w:rPr>
          <w:color w:val="auto"/>
          <w:sz w:val="24"/>
        </w:rPr>
      </w:pPr>
      <w:r>
        <w:rPr>
          <w:rFonts w:hint="eastAsia"/>
          <w:color w:val="auto"/>
          <w:sz w:val="24"/>
        </w:rPr>
        <w:t>对照上表，本项目</w:t>
      </w:r>
      <w:r>
        <w:rPr>
          <w:color w:val="auto"/>
          <w:sz w:val="24"/>
        </w:rPr>
        <w:t>厂区的包气带粘土防污性能为“中”类别。</w:t>
      </w:r>
    </w:p>
    <w:p>
      <w:pPr>
        <w:pStyle w:val="8"/>
        <w:numPr>
          <w:ilvl w:val="3"/>
          <w:numId w:val="0"/>
        </w:numPr>
        <w:tabs>
          <w:tab w:val="left" w:pos="360"/>
          <w:tab w:val="left" w:pos="567"/>
          <w:tab w:val="left" w:pos="851"/>
          <w:tab w:val="clear" w:pos="720"/>
        </w:tabs>
        <w:snapToGrid w:val="0"/>
        <w:rPr>
          <w:color w:val="auto"/>
        </w:rPr>
      </w:pPr>
      <w:r>
        <w:rPr>
          <w:rFonts w:hint="eastAsia"/>
          <w:color w:val="auto"/>
        </w:rPr>
        <w:t>5.5.2.7  集中供水水源地和水源井的分布情况</w:t>
      </w:r>
    </w:p>
    <w:p>
      <w:pPr>
        <w:spacing w:line="360" w:lineRule="auto"/>
        <w:ind w:firstLine="480" w:firstLineChars="200"/>
        <w:rPr>
          <w:color w:val="auto"/>
          <w:sz w:val="24"/>
        </w:rPr>
      </w:pPr>
      <w:r>
        <w:rPr>
          <w:rFonts w:hint="eastAsia"/>
          <w:color w:val="auto"/>
          <w:sz w:val="24"/>
        </w:rPr>
        <w:t>项目选址所在河段排污口下游14km 之内没有设饮用水源保护区。最近的饮用水源保护区为</w:t>
      </w:r>
      <w:r>
        <w:rPr>
          <w:color w:val="auto"/>
          <w:sz w:val="24"/>
        </w:rPr>
        <w:t>江南水厂饮用水水源保护区</w:t>
      </w:r>
      <w:r>
        <w:rPr>
          <w:rFonts w:hint="eastAsia"/>
          <w:color w:val="auto"/>
          <w:sz w:val="24"/>
        </w:rPr>
        <w:t>，其一级保护区距离本项目厂界最近距离约29200m，且在其上游。项目与附近饮用水源保护区位置见下图。</w:t>
      </w:r>
    </w:p>
    <w:p>
      <w:pPr>
        <w:spacing w:line="360" w:lineRule="auto"/>
        <w:ind w:left="0" w:leftChars="0" w:firstLine="0" w:firstLineChars="0"/>
        <w:rPr>
          <w:color w:val="auto"/>
        </w:rPr>
      </w:pPr>
      <w:r>
        <w:rPr>
          <w:color w:val="auto"/>
        </w:rPr>
        <w:drawing>
          <wp:anchor distT="0" distB="0" distL="114300" distR="114300" simplePos="0" relativeHeight="255608832" behindDoc="0" locked="0" layoutInCell="1" allowOverlap="1">
            <wp:simplePos x="0" y="0"/>
            <wp:positionH relativeFrom="column">
              <wp:posOffset>272415</wp:posOffset>
            </wp:positionH>
            <wp:positionV relativeFrom="paragraph">
              <wp:posOffset>116205</wp:posOffset>
            </wp:positionV>
            <wp:extent cx="1123315" cy="953135"/>
            <wp:effectExtent l="0" t="0" r="4445" b="6985"/>
            <wp:wrapNone/>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19"/>
                    <a:srcRect/>
                    <a:stretch>
                      <a:fillRect/>
                    </a:stretch>
                  </pic:blipFill>
                  <pic:spPr>
                    <a:xfrm>
                      <a:off x="0" y="0"/>
                      <a:ext cx="1123315" cy="953135"/>
                    </a:xfrm>
                    <a:prstGeom prst="rect">
                      <a:avLst/>
                    </a:prstGeom>
                    <a:noFill/>
                    <a:ln>
                      <a:noFill/>
                    </a:ln>
                  </pic:spPr>
                </pic:pic>
              </a:graphicData>
            </a:graphic>
          </wp:anchor>
        </w:drawing>
      </w:r>
      <w:r>
        <w:rPr>
          <w:color w:val="auto"/>
        </w:rPr>
        <w:drawing>
          <wp:inline distT="0" distB="0" distL="114300" distR="114300">
            <wp:extent cx="5596255" cy="4171315"/>
            <wp:effectExtent l="0" t="0" r="4445" b="635"/>
            <wp:docPr id="1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pic:cNvPicPr>
                      <a:picLocks noChangeAspect="1"/>
                    </pic:cNvPicPr>
                  </pic:nvPicPr>
                  <pic:blipFill>
                    <a:blip r:embed="rId74"/>
                    <a:stretch>
                      <a:fillRect/>
                    </a:stretch>
                  </pic:blipFill>
                  <pic:spPr>
                    <a:xfrm>
                      <a:off x="0" y="0"/>
                      <a:ext cx="5596255" cy="4171315"/>
                    </a:xfrm>
                    <a:prstGeom prst="rect">
                      <a:avLst/>
                    </a:prstGeom>
                    <a:noFill/>
                    <a:ln>
                      <a:noFill/>
                    </a:ln>
                  </pic:spPr>
                </pic:pic>
              </a:graphicData>
            </a:graphic>
          </wp:inline>
        </w:drawing>
      </w:r>
    </w:p>
    <w:p>
      <w:pPr>
        <w:spacing w:line="360" w:lineRule="auto"/>
        <w:ind w:firstLine="482" w:firstLineChars="200"/>
        <w:jc w:val="center"/>
        <w:rPr>
          <w:b/>
          <w:bCs/>
          <w:color w:val="auto"/>
          <w:sz w:val="24"/>
        </w:rPr>
      </w:pPr>
      <w:r>
        <w:rPr>
          <w:rFonts w:hint="eastAsia"/>
          <w:b/>
          <w:bCs/>
          <w:color w:val="auto"/>
          <w:sz w:val="24"/>
        </w:rPr>
        <w:t>图5.5-4  本项目与附近饮用水水源保护区位置示意图</w:t>
      </w:r>
    </w:p>
    <w:p>
      <w:pPr>
        <w:spacing w:line="360" w:lineRule="auto"/>
        <w:ind w:firstLine="480" w:firstLineChars="200"/>
        <w:rPr>
          <w:color w:val="auto"/>
          <w:sz w:val="24"/>
        </w:rPr>
      </w:pPr>
      <w:r>
        <w:rPr>
          <w:color w:val="auto"/>
          <w:sz w:val="24"/>
        </w:rPr>
        <w:t>通过对调查区进行的水文地质调查与访问得知，调查区地表水系较发育，工厂、居民相对集中，人口密度相对较大。调查区内工业用水主要采用自来水，居民生活用水多年来也一直采用自来水，仅有少数居民零星开采地下水，用水量相对较少。调查区内居民改革开放以前地下水为生活用水来源之一，以大口井的方式开采地下水，改革开放后逐渐以自来水代替</w:t>
      </w:r>
      <w:r>
        <w:rPr>
          <w:rFonts w:hint="eastAsia"/>
          <w:color w:val="auto"/>
          <w:sz w:val="24"/>
        </w:rPr>
        <w:t>地下</w:t>
      </w:r>
      <w:r>
        <w:rPr>
          <w:color w:val="auto"/>
          <w:sz w:val="24"/>
        </w:rPr>
        <w:t>水作为居民的生活用水。总而言之，调查区地下水基本未开采利用，区内未发现由于过量抽取地下水而形成的地下漏斗或地面塌陷等不良地质现象，不存在地下水超采、水资源浪费及供水存在安全隐患等问题。</w:t>
      </w:r>
    </w:p>
    <w:p>
      <w:pPr>
        <w:pStyle w:val="8"/>
        <w:numPr>
          <w:ilvl w:val="3"/>
          <w:numId w:val="0"/>
        </w:numPr>
        <w:tabs>
          <w:tab w:val="left" w:pos="360"/>
          <w:tab w:val="left" w:pos="567"/>
          <w:tab w:val="left" w:pos="851"/>
          <w:tab w:val="clear" w:pos="720"/>
        </w:tabs>
        <w:snapToGrid w:val="0"/>
        <w:rPr>
          <w:bCs/>
          <w:color w:val="auto"/>
          <w:kern w:val="2"/>
          <w:szCs w:val="24"/>
        </w:rPr>
      </w:pPr>
      <w:r>
        <w:rPr>
          <w:rFonts w:hint="eastAsia"/>
          <w:bCs/>
          <w:color w:val="auto"/>
          <w:kern w:val="2"/>
          <w:szCs w:val="24"/>
        </w:rPr>
        <w:t>5.5.2.8  地下水污染情况</w:t>
      </w:r>
    </w:p>
    <w:p>
      <w:pPr>
        <w:spacing w:line="360" w:lineRule="auto"/>
        <w:ind w:firstLine="480" w:firstLineChars="200"/>
        <w:jc w:val="left"/>
        <w:rPr>
          <w:color w:val="auto"/>
          <w:sz w:val="24"/>
        </w:rPr>
      </w:pPr>
      <w:r>
        <w:rPr>
          <w:rFonts w:hint="eastAsia"/>
          <w:color w:val="auto"/>
          <w:sz w:val="24"/>
        </w:rPr>
        <w:t>本项目附近主要的工业园区包括</w:t>
      </w:r>
      <w:r>
        <w:rPr>
          <w:color w:val="auto"/>
          <w:sz w:val="24"/>
        </w:rPr>
        <w:t>石角工业园</w:t>
      </w:r>
      <w:r>
        <w:rPr>
          <w:rFonts w:hint="eastAsia"/>
          <w:color w:val="auto"/>
          <w:sz w:val="24"/>
        </w:rPr>
        <w:t>本项目区内及附近可能影响调查评价区内地下水的企业：云南铜业、江西铜业、大冶铜业、华鸿铜业、兴海铜业、金翔铜业等有色金属企业。其污染源包括工业污水排放，固体废弃物堆填、废水（如重金属）排放。主要污染途径是生产废水不能百分之百回用，地面未进行防渗处理导致渗漏污染，含铅废料运输过程中产生二次污染等。影响地下水水质的主要污染因子：重金属浓度（铅、汞、镉、铬、砷）、锑、铁、锌、铜、总磷、氨氮、化学需氧量、生化需氧量等。</w:t>
      </w:r>
    </w:p>
    <w:p>
      <w:pPr>
        <w:pStyle w:val="7"/>
        <w:numPr>
          <w:ilvl w:val="2"/>
          <w:numId w:val="0"/>
        </w:numPr>
        <w:tabs>
          <w:tab w:val="clear" w:pos="720"/>
        </w:tabs>
        <w:adjustRightInd/>
        <w:spacing w:before="159" w:after="79" w:afterLines="25"/>
        <w:jc w:val="both"/>
        <w:textAlignment w:val="auto"/>
        <w:rPr>
          <w:color w:val="auto"/>
        </w:rPr>
      </w:pPr>
      <w:bookmarkStart w:id="547" w:name="_Toc17527"/>
      <w:r>
        <w:rPr>
          <w:rFonts w:hint="eastAsia"/>
          <w:color w:val="auto"/>
        </w:rPr>
        <w:t>5.5.4  地下水</w:t>
      </w:r>
      <w:r>
        <w:rPr>
          <w:color w:val="auto"/>
        </w:rPr>
        <w:t>环境质量现状监测</w:t>
      </w:r>
      <w:bookmarkEnd w:id="547"/>
    </w:p>
    <w:p>
      <w:pPr>
        <w:pStyle w:val="8"/>
        <w:numPr>
          <w:ilvl w:val="3"/>
          <w:numId w:val="0"/>
        </w:numPr>
        <w:tabs>
          <w:tab w:val="left" w:pos="709"/>
          <w:tab w:val="clear" w:pos="720"/>
        </w:tabs>
        <w:snapToGrid w:val="0"/>
        <w:spacing w:before="159" w:beforeLines="50"/>
        <w:rPr>
          <w:color w:val="auto"/>
        </w:rPr>
      </w:pPr>
      <w:r>
        <w:rPr>
          <w:rFonts w:hint="eastAsia"/>
          <w:color w:val="auto"/>
        </w:rPr>
        <w:t xml:space="preserve">5.5.4.1  </w:t>
      </w:r>
      <w:r>
        <w:rPr>
          <w:color w:val="auto"/>
        </w:rPr>
        <w:t>监测布点</w:t>
      </w:r>
    </w:p>
    <w:p>
      <w:pPr>
        <w:snapToGrid w:val="0"/>
        <w:spacing w:line="360" w:lineRule="auto"/>
        <w:ind w:firstLine="480" w:firstLineChars="200"/>
        <w:rPr>
          <w:color w:val="auto"/>
          <w:sz w:val="24"/>
          <w:szCs w:val="20"/>
        </w:rPr>
      </w:pPr>
      <w:r>
        <w:rPr>
          <w:color w:val="auto"/>
          <w:sz w:val="24"/>
          <w:szCs w:val="20"/>
        </w:rPr>
        <w:t>根据初步地质勘探结果，沿着地下水流动的方向，</w:t>
      </w:r>
      <w:r>
        <w:rPr>
          <w:color w:val="auto"/>
          <w:sz w:val="24"/>
        </w:rPr>
        <w:t>布设</w:t>
      </w:r>
      <w:r>
        <w:rPr>
          <w:color w:val="auto"/>
          <w:sz w:val="24"/>
          <w:szCs w:val="20"/>
        </w:rPr>
        <w:t>5个地下水监测点。各监测井位置见</w:t>
      </w:r>
      <w:r>
        <w:rPr>
          <w:rFonts w:hint="eastAsia"/>
          <w:color w:val="auto"/>
          <w:sz w:val="24"/>
        </w:rPr>
        <w:t>下表</w:t>
      </w:r>
      <w:r>
        <w:rPr>
          <w:rFonts w:hint="eastAsia"/>
          <w:color w:val="auto"/>
          <w:sz w:val="24"/>
          <w:szCs w:val="20"/>
          <w:lang w:eastAsia="zh-CN"/>
        </w:rPr>
        <w:t>，</w:t>
      </w:r>
      <w:r>
        <w:rPr>
          <w:rFonts w:hint="eastAsia"/>
          <w:color w:val="auto"/>
          <w:sz w:val="24"/>
          <w:szCs w:val="20"/>
          <w:lang w:val="en-US" w:eastAsia="zh-CN"/>
        </w:rPr>
        <w:t>具体位置如上图5.5-3。</w:t>
      </w:r>
    </w:p>
    <w:p>
      <w:pPr>
        <w:pStyle w:val="35"/>
        <w:spacing w:before="159" w:beforeLines="50" w:after="0" w:line="360" w:lineRule="auto"/>
        <w:rPr>
          <w:rFonts w:eastAsia="宋体"/>
          <w:color w:val="auto"/>
          <w:sz w:val="21"/>
          <w:szCs w:val="21"/>
        </w:rPr>
      </w:pPr>
      <w:r>
        <w:rPr>
          <w:rFonts w:eastAsia="宋体"/>
          <w:color w:val="auto"/>
          <w:sz w:val="21"/>
          <w:szCs w:val="21"/>
        </w:rPr>
        <w:t>表</w:t>
      </w:r>
      <w:r>
        <w:rPr>
          <w:rFonts w:hint="eastAsia" w:eastAsia="宋体"/>
          <w:color w:val="auto"/>
          <w:sz w:val="21"/>
          <w:szCs w:val="21"/>
        </w:rPr>
        <w:t>5.5</w:t>
      </w:r>
      <w:r>
        <w:rPr>
          <w:rFonts w:eastAsia="宋体"/>
          <w:color w:val="auto"/>
          <w:sz w:val="21"/>
          <w:szCs w:val="21"/>
        </w:rPr>
        <w:t>-</w:t>
      </w:r>
      <w:r>
        <w:rPr>
          <w:rFonts w:hint="eastAsia" w:eastAsia="宋体"/>
          <w:color w:val="auto"/>
          <w:sz w:val="21"/>
          <w:szCs w:val="21"/>
        </w:rPr>
        <w:t xml:space="preserve">7 </w:t>
      </w:r>
      <w:r>
        <w:rPr>
          <w:rFonts w:eastAsia="宋体"/>
          <w:color w:val="auto"/>
          <w:sz w:val="21"/>
          <w:szCs w:val="21"/>
        </w:rPr>
        <w:t xml:space="preserve"> 地下水监测点</w:t>
      </w:r>
    </w:p>
    <w:tbl>
      <w:tblPr>
        <w:tblStyle w:val="23"/>
        <w:tblW w:w="92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4"/>
        <w:gridCol w:w="2963"/>
        <w:gridCol w:w="3712"/>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04" w:type="dxa"/>
            <w:vAlign w:val="center"/>
          </w:tcPr>
          <w:p>
            <w:pPr>
              <w:snapToGrid w:val="0"/>
              <w:spacing w:line="300" w:lineRule="auto"/>
              <w:jc w:val="center"/>
              <w:rPr>
                <w:color w:val="auto"/>
                <w:szCs w:val="21"/>
              </w:rPr>
            </w:pPr>
            <w:r>
              <w:rPr>
                <w:color w:val="auto"/>
                <w:szCs w:val="21"/>
              </w:rPr>
              <w:t>编号</w:t>
            </w:r>
          </w:p>
        </w:tc>
        <w:tc>
          <w:tcPr>
            <w:tcW w:w="2963" w:type="dxa"/>
            <w:vAlign w:val="center"/>
          </w:tcPr>
          <w:p>
            <w:pPr>
              <w:snapToGrid w:val="0"/>
              <w:spacing w:line="300" w:lineRule="auto"/>
              <w:jc w:val="center"/>
              <w:rPr>
                <w:color w:val="auto"/>
                <w:szCs w:val="21"/>
              </w:rPr>
            </w:pPr>
            <w:r>
              <w:rPr>
                <w:color w:val="auto"/>
                <w:szCs w:val="21"/>
              </w:rPr>
              <w:t>位置</w:t>
            </w:r>
          </w:p>
        </w:tc>
        <w:tc>
          <w:tcPr>
            <w:tcW w:w="3712" w:type="dxa"/>
            <w:vAlign w:val="center"/>
          </w:tcPr>
          <w:p>
            <w:pPr>
              <w:snapToGrid w:val="0"/>
              <w:spacing w:line="300" w:lineRule="auto"/>
              <w:jc w:val="center"/>
              <w:rPr>
                <w:color w:val="auto"/>
                <w:szCs w:val="21"/>
              </w:rPr>
            </w:pPr>
            <w:r>
              <w:rPr>
                <w:color w:val="auto"/>
                <w:szCs w:val="21"/>
              </w:rPr>
              <w:t>坐标</w:t>
            </w:r>
          </w:p>
        </w:tc>
        <w:tc>
          <w:tcPr>
            <w:tcW w:w="1403" w:type="dxa"/>
            <w:vAlign w:val="center"/>
          </w:tcPr>
          <w:p>
            <w:pPr>
              <w:snapToGrid w:val="0"/>
              <w:spacing w:line="300" w:lineRule="auto"/>
              <w:jc w:val="center"/>
              <w:rPr>
                <w:color w:val="auto"/>
                <w:szCs w:val="21"/>
              </w:rPr>
            </w:pPr>
            <w:r>
              <w:rPr>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dxa"/>
            <w:vAlign w:val="center"/>
          </w:tcPr>
          <w:p>
            <w:pPr>
              <w:snapToGrid w:val="0"/>
              <w:spacing w:line="300" w:lineRule="auto"/>
              <w:jc w:val="center"/>
              <w:rPr>
                <w:color w:val="auto"/>
                <w:szCs w:val="21"/>
              </w:rPr>
            </w:pPr>
            <w:r>
              <w:rPr>
                <w:rFonts w:hint="eastAsia"/>
                <w:color w:val="auto"/>
                <w:szCs w:val="21"/>
              </w:rPr>
              <w:t>U1</w:t>
            </w:r>
          </w:p>
        </w:tc>
        <w:tc>
          <w:tcPr>
            <w:tcW w:w="2963" w:type="dxa"/>
            <w:vAlign w:val="center"/>
          </w:tcPr>
          <w:p>
            <w:pPr>
              <w:spacing w:line="300" w:lineRule="auto"/>
              <w:jc w:val="center"/>
              <w:rPr>
                <w:color w:val="auto"/>
                <w:kern w:val="0"/>
                <w:szCs w:val="21"/>
              </w:rPr>
            </w:pPr>
            <w:r>
              <w:rPr>
                <w:color w:val="auto"/>
                <w:kern w:val="0"/>
                <w:szCs w:val="21"/>
              </w:rPr>
              <w:t>界牌村</w:t>
            </w:r>
          </w:p>
        </w:tc>
        <w:tc>
          <w:tcPr>
            <w:tcW w:w="3712" w:type="dxa"/>
            <w:vAlign w:val="center"/>
          </w:tcPr>
          <w:p>
            <w:pPr>
              <w:spacing w:line="300" w:lineRule="auto"/>
              <w:ind w:left="-63" w:leftChars="-50" w:right="-105" w:rightChars="-50" w:hanging="42" w:hangingChars="20"/>
              <w:jc w:val="center"/>
              <w:rPr>
                <w:color w:val="auto"/>
                <w:szCs w:val="21"/>
              </w:rPr>
            </w:pPr>
            <w:r>
              <w:rPr>
                <w:rFonts w:hint="eastAsia"/>
                <w:color w:val="auto"/>
                <w:szCs w:val="21"/>
              </w:rPr>
              <w:t>东经112°96'30"、北纬23°51'17"</w:t>
            </w:r>
          </w:p>
        </w:tc>
        <w:tc>
          <w:tcPr>
            <w:tcW w:w="1403" w:type="dxa"/>
            <w:vMerge w:val="restart"/>
            <w:vAlign w:val="center"/>
          </w:tcPr>
          <w:p>
            <w:pPr>
              <w:snapToGrid w:val="0"/>
              <w:spacing w:line="300" w:lineRule="auto"/>
              <w:jc w:val="center"/>
              <w:rPr>
                <w:color w:val="auto"/>
                <w:szCs w:val="21"/>
              </w:rPr>
            </w:pPr>
            <w:r>
              <w:rPr>
                <w:color w:val="auto"/>
                <w:szCs w:val="21"/>
              </w:rPr>
              <w:t>水质和水位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dxa"/>
            <w:vAlign w:val="center"/>
          </w:tcPr>
          <w:p>
            <w:pPr>
              <w:snapToGrid w:val="0"/>
              <w:spacing w:line="300" w:lineRule="auto"/>
              <w:jc w:val="center"/>
              <w:rPr>
                <w:color w:val="auto"/>
                <w:szCs w:val="21"/>
              </w:rPr>
            </w:pPr>
            <w:r>
              <w:rPr>
                <w:color w:val="auto"/>
                <w:szCs w:val="21"/>
              </w:rPr>
              <w:t>U2</w:t>
            </w:r>
          </w:p>
        </w:tc>
        <w:tc>
          <w:tcPr>
            <w:tcW w:w="2963" w:type="dxa"/>
            <w:vAlign w:val="center"/>
          </w:tcPr>
          <w:p>
            <w:pPr>
              <w:spacing w:line="300" w:lineRule="auto"/>
              <w:jc w:val="center"/>
              <w:rPr>
                <w:color w:val="auto"/>
                <w:kern w:val="0"/>
                <w:szCs w:val="21"/>
              </w:rPr>
            </w:pPr>
            <w:r>
              <w:rPr>
                <w:color w:val="auto"/>
                <w:kern w:val="0"/>
                <w:szCs w:val="21"/>
              </w:rPr>
              <w:t>项目内卷材生产区北面角落</w:t>
            </w:r>
          </w:p>
        </w:tc>
        <w:tc>
          <w:tcPr>
            <w:tcW w:w="3712" w:type="dxa"/>
            <w:vAlign w:val="center"/>
          </w:tcPr>
          <w:p>
            <w:pPr>
              <w:spacing w:line="300" w:lineRule="auto"/>
              <w:ind w:left="-63" w:leftChars="-50" w:right="-105" w:rightChars="-50" w:hanging="42" w:hangingChars="20"/>
              <w:jc w:val="center"/>
              <w:rPr>
                <w:color w:val="auto"/>
                <w:szCs w:val="21"/>
              </w:rPr>
            </w:pPr>
            <w:r>
              <w:rPr>
                <w:rFonts w:hint="eastAsia"/>
                <w:color w:val="auto"/>
                <w:szCs w:val="21"/>
              </w:rPr>
              <w:t>东经112°57'1"、北纬23°30'3"</w:t>
            </w:r>
          </w:p>
        </w:tc>
        <w:tc>
          <w:tcPr>
            <w:tcW w:w="1403" w:type="dxa"/>
            <w:vMerge w:val="continue"/>
            <w:vAlign w:val="center"/>
          </w:tcPr>
          <w:p>
            <w:pPr>
              <w:snapToGrid w:val="0"/>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dxa"/>
            <w:vAlign w:val="center"/>
          </w:tcPr>
          <w:p>
            <w:pPr>
              <w:snapToGrid w:val="0"/>
              <w:spacing w:line="300" w:lineRule="auto"/>
              <w:jc w:val="center"/>
              <w:rPr>
                <w:color w:val="auto"/>
                <w:szCs w:val="21"/>
              </w:rPr>
            </w:pPr>
            <w:r>
              <w:rPr>
                <w:color w:val="auto"/>
                <w:szCs w:val="21"/>
              </w:rPr>
              <w:t>U3</w:t>
            </w:r>
          </w:p>
        </w:tc>
        <w:tc>
          <w:tcPr>
            <w:tcW w:w="2963" w:type="dxa"/>
            <w:vAlign w:val="center"/>
          </w:tcPr>
          <w:p>
            <w:pPr>
              <w:spacing w:line="300" w:lineRule="auto"/>
              <w:jc w:val="center"/>
              <w:rPr>
                <w:snapToGrid w:val="0"/>
                <w:color w:val="auto"/>
                <w:szCs w:val="21"/>
              </w:rPr>
            </w:pPr>
            <w:r>
              <w:rPr>
                <w:color w:val="auto"/>
                <w:szCs w:val="21"/>
              </w:rPr>
              <w:t>项目西面700m处</w:t>
            </w:r>
          </w:p>
        </w:tc>
        <w:tc>
          <w:tcPr>
            <w:tcW w:w="3712" w:type="dxa"/>
            <w:vAlign w:val="center"/>
          </w:tcPr>
          <w:p>
            <w:pPr>
              <w:spacing w:line="300" w:lineRule="auto"/>
              <w:ind w:left="-63" w:leftChars="-50" w:right="-105" w:rightChars="-50" w:hanging="42" w:hangingChars="20"/>
              <w:jc w:val="center"/>
              <w:rPr>
                <w:color w:val="auto"/>
                <w:szCs w:val="21"/>
              </w:rPr>
            </w:pPr>
            <w:r>
              <w:rPr>
                <w:rFonts w:hint="eastAsia"/>
                <w:color w:val="auto"/>
                <w:szCs w:val="21"/>
              </w:rPr>
              <w:t>东经112°56'34"、北纬23°29'51"</w:t>
            </w:r>
          </w:p>
        </w:tc>
        <w:tc>
          <w:tcPr>
            <w:tcW w:w="1403" w:type="dxa"/>
            <w:vMerge w:val="continue"/>
            <w:vAlign w:val="center"/>
          </w:tcPr>
          <w:p>
            <w:pPr>
              <w:snapToGrid w:val="0"/>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dxa"/>
            <w:vAlign w:val="center"/>
          </w:tcPr>
          <w:p>
            <w:pPr>
              <w:snapToGrid w:val="0"/>
              <w:spacing w:line="300" w:lineRule="auto"/>
              <w:jc w:val="center"/>
              <w:rPr>
                <w:color w:val="auto"/>
                <w:szCs w:val="21"/>
              </w:rPr>
            </w:pPr>
            <w:r>
              <w:rPr>
                <w:color w:val="auto"/>
                <w:szCs w:val="21"/>
              </w:rPr>
              <w:t>U4</w:t>
            </w:r>
          </w:p>
        </w:tc>
        <w:tc>
          <w:tcPr>
            <w:tcW w:w="2963" w:type="dxa"/>
            <w:vAlign w:val="center"/>
          </w:tcPr>
          <w:p>
            <w:pPr>
              <w:spacing w:line="300" w:lineRule="auto"/>
              <w:jc w:val="center"/>
              <w:rPr>
                <w:snapToGrid w:val="0"/>
                <w:color w:val="auto"/>
                <w:szCs w:val="21"/>
              </w:rPr>
            </w:pPr>
            <w:r>
              <w:rPr>
                <w:color w:val="auto"/>
                <w:szCs w:val="21"/>
              </w:rPr>
              <w:t>项目东面空地</w:t>
            </w:r>
          </w:p>
        </w:tc>
        <w:tc>
          <w:tcPr>
            <w:tcW w:w="3712" w:type="dxa"/>
            <w:vAlign w:val="center"/>
          </w:tcPr>
          <w:p>
            <w:pPr>
              <w:spacing w:line="300" w:lineRule="auto"/>
              <w:ind w:left="-63" w:leftChars="-50" w:right="-105" w:rightChars="-50" w:hanging="42" w:hangingChars="20"/>
              <w:jc w:val="center"/>
              <w:rPr>
                <w:color w:val="auto"/>
                <w:szCs w:val="21"/>
              </w:rPr>
            </w:pPr>
            <w:r>
              <w:rPr>
                <w:rFonts w:hint="eastAsia"/>
                <w:color w:val="auto"/>
                <w:szCs w:val="21"/>
              </w:rPr>
              <w:t>东经112°57'6"、北纬23°30'6"</w:t>
            </w:r>
          </w:p>
        </w:tc>
        <w:tc>
          <w:tcPr>
            <w:tcW w:w="1403" w:type="dxa"/>
            <w:vMerge w:val="continue"/>
            <w:vAlign w:val="center"/>
          </w:tcPr>
          <w:p>
            <w:pPr>
              <w:snapToGrid w:val="0"/>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dxa"/>
            <w:vAlign w:val="center"/>
          </w:tcPr>
          <w:p>
            <w:pPr>
              <w:snapToGrid w:val="0"/>
              <w:spacing w:line="300" w:lineRule="auto"/>
              <w:jc w:val="center"/>
              <w:rPr>
                <w:color w:val="auto"/>
                <w:szCs w:val="21"/>
              </w:rPr>
            </w:pPr>
            <w:r>
              <w:rPr>
                <w:color w:val="auto"/>
                <w:szCs w:val="21"/>
              </w:rPr>
              <w:t>U5</w:t>
            </w:r>
          </w:p>
        </w:tc>
        <w:tc>
          <w:tcPr>
            <w:tcW w:w="2963" w:type="dxa"/>
            <w:vAlign w:val="center"/>
          </w:tcPr>
          <w:p>
            <w:pPr>
              <w:spacing w:line="300" w:lineRule="auto"/>
              <w:jc w:val="center"/>
              <w:rPr>
                <w:color w:val="auto"/>
                <w:szCs w:val="21"/>
              </w:rPr>
            </w:pPr>
            <w:r>
              <w:rPr>
                <w:color w:val="auto"/>
                <w:szCs w:val="21"/>
              </w:rPr>
              <w:t>项目外西南方空地</w:t>
            </w:r>
          </w:p>
        </w:tc>
        <w:tc>
          <w:tcPr>
            <w:tcW w:w="3712" w:type="dxa"/>
            <w:vAlign w:val="center"/>
          </w:tcPr>
          <w:p>
            <w:pPr>
              <w:spacing w:line="300" w:lineRule="auto"/>
              <w:ind w:left="-63" w:leftChars="-50" w:right="-105" w:rightChars="-50" w:hanging="42" w:hangingChars="20"/>
              <w:jc w:val="center"/>
              <w:rPr>
                <w:color w:val="auto"/>
                <w:szCs w:val="21"/>
              </w:rPr>
            </w:pPr>
            <w:r>
              <w:rPr>
                <w:rFonts w:hint="eastAsia"/>
                <w:color w:val="auto"/>
                <w:szCs w:val="21"/>
              </w:rPr>
              <w:t>东经112°56'60"、北纬23°30'1"</w:t>
            </w:r>
          </w:p>
        </w:tc>
        <w:tc>
          <w:tcPr>
            <w:tcW w:w="1403" w:type="dxa"/>
            <w:vMerge w:val="continue"/>
            <w:vAlign w:val="center"/>
          </w:tcPr>
          <w:p>
            <w:pPr>
              <w:snapToGrid w:val="0"/>
              <w:spacing w:line="300" w:lineRule="auto"/>
              <w:jc w:val="center"/>
              <w:rPr>
                <w:color w:val="auto"/>
                <w:szCs w:val="21"/>
              </w:rPr>
            </w:pPr>
          </w:p>
        </w:tc>
      </w:tr>
    </w:tbl>
    <w:p>
      <w:pPr>
        <w:pStyle w:val="8"/>
        <w:numPr>
          <w:ilvl w:val="3"/>
          <w:numId w:val="0"/>
        </w:numPr>
        <w:tabs>
          <w:tab w:val="left" w:pos="709"/>
          <w:tab w:val="clear" w:pos="720"/>
        </w:tabs>
        <w:snapToGrid w:val="0"/>
        <w:spacing w:before="159" w:beforeLines="50"/>
        <w:rPr>
          <w:rFonts w:hint="eastAsia"/>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8"/>
        <w:numPr>
          <w:ilvl w:val="3"/>
          <w:numId w:val="0"/>
        </w:numPr>
        <w:tabs>
          <w:tab w:val="left" w:pos="709"/>
          <w:tab w:val="clear" w:pos="720"/>
        </w:tabs>
        <w:snapToGrid w:val="0"/>
        <w:spacing w:before="159" w:beforeLines="50"/>
        <w:rPr>
          <w:color w:val="auto"/>
        </w:rPr>
      </w:pPr>
      <w:r>
        <w:rPr>
          <w:rFonts w:hint="eastAsia"/>
          <w:color w:val="auto"/>
        </w:rPr>
        <w:t xml:space="preserve">5.5.4.2  </w:t>
      </w:r>
      <w:r>
        <w:rPr>
          <w:color w:val="auto"/>
        </w:rPr>
        <w:t>监测时间、频次及监测单位</w:t>
      </w:r>
    </w:p>
    <w:p>
      <w:pPr>
        <w:spacing w:line="360" w:lineRule="auto"/>
        <w:ind w:firstLine="480" w:firstLineChars="200"/>
        <w:rPr>
          <w:color w:val="auto"/>
          <w:kern w:val="0"/>
          <w:sz w:val="24"/>
        </w:rPr>
      </w:pPr>
      <w:r>
        <w:rPr>
          <w:color w:val="auto"/>
          <w:kern w:val="0"/>
          <w:sz w:val="24"/>
        </w:rPr>
        <w:t>监测时间：20</w:t>
      </w:r>
      <w:r>
        <w:rPr>
          <w:rFonts w:hint="eastAsia"/>
          <w:color w:val="auto"/>
          <w:kern w:val="0"/>
          <w:sz w:val="24"/>
        </w:rPr>
        <w:t>20年5月20日</w:t>
      </w:r>
    </w:p>
    <w:p>
      <w:pPr>
        <w:tabs>
          <w:tab w:val="left" w:pos="360"/>
        </w:tabs>
        <w:snapToGrid w:val="0"/>
        <w:spacing w:line="360" w:lineRule="auto"/>
        <w:ind w:firstLine="480" w:firstLineChars="200"/>
        <w:rPr>
          <w:color w:val="auto"/>
          <w:sz w:val="24"/>
        </w:rPr>
      </w:pPr>
      <w:r>
        <w:rPr>
          <w:color w:val="auto"/>
          <w:sz w:val="24"/>
        </w:rPr>
        <w:t>监测单位：广州华航检测技术有限公司</w:t>
      </w:r>
    </w:p>
    <w:p>
      <w:pPr>
        <w:pStyle w:val="8"/>
        <w:numPr>
          <w:ilvl w:val="3"/>
          <w:numId w:val="0"/>
        </w:numPr>
        <w:tabs>
          <w:tab w:val="left" w:pos="709"/>
          <w:tab w:val="clear" w:pos="720"/>
        </w:tabs>
        <w:snapToGrid w:val="0"/>
        <w:spacing w:before="159" w:beforeLines="50"/>
        <w:rPr>
          <w:color w:val="auto"/>
        </w:rPr>
      </w:pPr>
      <w:r>
        <w:rPr>
          <w:rFonts w:hint="eastAsia"/>
          <w:color w:val="auto"/>
        </w:rPr>
        <w:t xml:space="preserve">5.5.4.3  </w:t>
      </w:r>
      <w:r>
        <w:rPr>
          <w:color w:val="auto"/>
        </w:rPr>
        <w:t>监测项目</w:t>
      </w:r>
    </w:p>
    <w:p>
      <w:pPr>
        <w:spacing w:line="360" w:lineRule="auto"/>
        <w:ind w:firstLine="480" w:firstLineChars="200"/>
        <w:rPr>
          <w:b w:val="0"/>
          <w:bCs/>
          <w:color w:val="auto"/>
          <w:sz w:val="24"/>
          <w:szCs w:val="20"/>
        </w:rPr>
      </w:pPr>
      <w:r>
        <w:rPr>
          <w:color w:val="auto"/>
          <w:kern w:val="0"/>
          <w:sz w:val="24"/>
        </w:rPr>
        <w:t>钾、钠、钙、镁、碳酸根、碳酸氢根、pH值（无量纲）、氨氮、硝酸盐、亚硝酸盐、挥发性酚类、氰化物、砷、汞、铬（六价）、总硬度、铅、氟化物、镉、铁、锰、溶解性总固体、高锰酸盐指数、硫酸盐、氯化物、总大肠菌群、细菌总数、铜、锌、铝、苯、甲苯、二甲苯（总量）、苯并[a]芘</w:t>
      </w:r>
      <w:r>
        <w:rPr>
          <w:color w:val="auto"/>
          <w:sz w:val="24"/>
        </w:rPr>
        <w:t>共34项。</w:t>
      </w:r>
      <w:r>
        <w:rPr>
          <w:b w:val="0"/>
          <w:bCs/>
          <w:color w:val="auto"/>
          <w:sz w:val="24"/>
          <w:szCs w:val="20"/>
        </w:rPr>
        <w:t>监测时同步记录监测点的水位、坐标。</w:t>
      </w:r>
    </w:p>
    <w:p>
      <w:pPr>
        <w:pStyle w:val="8"/>
        <w:numPr>
          <w:ilvl w:val="3"/>
          <w:numId w:val="0"/>
        </w:numPr>
        <w:tabs>
          <w:tab w:val="left" w:pos="709"/>
          <w:tab w:val="clear" w:pos="720"/>
        </w:tabs>
        <w:snapToGrid w:val="0"/>
        <w:spacing w:before="159" w:beforeLines="50"/>
        <w:rPr>
          <w:color w:val="auto"/>
        </w:rPr>
      </w:pPr>
      <w:r>
        <w:rPr>
          <w:rFonts w:hint="eastAsia"/>
          <w:color w:val="auto"/>
        </w:rPr>
        <w:t xml:space="preserve">5.5.4.4  </w:t>
      </w:r>
      <w:r>
        <w:rPr>
          <w:color w:val="auto"/>
        </w:rPr>
        <w:t>采样和分析方法</w:t>
      </w:r>
    </w:p>
    <w:p>
      <w:pPr>
        <w:adjustRightInd w:val="0"/>
        <w:spacing w:line="360" w:lineRule="auto"/>
        <w:ind w:firstLine="360" w:firstLineChars="150"/>
        <w:rPr>
          <w:bCs/>
          <w:color w:val="auto"/>
          <w:sz w:val="24"/>
        </w:rPr>
      </w:pPr>
      <w:r>
        <w:rPr>
          <w:bCs/>
          <w:color w:val="auto"/>
          <w:sz w:val="24"/>
        </w:rPr>
        <w:t>水样采集、保存、分析方法按照《环境影响评价技术导则-地下水环境（HJ610-2016）》、</w:t>
      </w:r>
      <w:r>
        <w:rPr>
          <w:color w:val="auto"/>
          <w:sz w:val="24"/>
        </w:rPr>
        <w:t>《生活饮用水标准检测方法》(GB5750)及《地下水环境监测技术规范》(HJ/T164-2004)中的有关规定进行</w:t>
      </w:r>
      <w:r>
        <w:rPr>
          <w:bCs/>
          <w:color w:val="auto"/>
          <w:sz w:val="24"/>
        </w:rPr>
        <w:t>，</w:t>
      </w:r>
      <w:r>
        <w:rPr>
          <w:color w:val="auto"/>
          <w:sz w:val="24"/>
        </w:rPr>
        <w:t>监测仪器和最低检出限具体见</w:t>
      </w:r>
      <w:r>
        <w:rPr>
          <w:rFonts w:hint="eastAsia"/>
          <w:color w:val="auto"/>
          <w:sz w:val="24"/>
        </w:rPr>
        <w:t>下表。</w:t>
      </w:r>
    </w:p>
    <w:p>
      <w:pPr>
        <w:pStyle w:val="35"/>
        <w:spacing w:before="159" w:beforeLines="50" w:after="0" w:line="360" w:lineRule="auto"/>
        <w:rPr>
          <w:rFonts w:eastAsia="宋体"/>
          <w:color w:val="auto"/>
          <w:sz w:val="21"/>
          <w:szCs w:val="21"/>
        </w:rPr>
      </w:pPr>
      <w:r>
        <w:rPr>
          <w:rFonts w:eastAsia="宋体"/>
          <w:color w:val="auto"/>
          <w:sz w:val="21"/>
          <w:szCs w:val="21"/>
        </w:rPr>
        <w:t>表</w:t>
      </w:r>
      <w:r>
        <w:rPr>
          <w:rFonts w:hint="eastAsia" w:eastAsia="宋体"/>
          <w:color w:val="auto"/>
          <w:sz w:val="21"/>
          <w:szCs w:val="21"/>
        </w:rPr>
        <w:t xml:space="preserve">5.5-8 </w:t>
      </w:r>
      <w:r>
        <w:rPr>
          <w:rFonts w:eastAsia="宋体"/>
          <w:color w:val="auto"/>
          <w:sz w:val="21"/>
          <w:szCs w:val="21"/>
        </w:rPr>
        <w:t xml:space="preserve"> 地下水水环境监测项目、监测方法、使用仪器及检出限一览表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2240"/>
        <w:gridCol w:w="2339"/>
        <w:gridCol w:w="1963"/>
        <w:gridCol w:w="1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246" w:type="dxa"/>
            <w:vAlign w:val="center"/>
          </w:tcPr>
          <w:p>
            <w:pPr>
              <w:widowControl/>
              <w:jc w:val="center"/>
              <w:rPr>
                <w:color w:val="auto"/>
                <w:kern w:val="0"/>
                <w:szCs w:val="21"/>
              </w:rPr>
            </w:pPr>
            <w:r>
              <w:rPr>
                <w:color w:val="auto"/>
                <w:kern w:val="0"/>
                <w:szCs w:val="21"/>
              </w:rPr>
              <w:t>项目名称</w:t>
            </w:r>
          </w:p>
        </w:tc>
        <w:tc>
          <w:tcPr>
            <w:tcW w:w="2240" w:type="dxa"/>
            <w:vAlign w:val="center"/>
          </w:tcPr>
          <w:p>
            <w:pPr>
              <w:widowControl/>
              <w:jc w:val="center"/>
              <w:rPr>
                <w:color w:val="auto"/>
                <w:kern w:val="0"/>
                <w:szCs w:val="21"/>
              </w:rPr>
            </w:pPr>
            <w:r>
              <w:rPr>
                <w:color w:val="auto"/>
                <w:kern w:val="0"/>
                <w:szCs w:val="21"/>
              </w:rPr>
              <w:t>监测方法</w:t>
            </w:r>
          </w:p>
        </w:tc>
        <w:tc>
          <w:tcPr>
            <w:tcW w:w="2339" w:type="dxa"/>
            <w:vAlign w:val="center"/>
          </w:tcPr>
          <w:p>
            <w:pPr>
              <w:widowControl/>
              <w:jc w:val="center"/>
              <w:rPr>
                <w:color w:val="auto"/>
                <w:kern w:val="0"/>
                <w:szCs w:val="21"/>
              </w:rPr>
            </w:pPr>
            <w:r>
              <w:rPr>
                <w:color w:val="auto"/>
                <w:kern w:val="0"/>
                <w:szCs w:val="21"/>
              </w:rPr>
              <w:t>使用仪器</w:t>
            </w:r>
          </w:p>
        </w:tc>
        <w:tc>
          <w:tcPr>
            <w:tcW w:w="1963" w:type="dxa"/>
            <w:vAlign w:val="center"/>
          </w:tcPr>
          <w:p>
            <w:pPr>
              <w:widowControl/>
              <w:jc w:val="center"/>
              <w:rPr>
                <w:color w:val="auto"/>
                <w:kern w:val="0"/>
                <w:szCs w:val="21"/>
              </w:rPr>
            </w:pPr>
            <w:r>
              <w:rPr>
                <w:color w:val="auto"/>
                <w:kern w:val="0"/>
                <w:szCs w:val="21"/>
              </w:rPr>
              <w:t>方法来源</w:t>
            </w:r>
          </w:p>
        </w:tc>
        <w:tc>
          <w:tcPr>
            <w:tcW w:w="1160" w:type="dxa"/>
            <w:vAlign w:val="center"/>
          </w:tcPr>
          <w:p>
            <w:pPr>
              <w:widowControl/>
              <w:jc w:val="center"/>
              <w:rPr>
                <w:color w:val="auto"/>
                <w:kern w:val="0"/>
                <w:szCs w:val="21"/>
              </w:rPr>
            </w:pPr>
            <w:r>
              <w:rPr>
                <w:color w:val="auto"/>
                <w:kern w:val="0"/>
                <w:szCs w:val="21"/>
              </w:rPr>
              <w:t>最低检出</w:t>
            </w:r>
          </w:p>
          <w:p>
            <w:pPr>
              <w:widowControl/>
              <w:jc w:val="center"/>
              <w:rPr>
                <w:color w:val="auto"/>
                <w:kern w:val="0"/>
                <w:szCs w:val="21"/>
              </w:rPr>
            </w:pPr>
            <w:r>
              <w:rPr>
                <w:color w:val="auto"/>
                <w:kern w:val="0"/>
                <w:szCs w:val="21"/>
              </w:rPr>
              <w:t>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钾</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0.07mg/m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钠</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0.0005mg/m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钙</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5×10</w:t>
            </w:r>
            <w:r>
              <w:rPr>
                <w:color w:val="auto"/>
                <w:kern w:val="0"/>
                <w:szCs w:val="21"/>
                <w:vertAlign w:val="superscript"/>
                <w:lang w:bidi="ar"/>
              </w:rPr>
              <w:t>-4</w:t>
            </w:r>
            <w:r>
              <w:rPr>
                <w:color w:val="auto"/>
                <w:kern w:val="0"/>
                <w:szCs w:val="21"/>
                <w:lang w:bidi="ar"/>
              </w:rPr>
              <w:t>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镁</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5×10</w:t>
            </w:r>
            <w:r>
              <w:rPr>
                <w:color w:val="auto"/>
                <w:kern w:val="0"/>
                <w:szCs w:val="21"/>
                <w:vertAlign w:val="superscript"/>
                <w:lang w:bidi="ar"/>
              </w:rPr>
              <w:t>-4</w:t>
            </w:r>
            <w:r>
              <w:rPr>
                <w:color w:val="auto"/>
                <w:kern w:val="0"/>
                <w:szCs w:val="21"/>
                <w:lang w:bidi="ar"/>
              </w:rPr>
              <w:t>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砷</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《生活饮用水标准检验方法</w:t>
            </w:r>
            <w:r>
              <w:rPr>
                <w:color w:val="auto"/>
                <w:kern w:val="0"/>
                <w:szCs w:val="21"/>
                <w:lang w:bidi="ar"/>
              </w:rPr>
              <w:t xml:space="preserve"> </w:t>
            </w:r>
            <w:r>
              <w:rPr>
                <w:rFonts w:hint="eastAsia" w:ascii="宋体" w:hAnsi="宋体" w:cs="宋体"/>
                <w:color w:val="auto"/>
                <w:kern w:val="0"/>
                <w:szCs w:val="21"/>
                <w:lang w:bidi="ar"/>
              </w:rPr>
              <w:t>金属指标 电感耦合等离子体质谱法》</w:t>
            </w:r>
          </w:p>
        </w:tc>
        <w:tc>
          <w:tcPr>
            <w:tcW w:w="2339" w:type="dxa"/>
            <w:vAlign w:val="center"/>
          </w:tcPr>
          <w:p>
            <w:pPr>
              <w:widowControl/>
              <w:jc w:val="center"/>
              <w:textAlignment w:val="center"/>
              <w:rPr>
                <w:color w:val="auto"/>
                <w:kern w:val="0"/>
                <w:szCs w:val="21"/>
              </w:rPr>
            </w:pPr>
            <w:r>
              <w:rPr>
                <w:color w:val="auto"/>
                <w:kern w:val="0"/>
                <w:szCs w:val="21"/>
                <w:lang w:bidi="ar"/>
              </w:rPr>
              <w:t>ICP</w:t>
            </w:r>
            <w:r>
              <w:rPr>
                <w:rFonts w:hint="eastAsia" w:ascii="宋体" w:hAnsi="宋体" w:cs="宋体"/>
                <w:color w:val="auto"/>
                <w:kern w:val="0"/>
                <w:szCs w:val="21"/>
                <w:lang w:bidi="ar"/>
              </w:rPr>
              <w:t>质谱仪</w:t>
            </w:r>
            <w:r>
              <w:rPr>
                <w:color w:val="auto"/>
                <w:kern w:val="0"/>
                <w:szCs w:val="21"/>
                <w:lang w:bidi="ar"/>
              </w:rPr>
              <w:t>ICPMS-2030</w:t>
            </w:r>
          </w:p>
        </w:tc>
        <w:tc>
          <w:tcPr>
            <w:tcW w:w="1963" w:type="dxa"/>
            <w:vAlign w:val="center"/>
          </w:tcPr>
          <w:p>
            <w:pPr>
              <w:widowControl/>
              <w:jc w:val="center"/>
              <w:textAlignment w:val="center"/>
              <w:rPr>
                <w:color w:val="auto"/>
                <w:kern w:val="0"/>
                <w:szCs w:val="21"/>
              </w:rPr>
            </w:pPr>
            <w:r>
              <w:rPr>
                <w:color w:val="auto"/>
                <w:kern w:val="0"/>
                <w:szCs w:val="21"/>
                <w:lang w:bidi="ar"/>
              </w:rPr>
              <w:t>GB/T 5750.6-2006（1.5）</w:t>
            </w:r>
          </w:p>
        </w:tc>
        <w:tc>
          <w:tcPr>
            <w:tcW w:w="1160" w:type="dxa"/>
            <w:vAlign w:val="center"/>
          </w:tcPr>
          <w:p>
            <w:pPr>
              <w:widowControl/>
              <w:jc w:val="center"/>
              <w:textAlignment w:val="center"/>
              <w:rPr>
                <w:color w:val="auto"/>
                <w:kern w:val="0"/>
                <w:szCs w:val="21"/>
              </w:rPr>
            </w:pPr>
            <w:r>
              <w:rPr>
                <w:color w:val="auto"/>
                <w:kern w:val="0"/>
                <w:szCs w:val="21"/>
                <w:lang w:bidi="ar"/>
              </w:rPr>
              <w:t>0.001 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汞</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《水质</w:t>
            </w:r>
            <w:r>
              <w:rPr>
                <w:color w:val="auto"/>
                <w:kern w:val="0"/>
                <w:szCs w:val="21"/>
                <w:lang w:bidi="ar"/>
              </w:rPr>
              <w:t xml:space="preserve"> </w:t>
            </w:r>
            <w:r>
              <w:rPr>
                <w:rFonts w:hint="eastAsia" w:ascii="宋体" w:hAnsi="宋体" w:cs="宋体"/>
                <w:color w:val="auto"/>
                <w:kern w:val="0"/>
                <w:szCs w:val="21"/>
                <w:lang w:bidi="ar"/>
              </w:rPr>
              <w:t>汞、砷、硒、铋和锑的测定</w:t>
            </w:r>
            <w:r>
              <w:rPr>
                <w:color w:val="auto"/>
                <w:kern w:val="0"/>
                <w:szCs w:val="21"/>
                <w:lang w:bidi="ar"/>
              </w:rPr>
              <w:t xml:space="preserve"> </w:t>
            </w:r>
            <w:r>
              <w:rPr>
                <w:rFonts w:hint="eastAsia" w:ascii="宋体" w:hAnsi="宋体" w:cs="宋体"/>
                <w:color w:val="auto"/>
                <w:kern w:val="0"/>
                <w:szCs w:val="21"/>
                <w:lang w:bidi="ar"/>
              </w:rPr>
              <w:t>原子荧光法》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原子荧光光谱仪（非色散原子荧光光度计）</w:t>
            </w:r>
            <w:r>
              <w:rPr>
                <w:color w:val="auto"/>
                <w:kern w:val="0"/>
                <w:szCs w:val="21"/>
                <w:lang w:bidi="ar"/>
              </w:rPr>
              <w:t xml:space="preserve"> SK-2003A</w:t>
            </w:r>
          </w:p>
        </w:tc>
        <w:tc>
          <w:tcPr>
            <w:tcW w:w="1963" w:type="dxa"/>
            <w:vAlign w:val="center"/>
          </w:tcPr>
          <w:p>
            <w:pPr>
              <w:widowControl/>
              <w:jc w:val="center"/>
              <w:textAlignment w:val="center"/>
              <w:rPr>
                <w:color w:val="auto"/>
                <w:kern w:val="0"/>
                <w:szCs w:val="21"/>
              </w:rPr>
            </w:pPr>
            <w:r>
              <w:rPr>
                <w:color w:val="auto"/>
                <w:kern w:val="0"/>
                <w:szCs w:val="21"/>
                <w:lang w:bidi="ar"/>
              </w:rPr>
              <w:t>HJ 694-2014</w:t>
            </w:r>
          </w:p>
        </w:tc>
        <w:tc>
          <w:tcPr>
            <w:tcW w:w="1160" w:type="dxa"/>
            <w:vAlign w:val="center"/>
          </w:tcPr>
          <w:p>
            <w:pPr>
              <w:widowControl/>
              <w:jc w:val="center"/>
              <w:textAlignment w:val="center"/>
              <w:rPr>
                <w:color w:val="auto"/>
                <w:kern w:val="0"/>
                <w:szCs w:val="21"/>
              </w:rPr>
            </w:pPr>
            <w:r>
              <w:rPr>
                <w:color w:val="auto"/>
                <w:kern w:val="0"/>
                <w:szCs w:val="21"/>
                <w:lang w:bidi="ar"/>
              </w:rPr>
              <w:t>0.1ng/m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六价铬</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二苯碳酰二肼分光光度法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5750.6-2006</w:t>
            </w:r>
            <w:r>
              <w:rPr>
                <w:rFonts w:hint="eastAsia" w:ascii="宋体" w:hAnsi="宋体" w:cs="宋体"/>
                <w:color w:val="auto"/>
                <w:kern w:val="0"/>
                <w:szCs w:val="21"/>
                <w:lang w:bidi="ar"/>
              </w:rPr>
              <w:t>（</w:t>
            </w:r>
            <w:r>
              <w:rPr>
                <w:color w:val="auto"/>
                <w:kern w:val="0"/>
                <w:szCs w:val="21"/>
                <w:lang w:bidi="ar"/>
              </w:rPr>
              <w:t>10.1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0.07mg/L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铅</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《生活饮用水标准检验方法</w:t>
            </w:r>
            <w:r>
              <w:rPr>
                <w:color w:val="auto"/>
                <w:kern w:val="0"/>
                <w:szCs w:val="21"/>
                <w:lang w:bidi="ar"/>
              </w:rPr>
              <w:t xml:space="preserve"> </w:t>
            </w:r>
            <w:r>
              <w:rPr>
                <w:rFonts w:hint="eastAsia" w:ascii="宋体" w:hAnsi="宋体" w:cs="宋体"/>
                <w:color w:val="auto"/>
                <w:kern w:val="0"/>
                <w:szCs w:val="21"/>
                <w:lang w:bidi="ar"/>
              </w:rPr>
              <w:t>金属指标 电感耦合等离子体质谱法》</w:t>
            </w:r>
          </w:p>
        </w:tc>
        <w:tc>
          <w:tcPr>
            <w:tcW w:w="2339" w:type="dxa"/>
            <w:vAlign w:val="center"/>
          </w:tcPr>
          <w:p>
            <w:pPr>
              <w:widowControl/>
              <w:jc w:val="center"/>
              <w:textAlignment w:val="center"/>
              <w:rPr>
                <w:color w:val="auto"/>
                <w:kern w:val="0"/>
                <w:szCs w:val="21"/>
              </w:rPr>
            </w:pPr>
            <w:r>
              <w:rPr>
                <w:color w:val="auto"/>
                <w:kern w:val="0"/>
                <w:szCs w:val="21"/>
                <w:lang w:bidi="ar"/>
              </w:rPr>
              <w:t>ICP</w:t>
            </w:r>
            <w:r>
              <w:rPr>
                <w:rFonts w:hint="eastAsia" w:ascii="宋体" w:hAnsi="宋体" w:cs="宋体"/>
                <w:color w:val="auto"/>
                <w:kern w:val="0"/>
                <w:szCs w:val="21"/>
                <w:lang w:bidi="ar"/>
              </w:rPr>
              <w:t>质谱仪</w:t>
            </w:r>
            <w:r>
              <w:rPr>
                <w:color w:val="auto"/>
                <w:kern w:val="0"/>
                <w:szCs w:val="21"/>
                <w:lang w:bidi="ar"/>
              </w:rPr>
              <w:t>ICPMS-2030</w:t>
            </w:r>
          </w:p>
        </w:tc>
        <w:tc>
          <w:tcPr>
            <w:tcW w:w="1963" w:type="dxa"/>
            <w:vAlign w:val="center"/>
          </w:tcPr>
          <w:p>
            <w:pPr>
              <w:widowControl/>
              <w:jc w:val="center"/>
              <w:textAlignment w:val="center"/>
              <w:rPr>
                <w:color w:val="auto"/>
                <w:kern w:val="0"/>
                <w:szCs w:val="21"/>
              </w:rPr>
            </w:pPr>
            <w:r>
              <w:rPr>
                <w:color w:val="auto"/>
                <w:kern w:val="0"/>
                <w:szCs w:val="21"/>
                <w:lang w:bidi="ar"/>
              </w:rPr>
              <w:t>GB/T 5750.6-2006（1.5）</w:t>
            </w:r>
          </w:p>
        </w:tc>
        <w:tc>
          <w:tcPr>
            <w:tcW w:w="1160" w:type="dxa"/>
            <w:vAlign w:val="center"/>
          </w:tcPr>
          <w:p>
            <w:pPr>
              <w:widowControl/>
              <w:jc w:val="center"/>
              <w:textAlignment w:val="center"/>
              <w:rPr>
                <w:color w:val="auto"/>
                <w:kern w:val="0"/>
                <w:szCs w:val="21"/>
              </w:rPr>
            </w:pPr>
            <w:r>
              <w:rPr>
                <w:color w:val="auto"/>
                <w:kern w:val="0"/>
                <w:szCs w:val="21"/>
                <w:lang w:bidi="ar"/>
              </w:rPr>
              <w:t>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镉</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《生活饮用水标准检验方法</w:t>
            </w:r>
            <w:r>
              <w:rPr>
                <w:color w:val="auto"/>
                <w:kern w:val="0"/>
                <w:szCs w:val="21"/>
                <w:lang w:bidi="ar"/>
              </w:rPr>
              <w:t xml:space="preserve"> </w:t>
            </w:r>
            <w:r>
              <w:rPr>
                <w:rFonts w:hint="eastAsia" w:ascii="宋体" w:hAnsi="宋体" w:cs="宋体"/>
                <w:color w:val="auto"/>
                <w:kern w:val="0"/>
                <w:szCs w:val="21"/>
                <w:lang w:bidi="ar"/>
              </w:rPr>
              <w:t>金属指标 电感耦合等离子体质谱法》</w:t>
            </w:r>
          </w:p>
        </w:tc>
        <w:tc>
          <w:tcPr>
            <w:tcW w:w="2339" w:type="dxa"/>
            <w:vAlign w:val="center"/>
          </w:tcPr>
          <w:p>
            <w:pPr>
              <w:widowControl/>
              <w:jc w:val="center"/>
              <w:textAlignment w:val="center"/>
              <w:rPr>
                <w:color w:val="auto"/>
                <w:kern w:val="0"/>
                <w:szCs w:val="21"/>
              </w:rPr>
            </w:pPr>
            <w:r>
              <w:rPr>
                <w:color w:val="auto"/>
                <w:kern w:val="0"/>
                <w:szCs w:val="21"/>
                <w:lang w:bidi="ar"/>
              </w:rPr>
              <w:t>ICP</w:t>
            </w:r>
            <w:r>
              <w:rPr>
                <w:rFonts w:hint="eastAsia" w:ascii="宋体" w:hAnsi="宋体" w:cs="宋体"/>
                <w:color w:val="auto"/>
                <w:kern w:val="0"/>
                <w:szCs w:val="21"/>
                <w:lang w:bidi="ar"/>
              </w:rPr>
              <w:t>质谱仪</w:t>
            </w:r>
            <w:r>
              <w:rPr>
                <w:color w:val="auto"/>
                <w:kern w:val="0"/>
                <w:szCs w:val="21"/>
                <w:lang w:bidi="ar"/>
              </w:rPr>
              <w:t>ICPMS-2030</w:t>
            </w:r>
          </w:p>
        </w:tc>
        <w:tc>
          <w:tcPr>
            <w:tcW w:w="1963" w:type="dxa"/>
            <w:vAlign w:val="center"/>
          </w:tcPr>
          <w:p>
            <w:pPr>
              <w:widowControl/>
              <w:jc w:val="center"/>
              <w:textAlignment w:val="center"/>
              <w:rPr>
                <w:color w:val="auto"/>
                <w:kern w:val="0"/>
                <w:szCs w:val="21"/>
              </w:rPr>
            </w:pPr>
            <w:r>
              <w:rPr>
                <w:color w:val="auto"/>
                <w:kern w:val="0"/>
                <w:szCs w:val="21"/>
                <w:lang w:bidi="ar"/>
              </w:rPr>
              <w:t>GB/T 5750.6-2006（1.5）</w:t>
            </w:r>
          </w:p>
        </w:tc>
        <w:tc>
          <w:tcPr>
            <w:tcW w:w="1160" w:type="dxa"/>
            <w:vAlign w:val="center"/>
          </w:tcPr>
          <w:p>
            <w:pPr>
              <w:widowControl/>
              <w:jc w:val="center"/>
              <w:textAlignment w:val="center"/>
              <w:rPr>
                <w:color w:val="auto"/>
                <w:kern w:val="0"/>
                <w:szCs w:val="21"/>
              </w:rPr>
            </w:pPr>
            <w:r>
              <w:rPr>
                <w:color w:val="auto"/>
                <w:kern w:val="0"/>
                <w:szCs w:val="21"/>
                <w:lang w:bidi="ar"/>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铁</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锰</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0.09µg/L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铜</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0.04μg/L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锌</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铝</w:t>
            </w:r>
          </w:p>
        </w:tc>
        <w:tc>
          <w:tcPr>
            <w:tcW w:w="2240" w:type="dxa"/>
            <w:vAlign w:val="center"/>
          </w:tcPr>
          <w:p>
            <w:pPr>
              <w:widowControl/>
              <w:jc w:val="center"/>
              <w:textAlignment w:val="center"/>
              <w:rPr>
                <w:color w:val="auto"/>
                <w:kern w:val="0"/>
                <w:szCs w:val="21"/>
              </w:rPr>
            </w:pPr>
            <w:r>
              <w:rPr>
                <w:color w:val="auto"/>
                <w:kern w:val="0"/>
                <w:szCs w:val="21"/>
                <w:lang w:bidi="ar"/>
              </w:rPr>
              <w:t>水质 32种元素的测定 电感耦合等离子体发射光谱法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电感耦合等离子体发射光谱仪</w:t>
            </w:r>
            <w:r>
              <w:rPr>
                <w:color w:val="auto"/>
                <w:kern w:val="0"/>
                <w:szCs w:val="21"/>
                <w:lang w:bidi="ar"/>
              </w:rPr>
              <w:t xml:space="preserve"> 5110 VDV ICP-OES</w:t>
            </w:r>
          </w:p>
        </w:tc>
        <w:tc>
          <w:tcPr>
            <w:tcW w:w="1963" w:type="dxa"/>
            <w:vAlign w:val="center"/>
          </w:tcPr>
          <w:p>
            <w:pPr>
              <w:widowControl/>
              <w:jc w:val="center"/>
              <w:textAlignment w:val="center"/>
              <w:rPr>
                <w:color w:val="auto"/>
                <w:kern w:val="0"/>
                <w:szCs w:val="21"/>
              </w:rPr>
            </w:pPr>
            <w:r>
              <w:rPr>
                <w:color w:val="auto"/>
                <w:kern w:val="0"/>
                <w:szCs w:val="21"/>
                <w:lang w:bidi="ar"/>
              </w:rPr>
              <w:t>HJ 776-2015</w:t>
            </w:r>
          </w:p>
        </w:tc>
        <w:tc>
          <w:tcPr>
            <w:tcW w:w="1160" w:type="dxa"/>
            <w:vAlign w:val="center"/>
          </w:tcPr>
          <w:p>
            <w:pPr>
              <w:widowControl/>
              <w:jc w:val="center"/>
              <w:textAlignment w:val="center"/>
              <w:rPr>
                <w:color w:val="auto"/>
                <w:kern w:val="0"/>
                <w:szCs w:val="21"/>
              </w:rPr>
            </w:pPr>
            <w:r>
              <w:rPr>
                <w:color w:val="auto"/>
                <w:kern w:val="0"/>
                <w:szCs w:val="21"/>
                <w:lang w:bidi="ar"/>
              </w:rPr>
              <w:t>0.07µg/L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碳酸盐</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酸碱指示剂滴定法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具塞滴定管</w:t>
            </w:r>
            <w:r>
              <w:rPr>
                <w:color w:val="auto"/>
                <w:kern w:val="0"/>
                <w:szCs w:val="21"/>
                <w:lang w:bidi="ar"/>
              </w:rPr>
              <w:t xml:space="preserve"> 25mL</w:t>
            </w:r>
          </w:p>
        </w:tc>
        <w:tc>
          <w:tcPr>
            <w:tcW w:w="196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《水和废水监测分析方法》</w:t>
            </w:r>
            <w:r>
              <w:rPr>
                <w:color w:val="auto"/>
                <w:kern w:val="0"/>
                <w:szCs w:val="21"/>
                <w:lang w:bidi="ar"/>
              </w:rPr>
              <w:t>(</w:t>
            </w:r>
            <w:r>
              <w:rPr>
                <w:rFonts w:hint="eastAsia" w:ascii="宋体" w:hAnsi="宋体" w:cs="宋体"/>
                <w:color w:val="auto"/>
                <w:kern w:val="0"/>
                <w:szCs w:val="21"/>
                <w:lang w:bidi="ar"/>
              </w:rPr>
              <w:t>第四版增补版</w:t>
            </w:r>
            <w:r>
              <w:rPr>
                <w:color w:val="auto"/>
                <w:kern w:val="0"/>
                <w:szCs w:val="21"/>
                <w:lang w:bidi="ar"/>
              </w:rPr>
              <w:t xml:space="preserve">) </w:t>
            </w:r>
            <w:r>
              <w:rPr>
                <w:rFonts w:hint="eastAsia" w:ascii="宋体" w:hAnsi="宋体" w:cs="宋体"/>
                <w:color w:val="auto"/>
                <w:kern w:val="0"/>
                <w:szCs w:val="21"/>
                <w:lang w:bidi="ar"/>
              </w:rPr>
              <w:t>国家环保总局（</w:t>
            </w:r>
            <w:r>
              <w:rPr>
                <w:color w:val="auto"/>
                <w:kern w:val="0"/>
                <w:szCs w:val="21"/>
                <w:lang w:bidi="ar"/>
              </w:rPr>
              <w:t>2002</w:t>
            </w:r>
            <w:r>
              <w:rPr>
                <w:rFonts w:hint="eastAsia" w:ascii="宋体" w:hAnsi="宋体" w:cs="宋体"/>
                <w:color w:val="auto"/>
                <w:kern w:val="0"/>
                <w:szCs w:val="21"/>
                <w:lang w:bidi="ar"/>
              </w:rPr>
              <w:t>年）</w:t>
            </w:r>
            <w:r>
              <w:rPr>
                <w:color w:val="auto"/>
                <w:kern w:val="0"/>
                <w:szCs w:val="21"/>
                <w:lang w:bidi="ar"/>
              </w:rPr>
              <w:t xml:space="preserve"> 3.1.12.1</w:t>
            </w:r>
          </w:p>
        </w:tc>
        <w:tc>
          <w:tcPr>
            <w:tcW w:w="1160" w:type="dxa"/>
            <w:vAlign w:val="center"/>
          </w:tcPr>
          <w:p>
            <w:pPr>
              <w:widowControl/>
              <w:jc w:val="center"/>
              <w:textAlignment w:val="center"/>
              <w:rPr>
                <w:color w:val="auto"/>
                <w:kern w:val="0"/>
                <w:szCs w:val="21"/>
              </w:rPr>
            </w:pPr>
            <w:r>
              <w:rPr>
                <w:color w:val="auto"/>
                <w:kern w:val="0"/>
                <w:szCs w:val="21"/>
                <w:lang w:bidi="ar"/>
              </w:rPr>
              <w:t>0.06µg/L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碳酸氢盐（碳酸氢根）</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酸碱指示剂滴定法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具塞滴定管</w:t>
            </w:r>
            <w:r>
              <w:rPr>
                <w:color w:val="auto"/>
                <w:kern w:val="0"/>
                <w:szCs w:val="21"/>
                <w:lang w:bidi="ar"/>
              </w:rPr>
              <w:t xml:space="preserve"> 25mL</w:t>
            </w:r>
          </w:p>
        </w:tc>
        <w:tc>
          <w:tcPr>
            <w:tcW w:w="196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《水和废水监测分析方法》</w:t>
            </w:r>
            <w:r>
              <w:rPr>
                <w:color w:val="auto"/>
                <w:kern w:val="0"/>
                <w:szCs w:val="21"/>
                <w:lang w:bidi="ar"/>
              </w:rPr>
              <w:t>(</w:t>
            </w:r>
            <w:r>
              <w:rPr>
                <w:rFonts w:hint="eastAsia" w:ascii="宋体" w:hAnsi="宋体" w:cs="宋体"/>
                <w:color w:val="auto"/>
                <w:kern w:val="0"/>
                <w:szCs w:val="21"/>
                <w:lang w:bidi="ar"/>
              </w:rPr>
              <w:t>第四版增补版</w:t>
            </w:r>
            <w:r>
              <w:rPr>
                <w:color w:val="auto"/>
                <w:kern w:val="0"/>
                <w:szCs w:val="21"/>
                <w:lang w:bidi="ar"/>
              </w:rPr>
              <w:t xml:space="preserve">)  </w:t>
            </w:r>
            <w:r>
              <w:rPr>
                <w:rFonts w:hint="eastAsia" w:ascii="宋体" w:hAnsi="宋体" w:cs="宋体"/>
                <w:color w:val="auto"/>
                <w:kern w:val="0"/>
                <w:szCs w:val="21"/>
                <w:lang w:bidi="ar"/>
              </w:rPr>
              <w:t>国家环保总局</w:t>
            </w:r>
            <w:r>
              <w:rPr>
                <w:color w:val="auto"/>
                <w:kern w:val="0"/>
                <w:szCs w:val="21"/>
                <w:lang w:bidi="ar"/>
              </w:rPr>
              <w:t xml:space="preserve">  (2002</w:t>
            </w:r>
            <w:r>
              <w:rPr>
                <w:rFonts w:hint="eastAsia" w:ascii="宋体" w:hAnsi="宋体" w:cs="宋体"/>
                <w:color w:val="auto"/>
                <w:kern w:val="0"/>
                <w:szCs w:val="21"/>
                <w:lang w:bidi="ar"/>
              </w:rPr>
              <w:t>年</w:t>
            </w:r>
            <w:r>
              <w:rPr>
                <w:color w:val="auto"/>
                <w:kern w:val="0"/>
                <w:szCs w:val="21"/>
                <w:lang w:bidi="ar"/>
              </w:rPr>
              <w:t>)3.1.12.1</w:t>
            </w:r>
          </w:p>
        </w:tc>
        <w:tc>
          <w:tcPr>
            <w:tcW w:w="1160" w:type="dxa"/>
            <w:vAlign w:val="center"/>
          </w:tcPr>
          <w:p>
            <w:pPr>
              <w:widowControl/>
              <w:jc w:val="center"/>
              <w:textAlignment w:val="center"/>
              <w:rPr>
                <w:color w:val="auto"/>
                <w:kern w:val="0"/>
                <w:szCs w:val="21"/>
              </w:rPr>
            </w:pPr>
            <w:r>
              <w:rPr>
                <w:color w:val="auto"/>
                <w:kern w:val="0"/>
                <w:szCs w:val="21"/>
                <w:lang w:bidi="ar"/>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color w:val="auto"/>
                <w:kern w:val="0"/>
                <w:szCs w:val="21"/>
                <w:lang w:bidi="ar"/>
              </w:rPr>
              <w:t>pH</w:t>
            </w:r>
            <w:r>
              <w:rPr>
                <w:rFonts w:hint="eastAsia" w:ascii="宋体" w:hAnsi="宋体" w:cs="宋体"/>
                <w:color w:val="auto"/>
                <w:kern w:val="0"/>
                <w:szCs w:val="21"/>
                <w:lang w:bidi="ar"/>
              </w:rPr>
              <w:t>值</w:t>
            </w:r>
          </w:p>
        </w:tc>
        <w:tc>
          <w:tcPr>
            <w:tcW w:w="2240" w:type="dxa"/>
            <w:vAlign w:val="center"/>
          </w:tcPr>
          <w:p>
            <w:pPr>
              <w:widowControl/>
              <w:jc w:val="center"/>
              <w:textAlignment w:val="center"/>
              <w:rPr>
                <w:color w:val="auto"/>
                <w:kern w:val="0"/>
                <w:szCs w:val="21"/>
              </w:rPr>
            </w:pPr>
            <w:r>
              <w:rPr>
                <w:color w:val="auto"/>
                <w:kern w:val="0"/>
                <w:szCs w:val="21"/>
                <w:lang w:bidi="ar"/>
              </w:rPr>
              <w:t>玻璃电极法</w:t>
            </w:r>
          </w:p>
        </w:tc>
        <w:tc>
          <w:tcPr>
            <w:tcW w:w="2339" w:type="dxa"/>
            <w:vAlign w:val="center"/>
          </w:tcPr>
          <w:p>
            <w:pPr>
              <w:widowControl/>
              <w:jc w:val="center"/>
              <w:textAlignment w:val="center"/>
              <w:rPr>
                <w:color w:val="auto"/>
                <w:kern w:val="0"/>
                <w:szCs w:val="21"/>
              </w:rPr>
            </w:pPr>
            <w:r>
              <w:rPr>
                <w:color w:val="auto"/>
                <w:kern w:val="0"/>
                <w:szCs w:val="21"/>
                <w:lang w:bidi="ar"/>
              </w:rPr>
              <w:t>水质多参数分析仪DZS-706</w:t>
            </w:r>
          </w:p>
        </w:tc>
        <w:tc>
          <w:tcPr>
            <w:tcW w:w="1963" w:type="dxa"/>
            <w:vAlign w:val="center"/>
          </w:tcPr>
          <w:p>
            <w:pPr>
              <w:widowControl/>
              <w:jc w:val="center"/>
              <w:textAlignment w:val="center"/>
              <w:rPr>
                <w:color w:val="auto"/>
                <w:kern w:val="0"/>
                <w:szCs w:val="21"/>
              </w:rPr>
            </w:pPr>
            <w:r>
              <w:rPr>
                <w:color w:val="auto"/>
                <w:kern w:val="0"/>
                <w:szCs w:val="21"/>
                <w:lang w:bidi="ar"/>
              </w:rPr>
              <w:t>GB/T 5750.4-2006</w:t>
            </w:r>
            <w:r>
              <w:rPr>
                <w:rFonts w:hint="eastAsia" w:ascii="宋体" w:hAnsi="宋体" w:cs="宋体"/>
                <w:color w:val="auto"/>
                <w:kern w:val="0"/>
                <w:szCs w:val="21"/>
                <w:lang w:bidi="ar"/>
              </w:rPr>
              <w:t>（</w:t>
            </w:r>
            <w:r>
              <w:rPr>
                <w:color w:val="auto"/>
                <w:kern w:val="0"/>
                <w:szCs w:val="21"/>
                <w:lang w:bidi="ar"/>
              </w:rPr>
              <w:t>5.1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氨氮</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纳氏试剂分光光度法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9.1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硝酸盐（以</w:t>
            </w:r>
            <w:r>
              <w:rPr>
                <w:color w:val="auto"/>
                <w:kern w:val="0"/>
                <w:szCs w:val="21"/>
                <w:lang w:bidi="ar"/>
              </w:rPr>
              <w:t>N</w:t>
            </w:r>
            <w:r>
              <w:rPr>
                <w:rFonts w:hint="eastAsia" w:ascii="宋体" w:hAnsi="宋体" w:cs="宋体"/>
                <w:color w:val="auto"/>
                <w:kern w:val="0"/>
                <w:szCs w:val="21"/>
                <w:lang w:bidi="ar"/>
              </w:rPr>
              <w:t>计）</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紫外分光光度法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紫外可见分光光度计</w:t>
            </w:r>
            <w:r>
              <w:rPr>
                <w:color w:val="auto"/>
                <w:kern w:val="0"/>
                <w:szCs w:val="21"/>
                <w:lang w:bidi="ar"/>
              </w:rPr>
              <w:t>UV-1780</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5.2</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0.009mg/L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亚硝酸盐（以</w:t>
            </w:r>
            <w:r>
              <w:rPr>
                <w:color w:val="auto"/>
                <w:kern w:val="0"/>
                <w:szCs w:val="21"/>
                <w:lang w:bidi="ar"/>
              </w:rPr>
              <w:t>N</w:t>
            </w:r>
            <w:r>
              <w:rPr>
                <w:rFonts w:hint="eastAsia" w:ascii="宋体" w:hAnsi="宋体" w:cs="宋体"/>
                <w:color w:val="auto"/>
                <w:kern w:val="0"/>
                <w:szCs w:val="21"/>
                <w:lang w:bidi="ar"/>
              </w:rPr>
              <w:t>计）</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重氮偶合分光光度法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10.1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0.009mg/L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硫酸盐</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铬酸钡分光光度法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 xml:space="preserve">GB/T 5750.5-2006 </w:t>
            </w:r>
            <w:r>
              <w:rPr>
                <w:rFonts w:hint="eastAsia" w:ascii="宋体" w:hAnsi="宋体" w:cs="宋体"/>
                <w:color w:val="auto"/>
                <w:kern w:val="0"/>
                <w:szCs w:val="21"/>
                <w:lang w:bidi="ar"/>
              </w:rPr>
              <w:t>（</w:t>
            </w:r>
            <w:r>
              <w:rPr>
                <w:color w:val="auto"/>
                <w:kern w:val="0"/>
                <w:szCs w:val="21"/>
                <w:lang w:bidi="ar"/>
              </w:rPr>
              <w:t>1.3</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挥发酚类</w:t>
            </w:r>
          </w:p>
        </w:tc>
        <w:tc>
          <w:tcPr>
            <w:tcW w:w="2240" w:type="dxa"/>
            <w:vAlign w:val="center"/>
          </w:tcPr>
          <w:p>
            <w:pPr>
              <w:widowControl/>
              <w:jc w:val="center"/>
              <w:textAlignment w:val="center"/>
              <w:rPr>
                <w:color w:val="auto"/>
                <w:kern w:val="0"/>
                <w:szCs w:val="21"/>
              </w:rPr>
            </w:pPr>
            <w:r>
              <w:rPr>
                <w:color w:val="auto"/>
                <w:kern w:val="0"/>
                <w:szCs w:val="21"/>
                <w:lang w:bidi="ar"/>
              </w:rPr>
              <w:t>4-</w:t>
            </w:r>
            <w:r>
              <w:rPr>
                <w:rFonts w:hint="eastAsia" w:ascii="宋体" w:hAnsi="宋体" w:cs="宋体"/>
                <w:color w:val="auto"/>
                <w:kern w:val="0"/>
                <w:szCs w:val="21"/>
                <w:lang w:bidi="ar"/>
              </w:rPr>
              <w:t>氨基安替吡林三氯甲烷萃取分光光度法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5750.4-2006</w:t>
            </w:r>
            <w:r>
              <w:rPr>
                <w:rFonts w:hint="eastAsia" w:ascii="宋体" w:hAnsi="宋体" w:cs="宋体"/>
                <w:color w:val="auto"/>
                <w:kern w:val="0"/>
                <w:szCs w:val="21"/>
                <w:lang w:bidi="ar"/>
              </w:rPr>
              <w:t>（</w:t>
            </w:r>
            <w:r>
              <w:rPr>
                <w:color w:val="auto"/>
                <w:kern w:val="0"/>
                <w:szCs w:val="21"/>
                <w:lang w:bidi="ar"/>
              </w:rPr>
              <w:t>9.1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氰化物</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异烟酸</w:t>
            </w:r>
            <w:r>
              <w:rPr>
                <w:color w:val="auto"/>
                <w:kern w:val="0"/>
                <w:szCs w:val="21"/>
                <w:lang w:bidi="ar"/>
              </w:rPr>
              <w:t>-</w:t>
            </w:r>
            <w:r>
              <w:rPr>
                <w:rFonts w:hint="eastAsia" w:ascii="宋体" w:hAnsi="宋体" w:cs="宋体"/>
                <w:color w:val="auto"/>
                <w:kern w:val="0"/>
                <w:szCs w:val="21"/>
                <w:lang w:bidi="ar"/>
              </w:rPr>
              <w:t>吡唑酮分光光度法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4.1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氟化物</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氟试剂分光光度法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可见分光光度计</w:t>
            </w:r>
            <w:r>
              <w:rPr>
                <w:color w:val="auto"/>
                <w:kern w:val="0"/>
                <w:szCs w:val="21"/>
                <w:lang w:bidi="ar"/>
              </w:rPr>
              <w:t>722N</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3.3</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氯化物</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硝酸银容量法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滴定管</w:t>
            </w:r>
          </w:p>
        </w:tc>
        <w:tc>
          <w:tcPr>
            <w:tcW w:w="1963" w:type="dxa"/>
            <w:vAlign w:val="center"/>
          </w:tcPr>
          <w:p>
            <w:pPr>
              <w:widowControl/>
              <w:jc w:val="center"/>
              <w:textAlignment w:val="center"/>
              <w:rPr>
                <w:color w:val="auto"/>
                <w:kern w:val="0"/>
                <w:szCs w:val="21"/>
              </w:rPr>
            </w:pPr>
            <w:r>
              <w:rPr>
                <w:color w:val="auto"/>
                <w:kern w:val="0"/>
                <w:szCs w:val="21"/>
                <w:lang w:bidi="ar"/>
              </w:rPr>
              <w:t>GB/T 5750.5-2006</w:t>
            </w:r>
            <w:r>
              <w:rPr>
                <w:rFonts w:hint="eastAsia" w:ascii="宋体" w:hAnsi="宋体" w:cs="宋体"/>
                <w:color w:val="auto"/>
                <w:kern w:val="0"/>
                <w:szCs w:val="21"/>
                <w:lang w:bidi="ar"/>
              </w:rPr>
              <w:t>（</w:t>
            </w:r>
            <w:r>
              <w:rPr>
                <w:color w:val="auto"/>
                <w:kern w:val="0"/>
                <w:szCs w:val="21"/>
                <w:lang w:bidi="ar"/>
              </w:rPr>
              <w:t>2.1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color w:val="auto"/>
                <w:kern w:val="0"/>
                <w:szCs w:val="21"/>
                <w:lang w:bidi="ar"/>
              </w:rPr>
              <w:t>总硬度</w:t>
            </w:r>
          </w:p>
        </w:tc>
        <w:tc>
          <w:tcPr>
            <w:tcW w:w="2240" w:type="dxa"/>
            <w:vAlign w:val="center"/>
          </w:tcPr>
          <w:p>
            <w:pPr>
              <w:widowControl/>
              <w:jc w:val="center"/>
              <w:textAlignment w:val="center"/>
              <w:rPr>
                <w:color w:val="auto"/>
                <w:kern w:val="0"/>
                <w:szCs w:val="21"/>
              </w:rPr>
            </w:pPr>
            <w:r>
              <w:rPr>
                <w:color w:val="auto"/>
                <w:kern w:val="0"/>
                <w:szCs w:val="21"/>
                <w:lang w:bidi="ar"/>
              </w:rPr>
              <w:t>乙二胺四乙酸二钠滴定法</w:t>
            </w:r>
          </w:p>
        </w:tc>
        <w:tc>
          <w:tcPr>
            <w:tcW w:w="2339" w:type="dxa"/>
            <w:vAlign w:val="center"/>
          </w:tcPr>
          <w:p>
            <w:pPr>
              <w:widowControl/>
              <w:jc w:val="center"/>
              <w:textAlignment w:val="center"/>
              <w:rPr>
                <w:color w:val="auto"/>
                <w:kern w:val="0"/>
                <w:szCs w:val="21"/>
              </w:rPr>
            </w:pPr>
            <w:r>
              <w:rPr>
                <w:color w:val="auto"/>
                <w:kern w:val="0"/>
                <w:szCs w:val="21"/>
                <w:lang w:bidi="ar"/>
              </w:rPr>
              <w:t>滴定管</w:t>
            </w:r>
          </w:p>
        </w:tc>
        <w:tc>
          <w:tcPr>
            <w:tcW w:w="1963" w:type="dxa"/>
            <w:vAlign w:val="center"/>
          </w:tcPr>
          <w:p>
            <w:pPr>
              <w:widowControl/>
              <w:jc w:val="center"/>
              <w:textAlignment w:val="center"/>
              <w:rPr>
                <w:color w:val="auto"/>
                <w:kern w:val="0"/>
                <w:szCs w:val="21"/>
              </w:rPr>
            </w:pPr>
            <w:r>
              <w:rPr>
                <w:color w:val="auto"/>
                <w:kern w:val="0"/>
                <w:szCs w:val="21"/>
                <w:lang w:bidi="ar"/>
              </w:rPr>
              <w:t xml:space="preserve">GB/T 5750.4-2006 </w:t>
            </w:r>
            <w:r>
              <w:rPr>
                <w:rFonts w:hint="eastAsia" w:ascii="宋体" w:hAnsi="宋体" w:cs="宋体"/>
                <w:color w:val="auto"/>
                <w:kern w:val="0"/>
                <w:szCs w:val="21"/>
                <w:lang w:bidi="ar"/>
              </w:rPr>
              <w:t>（</w:t>
            </w:r>
            <w:r>
              <w:rPr>
                <w:color w:val="auto"/>
                <w:kern w:val="0"/>
                <w:szCs w:val="21"/>
                <w:lang w:bidi="ar"/>
              </w:rPr>
              <w:t>7.1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color w:val="auto"/>
                <w:kern w:val="0"/>
                <w:szCs w:val="21"/>
                <w:lang w:bidi="ar"/>
              </w:rPr>
              <w:t>溶解性总固体</w:t>
            </w:r>
          </w:p>
        </w:tc>
        <w:tc>
          <w:tcPr>
            <w:tcW w:w="2240" w:type="dxa"/>
            <w:vAlign w:val="center"/>
          </w:tcPr>
          <w:p>
            <w:pPr>
              <w:widowControl/>
              <w:jc w:val="center"/>
              <w:textAlignment w:val="center"/>
              <w:rPr>
                <w:color w:val="auto"/>
                <w:kern w:val="0"/>
                <w:szCs w:val="21"/>
              </w:rPr>
            </w:pPr>
            <w:r>
              <w:rPr>
                <w:color w:val="auto"/>
                <w:kern w:val="0"/>
                <w:szCs w:val="21"/>
                <w:lang w:bidi="ar"/>
              </w:rPr>
              <w:t>称量法</w:t>
            </w:r>
          </w:p>
        </w:tc>
        <w:tc>
          <w:tcPr>
            <w:tcW w:w="2339" w:type="dxa"/>
            <w:vAlign w:val="center"/>
          </w:tcPr>
          <w:p>
            <w:pPr>
              <w:widowControl/>
              <w:jc w:val="center"/>
              <w:textAlignment w:val="center"/>
              <w:rPr>
                <w:color w:val="auto"/>
                <w:kern w:val="0"/>
                <w:szCs w:val="21"/>
              </w:rPr>
            </w:pPr>
            <w:r>
              <w:rPr>
                <w:color w:val="auto"/>
                <w:kern w:val="0"/>
                <w:szCs w:val="21"/>
                <w:lang w:bidi="ar"/>
              </w:rPr>
              <w:t>电子天平</w:t>
            </w:r>
            <w:r>
              <w:rPr>
                <w:rFonts w:hint="eastAsia" w:ascii="宋体" w:hAnsi="宋体" w:cs="宋体"/>
                <w:color w:val="auto"/>
                <w:kern w:val="0"/>
                <w:szCs w:val="21"/>
                <w:lang w:bidi="ar"/>
              </w:rPr>
              <w:t>AUW120D</w:t>
            </w:r>
          </w:p>
        </w:tc>
        <w:tc>
          <w:tcPr>
            <w:tcW w:w="1963" w:type="dxa"/>
            <w:vAlign w:val="center"/>
          </w:tcPr>
          <w:p>
            <w:pPr>
              <w:widowControl/>
              <w:jc w:val="center"/>
              <w:textAlignment w:val="center"/>
              <w:rPr>
                <w:color w:val="auto"/>
                <w:kern w:val="0"/>
                <w:szCs w:val="21"/>
              </w:rPr>
            </w:pPr>
            <w:r>
              <w:rPr>
                <w:color w:val="auto"/>
                <w:kern w:val="0"/>
                <w:szCs w:val="21"/>
                <w:lang w:bidi="ar"/>
              </w:rPr>
              <w:t>GB/T 5750.4-2006</w:t>
            </w:r>
            <w:r>
              <w:rPr>
                <w:rFonts w:hint="eastAsia" w:ascii="宋体" w:hAnsi="宋体" w:cs="宋体"/>
                <w:color w:val="auto"/>
                <w:kern w:val="0"/>
                <w:szCs w:val="21"/>
                <w:lang w:bidi="ar"/>
              </w:rPr>
              <w:t>（</w:t>
            </w:r>
            <w:r>
              <w:rPr>
                <w:color w:val="auto"/>
                <w:kern w:val="0"/>
                <w:szCs w:val="21"/>
                <w:lang w:bidi="ar"/>
              </w:rPr>
              <w:t>8.1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高锰酸盐指数</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滴定法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滴定管</w:t>
            </w:r>
            <w:r>
              <w:rPr>
                <w:color w:val="auto"/>
                <w:kern w:val="0"/>
                <w:szCs w:val="21"/>
                <w:lang w:bidi="ar"/>
              </w:rPr>
              <w:t>25mL</w:t>
            </w:r>
          </w:p>
        </w:tc>
        <w:tc>
          <w:tcPr>
            <w:tcW w:w="1963" w:type="dxa"/>
            <w:vAlign w:val="center"/>
          </w:tcPr>
          <w:p>
            <w:pPr>
              <w:widowControl/>
              <w:jc w:val="center"/>
              <w:textAlignment w:val="center"/>
              <w:rPr>
                <w:color w:val="auto"/>
                <w:kern w:val="0"/>
                <w:szCs w:val="21"/>
              </w:rPr>
            </w:pPr>
            <w:r>
              <w:rPr>
                <w:color w:val="auto"/>
                <w:kern w:val="0"/>
                <w:szCs w:val="21"/>
                <w:lang w:bidi="ar"/>
              </w:rPr>
              <w:t> GB 11892-1989</w:t>
            </w:r>
          </w:p>
        </w:tc>
        <w:tc>
          <w:tcPr>
            <w:tcW w:w="1160" w:type="dxa"/>
            <w:vAlign w:val="center"/>
          </w:tcPr>
          <w:p>
            <w:pPr>
              <w:widowControl/>
              <w:jc w:val="center"/>
              <w:textAlignment w:val="center"/>
              <w:rPr>
                <w:color w:val="auto"/>
                <w:kern w:val="0"/>
                <w:szCs w:val="21"/>
              </w:rPr>
            </w:pPr>
            <w:r>
              <w:rPr>
                <w:color w:val="auto"/>
                <w:kern w:val="0"/>
                <w:szCs w:val="21"/>
                <w:lang w:bidi="ar"/>
              </w:rPr>
              <w:t>0.002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rPr>
            </w:pPr>
            <w:r>
              <w:rPr>
                <w:color w:val="auto"/>
                <w:kern w:val="0"/>
                <w:szCs w:val="21"/>
                <w:lang w:bidi="ar"/>
              </w:rPr>
              <w:t>总大肠菌群</w:t>
            </w:r>
          </w:p>
        </w:tc>
        <w:tc>
          <w:tcPr>
            <w:tcW w:w="2240" w:type="dxa"/>
            <w:vAlign w:val="center"/>
          </w:tcPr>
          <w:p>
            <w:pPr>
              <w:widowControl/>
              <w:jc w:val="center"/>
              <w:textAlignment w:val="center"/>
              <w:rPr>
                <w:color w:val="auto"/>
                <w:kern w:val="0"/>
                <w:szCs w:val="21"/>
              </w:rPr>
            </w:pPr>
            <w:r>
              <w:rPr>
                <w:color w:val="auto"/>
                <w:kern w:val="0"/>
                <w:szCs w:val="21"/>
                <w:lang w:bidi="ar"/>
              </w:rPr>
              <w:t>多管发酵法</w:t>
            </w:r>
          </w:p>
        </w:tc>
        <w:tc>
          <w:tcPr>
            <w:tcW w:w="2339" w:type="dxa"/>
            <w:vAlign w:val="center"/>
          </w:tcPr>
          <w:p>
            <w:pPr>
              <w:widowControl/>
              <w:jc w:val="center"/>
              <w:textAlignment w:val="center"/>
              <w:rPr>
                <w:color w:val="auto"/>
                <w:kern w:val="0"/>
                <w:szCs w:val="21"/>
              </w:rPr>
            </w:pPr>
            <w:r>
              <w:rPr>
                <w:color w:val="auto"/>
                <w:kern w:val="0"/>
                <w:szCs w:val="21"/>
                <w:lang w:bidi="ar"/>
              </w:rPr>
              <w:t>电热恒温培养箱HPX-9082MBE</w:t>
            </w:r>
          </w:p>
        </w:tc>
        <w:tc>
          <w:tcPr>
            <w:tcW w:w="1963" w:type="dxa"/>
            <w:vAlign w:val="center"/>
          </w:tcPr>
          <w:p>
            <w:pPr>
              <w:widowControl/>
              <w:jc w:val="center"/>
              <w:textAlignment w:val="center"/>
              <w:rPr>
                <w:color w:val="auto"/>
                <w:kern w:val="0"/>
                <w:szCs w:val="21"/>
              </w:rPr>
            </w:pPr>
            <w:r>
              <w:rPr>
                <w:color w:val="auto"/>
                <w:kern w:val="0"/>
                <w:szCs w:val="21"/>
                <w:lang w:bidi="ar"/>
              </w:rPr>
              <w:t>GB/T 5750.12-2006</w:t>
            </w:r>
            <w:r>
              <w:rPr>
                <w:rFonts w:hint="eastAsia" w:ascii="宋体" w:hAnsi="宋体" w:cs="宋体"/>
                <w:color w:val="auto"/>
                <w:kern w:val="0"/>
                <w:szCs w:val="21"/>
                <w:lang w:bidi="ar"/>
              </w:rPr>
              <w:t>（</w:t>
            </w:r>
            <w:r>
              <w:rPr>
                <w:color w:val="auto"/>
                <w:kern w:val="0"/>
                <w:szCs w:val="21"/>
                <w:lang w:bidi="ar"/>
              </w:rPr>
              <w:t>2.1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widowControl/>
              <w:jc w:val="center"/>
              <w:textAlignment w:val="center"/>
              <w:rPr>
                <w:color w:val="auto"/>
                <w:kern w:val="0"/>
                <w:szCs w:val="21"/>
                <w:lang w:bidi="ar"/>
              </w:rPr>
            </w:pPr>
            <w:r>
              <w:rPr>
                <w:color w:val="auto"/>
                <w:kern w:val="0"/>
                <w:szCs w:val="21"/>
                <w:lang w:bidi="ar"/>
              </w:rPr>
              <w:t>菌落总数</w:t>
            </w:r>
          </w:p>
        </w:tc>
        <w:tc>
          <w:tcPr>
            <w:tcW w:w="2240" w:type="dxa"/>
            <w:vAlign w:val="center"/>
          </w:tcPr>
          <w:p>
            <w:pPr>
              <w:widowControl/>
              <w:jc w:val="center"/>
              <w:textAlignment w:val="center"/>
              <w:rPr>
                <w:color w:val="auto"/>
                <w:kern w:val="0"/>
                <w:szCs w:val="21"/>
              </w:rPr>
            </w:pPr>
            <w:r>
              <w:rPr>
                <w:color w:val="auto"/>
                <w:kern w:val="0"/>
                <w:szCs w:val="21"/>
                <w:lang w:bidi="ar"/>
              </w:rPr>
              <w:t>平皿计数法</w:t>
            </w:r>
          </w:p>
        </w:tc>
        <w:tc>
          <w:tcPr>
            <w:tcW w:w="2339" w:type="dxa"/>
            <w:vAlign w:val="center"/>
          </w:tcPr>
          <w:p>
            <w:pPr>
              <w:widowControl/>
              <w:jc w:val="center"/>
              <w:textAlignment w:val="center"/>
              <w:rPr>
                <w:color w:val="auto"/>
                <w:kern w:val="0"/>
                <w:szCs w:val="21"/>
              </w:rPr>
            </w:pPr>
            <w:r>
              <w:rPr>
                <w:color w:val="auto"/>
                <w:kern w:val="0"/>
                <w:szCs w:val="21"/>
                <w:lang w:bidi="ar"/>
              </w:rPr>
              <w:t>电热恒温培养箱HPX-9082MBE</w:t>
            </w:r>
          </w:p>
        </w:tc>
        <w:tc>
          <w:tcPr>
            <w:tcW w:w="1963" w:type="dxa"/>
            <w:vAlign w:val="center"/>
          </w:tcPr>
          <w:p>
            <w:pPr>
              <w:widowControl/>
              <w:jc w:val="center"/>
              <w:textAlignment w:val="center"/>
              <w:rPr>
                <w:color w:val="auto"/>
                <w:kern w:val="0"/>
                <w:szCs w:val="21"/>
              </w:rPr>
            </w:pPr>
            <w:r>
              <w:rPr>
                <w:color w:val="auto"/>
                <w:kern w:val="0"/>
                <w:szCs w:val="21"/>
                <w:lang w:bidi="ar"/>
              </w:rPr>
              <w:t>GB/T 5750.12-2006</w:t>
            </w:r>
            <w:r>
              <w:rPr>
                <w:rFonts w:hint="eastAsia" w:ascii="宋体" w:hAnsi="宋体" w:cs="宋体"/>
                <w:color w:val="auto"/>
                <w:kern w:val="0"/>
                <w:szCs w:val="21"/>
                <w:lang w:bidi="ar"/>
              </w:rPr>
              <w:t>（</w:t>
            </w:r>
            <w:r>
              <w:rPr>
                <w:color w:val="auto"/>
                <w:kern w:val="0"/>
                <w:szCs w:val="21"/>
                <w:lang w:bidi="ar"/>
              </w:rPr>
              <w:t>1</w:t>
            </w:r>
            <w:r>
              <w:rPr>
                <w:rFonts w:hint="eastAsia" w:ascii="宋体" w:hAnsi="宋体" w:cs="宋体"/>
                <w:color w:val="auto"/>
                <w:kern w:val="0"/>
                <w:szCs w:val="21"/>
                <w:lang w:bidi="ar"/>
              </w:rPr>
              <w:t>）</w:t>
            </w:r>
          </w:p>
        </w:tc>
        <w:tc>
          <w:tcPr>
            <w:tcW w:w="1160" w:type="dxa"/>
            <w:vAlign w:val="center"/>
          </w:tcPr>
          <w:p>
            <w:pPr>
              <w:widowControl/>
              <w:jc w:val="center"/>
              <w:textAlignment w:val="center"/>
              <w:rPr>
                <w:color w:val="auto"/>
                <w:kern w:val="0"/>
                <w:szCs w:val="21"/>
              </w:rPr>
            </w:pPr>
            <w:r>
              <w:rPr>
                <w:color w:val="auto"/>
                <w:kern w:val="0"/>
                <w:szCs w:val="21"/>
                <w:lang w:bidi="ar"/>
              </w:rPr>
              <w:t>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jc w:val="center"/>
              <w:rPr>
                <w:color w:val="auto"/>
                <w:kern w:val="0"/>
                <w:szCs w:val="21"/>
                <w:lang w:bidi="ar"/>
              </w:rPr>
            </w:pPr>
            <w:r>
              <w:rPr>
                <w:color w:val="auto"/>
                <w:szCs w:val="21"/>
              </w:rPr>
              <w:t>苯</w:t>
            </w:r>
          </w:p>
        </w:tc>
        <w:tc>
          <w:tcPr>
            <w:tcW w:w="224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《水质 苯系物的测定 顶空/气相色谱法》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气相色谱仪</w:t>
            </w:r>
            <w:r>
              <w:rPr>
                <w:color w:val="auto"/>
                <w:kern w:val="0"/>
                <w:szCs w:val="21"/>
                <w:lang w:bidi="ar"/>
              </w:rPr>
              <w:t>GC-2014C</w:t>
            </w:r>
          </w:p>
        </w:tc>
        <w:tc>
          <w:tcPr>
            <w:tcW w:w="1963" w:type="dxa"/>
            <w:vAlign w:val="center"/>
          </w:tcPr>
          <w:p>
            <w:pPr>
              <w:widowControl/>
              <w:jc w:val="center"/>
              <w:textAlignment w:val="center"/>
              <w:rPr>
                <w:color w:val="auto"/>
                <w:kern w:val="0"/>
                <w:szCs w:val="21"/>
              </w:rPr>
            </w:pPr>
            <w:r>
              <w:rPr>
                <w:color w:val="auto"/>
                <w:kern w:val="0"/>
                <w:szCs w:val="21"/>
                <w:lang w:bidi="ar"/>
              </w:rPr>
              <w:t>HJ 1067-2019</w:t>
            </w:r>
          </w:p>
        </w:tc>
        <w:tc>
          <w:tcPr>
            <w:tcW w:w="1160" w:type="dxa"/>
            <w:vAlign w:val="center"/>
          </w:tcPr>
          <w:p>
            <w:pPr>
              <w:widowControl/>
              <w:jc w:val="center"/>
              <w:textAlignment w:val="center"/>
              <w:rPr>
                <w:color w:val="auto"/>
                <w:kern w:val="0"/>
                <w:szCs w:val="21"/>
              </w:rPr>
            </w:pPr>
            <w:r>
              <w:rPr>
                <w:color w:val="auto"/>
                <w:kern w:val="0"/>
                <w:szCs w:val="21"/>
                <w:lang w:bidi="ar"/>
              </w:rPr>
              <w:t>1.0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jc w:val="center"/>
              <w:rPr>
                <w:color w:val="auto"/>
                <w:szCs w:val="21"/>
              </w:rPr>
            </w:pPr>
            <w:r>
              <w:rPr>
                <w:color w:val="auto"/>
                <w:szCs w:val="21"/>
              </w:rPr>
              <w:t>甲苯</w:t>
            </w:r>
          </w:p>
        </w:tc>
        <w:tc>
          <w:tcPr>
            <w:tcW w:w="2240" w:type="dxa"/>
            <w:vAlign w:val="center"/>
          </w:tcPr>
          <w:p>
            <w:pPr>
              <w:widowControl/>
              <w:jc w:val="center"/>
              <w:textAlignment w:val="center"/>
              <w:rPr>
                <w:rFonts w:ascii="宋体" w:hAnsi="宋体" w:cs="宋体"/>
                <w:color w:val="auto"/>
                <w:kern w:val="0"/>
                <w:szCs w:val="21"/>
                <w:lang w:bidi="ar"/>
              </w:rPr>
            </w:pPr>
            <w:r>
              <w:rPr>
                <w:rFonts w:hint="eastAsia" w:ascii="宋体" w:hAnsi="宋体" w:cs="宋体"/>
                <w:color w:val="auto"/>
                <w:kern w:val="0"/>
                <w:szCs w:val="21"/>
                <w:lang w:bidi="ar"/>
              </w:rPr>
              <w:t>《水质 苯系物的测定 顶空/气相色谱法》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气相色谱仪</w:t>
            </w:r>
            <w:r>
              <w:rPr>
                <w:color w:val="auto"/>
                <w:kern w:val="0"/>
                <w:szCs w:val="21"/>
                <w:lang w:bidi="ar"/>
              </w:rPr>
              <w:t>GC-2014C</w:t>
            </w:r>
          </w:p>
        </w:tc>
        <w:tc>
          <w:tcPr>
            <w:tcW w:w="1963" w:type="dxa"/>
            <w:vAlign w:val="center"/>
          </w:tcPr>
          <w:p>
            <w:pPr>
              <w:widowControl/>
              <w:jc w:val="center"/>
              <w:textAlignment w:val="center"/>
              <w:rPr>
                <w:color w:val="auto"/>
                <w:kern w:val="0"/>
                <w:szCs w:val="21"/>
              </w:rPr>
            </w:pPr>
            <w:r>
              <w:rPr>
                <w:color w:val="auto"/>
                <w:kern w:val="0"/>
                <w:szCs w:val="21"/>
                <w:lang w:bidi="ar"/>
              </w:rPr>
              <w:t>HJ 1067-2019</w:t>
            </w:r>
          </w:p>
        </w:tc>
        <w:tc>
          <w:tcPr>
            <w:tcW w:w="1160" w:type="dxa"/>
            <w:vAlign w:val="center"/>
          </w:tcPr>
          <w:p>
            <w:pPr>
              <w:widowControl/>
              <w:jc w:val="center"/>
              <w:textAlignment w:val="center"/>
              <w:rPr>
                <w:color w:val="auto"/>
                <w:kern w:val="0"/>
                <w:szCs w:val="21"/>
              </w:rPr>
            </w:pPr>
            <w:r>
              <w:rPr>
                <w:color w:val="auto"/>
                <w:kern w:val="0"/>
                <w:szCs w:val="21"/>
                <w:lang w:bidi="ar"/>
              </w:rPr>
              <w:t>1.0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jc w:val="center"/>
              <w:rPr>
                <w:color w:val="auto"/>
                <w:szCs w:val="21"/>
              </w:rPr>
            </w:pPr>
            <w:r>
              <w:rPr>
                <w:color w:val="auto"/>
                <w:szCs w:val="21"/>
              </w:rPr>
              <w:t>二甲苯</w:t>
            </w:r>
          </w:p>
        </w:tc>
        <w:tc>
          <w:tcPr>
            <w:tcW w:w="2240" w:type="dxa"/>
            <w:vAlign w:val="center"/>
          </w:tcPr>
          <w:p>
            <w:pPr>
              <w:widowControl/>
              <w:jc w:val="center"/>
              <w:textAlignment w:val="center"/>
              <w:rPr>
                <w:rFonts w:ascii="宋体" w:hAnsi="宋体" w:cs="宋体"/>
                <w:color w:val="auto"/>
                <w:kern w:val="0"/>
                <w:szCs w:val="21"/>
                <w:lang w:bidi="ar"/>
              </w:rPr>
            </w:pPr>
            <w:r>
              <w:rPr>
                <w:rFonts w:hint="eastAsia" w:ascii="宋体" w:hAnsi="宋体" w:cs="宋体"/>
                <w:color w:val="auto"/>
                <w:kern w:val="0"/>
                <w:szCs w:val="21"/>
                <w:lang w:bidi="ar"/>
              </w:rPr>
              <w:t>《水质 苯系物的测定 顶空/气相色谱法》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气相色谱仪</w:t>
            </w:r>
            <w:r>
              <w:rPr>
                <w:color w:val="auto"/>
                <w:kern w:val="0"/>
                <w:szCs w:val="21"/>
                <w:lang w:bidi="ar"/>
              </w:rPr>
              <w:t>GC-2014C</w:t>
            </w:r>
          </w:p>
        </w:tc>
        <w:tc>
          <w:tcPr>
            <w:tcW w:w="1963" w:type="dxa"/>
            <w:vAlign w:val="center"/>
          </w:tcPr>
          <w:p>
            <w:pPr>
              <w:widowControl/>
              <w:jc w:val="center"/>
              <w:textAlignment w:val="center"/>
              <w:rPr>
                <w:color w:val="auto"/>
                <w:kern w:val="0"/>
                <w:szCs w:val="21"/>
              </w:rPr>
            </w:pPr>
            <w:r>
              <w:rPr>
                <w:color w:val="auto"/>
                <w:kern w:val="0"/>
                <w:szCs w:val="21"/>
                <w:lang w:bidi="ar"/>
              </w:rPr>
              <w:t>HJ 1067-2019</w:t>
            </w:r>
          </w:p>
        </w:tc>
        <w:tc>
          <w:tcPr>
            <w:tcW w:w="1160" w:type="dxa"/>
            <w:vAlign w:val="center"/>
          </w:tcPr>
          <w:p>
            <w:pPr>
              <w:widowControl/>
              <w:jc w:val="center"/>
              <w:textAlignment w:val="center"/>
              <w:rPr>
                <w:color w:val="auto"/>
                <w:kern w:val="0"/>
                <w:szCs w:val="21"/>
              </w:rPr>
            </w:pPr>
            <w:r>
              <w:rPr>
                <w:color w:val="auto"/>
                <w:kern w:val="0"/>
                <w:szCs w:val="21"/>
                <w:lang w:bidi="ar"/>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6" w:type="dxa"/>
            <w:vAlign w:val="center"/>
          </w:tcPr>
          <w:p>
            <w:pPr>
              <w:jc w:val="center"/>
              <w:rPr>
                <w:color w:val="auto"/>
                <w:szCs w:val="21"/>
              </w:rPr>
            </w:pPr>
            <w:r>
              <w:rPr>
                <w:color w:val="auto"/>
                <w:szCs w:val="21"/>
              </w:rPr>
              <w:t>苯并[a]芘</w:t>
            </w:r>
          </w:p>
        </w:tc>
        <w:tc>
          <w:tcPr>
            <w:tcW w:w="2240" w:type="dxa"/>
            <w:vAlign w:val="center"/>
          </w:tcPr>
          <w:p>
            <w:pPr>
              <w:widowControl/>
              <w:jc w:val="center"/>
              <w:textAlignment w:val="center"/>
              <w:rPr>
                <w:rFonts w:ascii="宋体" w:hAnsi="宋体" w:cs="宋体"/>
                <w:color w:val="auto"/>
                <w:kern w:val="0"/>
                <w:szCs w:val="21"/>
                <w:lang w:bidi="ar"/>
              </w:rPr>
            </w:pPr>
            <w:r>
              <w:rPr>
                <w:rFonts w:hint="eastAsia" w:ascii="宋体" w:hAnsi="宋体" w:cs="宋体"/>
                <w:color w:val="auto"/>
                <w:kern w:val="0"/>
                <w:szCs w:val="21"/>
                <w:lang w:bidi="ar"/>
              </w:rPr>
              <w:t>《水质</w:t>
            </w:r>
            <w:r>
              <w:rPr>
                <w:color w:val="auto"/>
                <w:kern w:val="0"/>
                <w:szCs w:val="21"/>
                <w:lang w:bidi="ar"/>
              </w:rPr>
              <w:t xml:space="preserve"> </w:t>
            </w:r>
            <w:r>
              <w:rPr>
                <w:rFonts w:hint="eastAsia" w:ascii="宋体" w:hAnsi="宋体" w:cs="宋体"/>
                <w:color w:val="auto"/>
                <w:kern w:val="0"/>
                <w:szCs w:val="21"/>
                <w:lang w:bidi="ar"/>
              </w:rPr>
              <w:t>多环芳烃的测定</w:t>
            </w:r>
            <w:r>
              <w:rPr>
                <w:color w:val="auto"/>
                <w:kern w:val="0"/>
                <w:szCs w:val="21"/>
                <w:lang w:bidi="ar"/>
              </w:rPr>
              <w:t xml:space="preserve"> </w:t>
            </w:r>
            <w:r>
              <w:rPr>
                <w:rFonts w:hint="eastAsia" w:ascii="宋体" w:hAnsi="宋体" w:cs="宋体"/>
                <w:color w:val="auto"/>
                <w:kern w:val="0"/>
                <w:szCs w:val="21"/>
                <w:lang w:bidi="ar"/>
              </w:rPr>
              <w:t>液液萃取和固相萃取高效液相色谱法》</w:t>
            </w:r>
          </w:p>
        </w:tc>
        <w:tc>
          <w:tcPr>
            <w:tcW w:w="2339"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高效液相色谱仪</w:t>
            </w:r>
            <w:r>
              <w:rPr>
                <w:color w:val="auto"/>
                <w:kern w:val="0"/>
                <w:szCs w:val="21"/>
                <w:lang w:bidi="ar"/>
              </w:rPr>
              <w:t xml:space="preserve"> LC-16</w:t>
            </w:r>
          </w:p>
        </w:tc>
        <w:tc>
          <w:tcPr>
            <w:tcW w:w="1963" w:type="dxa"/>
            <w:vAlign w:val="center"/>
          </w:tcPr>
          <w:p>
            <w:pPr>
              <w:widowControl/>
              <w:jc w:val="center"/>
              <w:textAlignment w:val="center"/>
              <w:rPr>
                <w:color w:val="auto"/>
                <w:kern w:val="0"/>
                <w:szCs w:val="21"/>
              </w:rPr>
            </w:pPr>
            <w:r>
              <w:rPr>
                <w:color w:val="auto"/>
                <w:kern w:val="0"/>
                <w:szCs w:val="21"/>
                <w:lang w:bidi="ar"/>
              </w:rPr>
              <w:t>HJ 478-2009</w:t>
            </w:r>
          </w:p>
        </w:tc>
        <w:tc>
          <w:tcPr>
            <w:tcW w:w="1160" w:type="dxa"/>
            <w:vAlign w:val="center"/>
          </w:tcPr>
          <w:p>
            <w:pPr>
              <w:widowControl/>
              <w:jc w:val="center"/>
              <w:textAlignment w:val="center"/>
              <w:rPr>
                <w:color w:val="auto"/>
                <w:kern w:val="0"/>
                <w:szCs w:val="21"/>
              </w:rPr>
            </w:pPr>
            <w:r>
              <w:rPr>
                <w:color w:val="auto"/>
                <w:kern w:val="0"/>
                <w:szCs w:val="21"/>
                <w:lang w:bidi="ar"/>
              </w:rPr>
              <w:t>0.5mg/L</w:t>
            </w:r>
          </w:p>
        </w:tc>
      </w:tr>
    </w:tbl>
    <w:p>
      <w:pPr>
        <w:pStyle w:val="7"/>
        <w:numPr>
          <w:ilvl w:val="2"/>
          <w:numId w:val="0"/>
        </w:numPr>
        <w:tabs>
          <w:tab w:val="clear" w:pos="720"/>
        </w:tabs>
        <w:adjustRightInd/>
        <w:spacing w:before="159" w:after="79" w:afterLines="25"/>
        <w:jc w:val="both"/>
        <w:textAlignment w:val="auto"/>
        <w:rPr>
          <w:color w:val="auto"/>
        </w:rPr>
      </w:pPr>
      <w:bookmarkStart w:id="548" w:name="_Toc10778"/>
      <w:r>
        <w:rPr>
          <w:rFonts w:hint="eastAsia"/>
          <w:color w:val="auto"/>
        </w:rPr>
        <w:t xml:space="preserve">5.5.5  </w:t>
      </w:r>
      <w:r>
        <w:rPr>
          <w:color w:val="auto"/>
        </w:rPr>
        <w:t>评价标准</w:t>
      </w:r>
      <w:bookmarkEnd w:id="548"/>
    </w:p>
    <w:p>
      <w:pPr>
        <w:pStyle w:val="36"/>
        <w:rPr>
          <w:color w:val="auto"/>
        </w:rPr>
      </w:pPr>
      <w:r>
        <w:rPr>
          <w:color w:val="auto"/>
        </w:rPr>
        <w:t>根据《地下水质量标准》（GBT 14848-2017）对地下水质量的分类办法，项目所在区域地下水质量评价执行《地下水质量标准》（GBT 14848-2017）Ⅲ类标准限值。</w:t>
      </w:r>
    </w:p>
    <w:p>
      <w:pPr>
        <w:pStyle w:val="7"/>
        <w:numPr>
          <w:ilvl w:val="2"/>
          <w:numId w:val="0"/>
        </w:numPr>
        <w:tabs>
          <w:tab w:val="clear" w:pos="720"/>
        </w:tabs>
        <w:adjustRightInd/>
        <w:spacing w:before="159" w:after="79" w:afterLines="25"/>
        <w:jc w:val="both"/>
        <w:textAlignment w:val="auto"/>
        <w:rPr>
          <w:color w:val="auto"/>
        </w:rPr>
      </w:pPr>
      <w:bookmarkStart w:id="549" w:name="_Toc21456"/>
      <w:r>
        <w:rPr>
          <w:rFonts w:hint="eastAsia"/>
          <w:color w:val="auto"/>
        </w:rPr>
        <w:t xml:space="preserve">5.5.6  </w:t>
      </w:r>
      <w:r>
        <w:rPr>
          <w:color w:val="auto"/>
        </w:rPr>
        <w:t>评价方法</w:t>
      </w:r>
      <w:bookmarkEnd w:id="549"/>
    </w:p>
    <w:p>
      <w:pPr>
        <w:spacing w:line="360" w:lineRule="auto"/>
        <w:ind w:firstLine="480" w:firstLineChars="200"/>
        <w:jc w:val="left"/>
        <w:rPr>
          <w:color w:val="auto"/>
          <w:sz w:val="24"/>
        </w:rPr>
      </w:pPr>
      <w:r>
        <w:rPr>
          <w:color w:val="auto"/>
          <w:sz w:val="24"/>
        </w:rPr>
        <w:t>采用</w:t>
      </w:r>
      <w:r>
        <w:rPr>
          <w:bCs/>
          <w:color w:val="auto"/>
          <w:sz w:val="24"/>
        </w:rPr>
        <w:t>标准</w:t>
      </w:r>
      <w:r>
        <w:rPr>
          <w:color w:val="auto"/>
          <w:sz w:val="24"/>
        </w:rPr>
        <w:t>指数法进行评价。标准指数＞1，表明该水质因子已超标，标准指数越大，超标越严重。标准指数计算公式分为以下两种情况：</w:t>
      </w:r>
    </w:p>
    <w:p>
      <w:pPr>
        <w:spacing w:line="360" w:lineRule="auto"/>
        <w:ind w:firstLine="480" w:firstLineChars="200"/>
        <w:rPr>
          <w:color w:val="auto"/>
          <w:sz w:val="24"/>
        </w:rPr>
      </w:pPr>
      <w:r>
        <w:rPr>
          <w:color w:val="auto"/>
          <w:sz w:val="24"/>
        </w:rPr>
        <w:t>（1）</w:t>
      </w:r>
      <w:r>
        <w:rPr>
          <w:bCs/>
          <w:color w:val="auto"/>
          <w:sz w:val="24"/>
        </w:rPr>
        <w:t>对于</w:t>
      </w:r>
      <w:r>
        <w:rPr>
          <w:color w:val="auto"/>
          <w:sz w:val="24"/>
        </w:rPr>
        <w:t>评价</w:t>
      </w:r>
      <w:r>
        <w:rPr>
          <w:bCs/>
          <w:color w:val="auto"/>
          <w:sz w:val="24"/>
        </w:rPr>
        <w:t>标准</w:t>
      </w:r>
      <w:r>
        <w:rPr>
          <w:color w:val="auto"/>
          <w:sz w:val="24"/>
        </w:rPr>
        <w:t>为定值的水质因子，其标准指数计算公式：</w:t>
      </w:r>
    </w:p>
    <w:p>
      <w:pPr>
        <w:spacing w:line="360" w:lineRule="auto"/>
        <w:jc w:val="center"/>
        <w:rPr>
          <w:color w:val="auto"/>
          <w:sz w:val="24"/>
        </w:rPr>
      </w:pPr>
      <w:r>
        <w:rPr>
          <w:color w:val="auto"/>
          <w:position w:val="-30"/>
          <w:sz w:val="24"/>
        </w:rPr>
        <w:drawing>
          <wp:inline distT="0" distB="0" distL="114300" distR="114300">
            <wp:extent cx="540385" cy="445135"/>
            <wp:effectExtent l="0" t="0" r="0" b="1270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75"/>
                    <a:stretch>
                      <a:fillRect/>
                    </a:stretch>
                  </pic:blipFill>
                  <pic:spPr>
                    <a:xfrm>
                      <a:off x="0" y="0"/>
                      <a:ext cx="540385" cy="445135"/>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rPr>
        <w:t>式中：P</w:t>
      </w:r>
      <w:r>
        <w:rPr>
          <w:color w:val="auto"/>
          <w:sz w:val="24"/>
          <w:vertAlign w:val="subscript"/>
        </w:rPr>
        <w:t>i</w:t>
      </w:r>
      <w:r>
        <w:rPr>
          <w:color w:val="auto"/>
          <w:sz w:val="24"/>
        </w:rPr>
        <w:t>——第i个水质因子的标准指数，无量纲；</w:t>
      </w:r>
    </w:p>
    <w:p>
      <w:pPr>
        <w:spacing w:line="360" w:lineRule="auto"/>
        <w:ind w:firstLine="1200" w:firstLineChars="500"/>
        <w:rPr>
          <w:color w:val="auto"/>
          <w:sz w:val="24"/>
        </w:rPr>
      </w:pPr>
      <w:r>
        <w:rPr>
          <w:color w:val="auto"/>
          <w:sz w:val="24"/>
        </w:rPr>
        <w:t>C</w:t>
      </w:r>
      <w:r>
        <w:rPr>
          <w:color w:val="auto"/>
          <w:sz w:val="24"/>
          <w:vertAlign w:val="subscript"/>
        </w:rPr>
        <w:t>i</w:t>
      </w:r>
      <w:r>
        <w:rPr>
          <w:color w:val="auto"/>
          <w:sz w:val="24"/>
        </w:rPr>
        <w:t>——第i个水质因子的监测浓度值，mg/L；</w:t>
      </w:r>
    </w:p>
    <w:p>
      <w:pPr>
        <w:spacing w:line="360" w:lineRule="auto"/>
        <w:ind w:firstLine="1200" w:firstLineChars="500"/>
        <w:rPr>
          <w:color w:val="auto"/>
          <w:sz w:val="24"/>
        </w:rPr>
      </w:pPr>
      <w:r>
        <w:rPr>
          <w:color w:val="auto"/>
          <w:sz w:val="24"/>
        </w:rPr>
        <w:t>C</w:t>
      </w:r>
      <w:r>
        <w:rPr>
          <w:color w:val="auto"/>
          <w:sz w:val="24"/>
          <w:vertAlign w:val="subscript"/>
        </w:rPr>
        <w:t>Si</w:t>
      </w:r>
      <w:r>
        <w:rPr>
          <w:color w:val="auto"/>
          <w:sz w:val="24"/>
        </w:rPr>
        <w:t>——第i个水质因子的标准浓度值，mg/L；</w:t>
      </w:r>
    </w:p>
    <w:p>
      <w:pPr>
        <w:spacing w:line="360" w:lineRule="auto"/>
        <w:ind w:firstLine="480" w:firstLineChars="200"/>
        <w:rPr>
          <w:color w:val="auto"/>
          <w:sz w:val="24"/>
        </w:rPr>
      </w:pPr>
      <w:r>
        <w:rPr>
          <w:color w:val="auto"/>
          <w:sz w:val="24"/>
        </w:rPr>
        <w:t>（2）对于评价标准为区间值的水质因子（如pH值），其标准指数计算公式：</w:t>
      </w:r>
    </w:p>
    <w:p>
      <w:pPr>
        <w:adjustRightInd w:val="0"/>
        <w:snapToGrid w:val="0"/>
        <w:spacing w:line="360" w:lineRule="auto"/>
        <w:ind w:left="750" w:firstLine="480"/>
        <w:jc w:val="center"/>
        <w:rPr>
          <w:color w:val="auto"/>
          <w:sz w:val="24"/>
        </w:rPr>
      </w:pPr>
      <w:r>
        <w:rPr>
          <w:color w:val="auto"/>
          <w:position w:val="-30"/>
          <w:sz w:val="24"/>
        </w:rPr>
        <w:drawing>
          <wp:inline distT="0" distB="0" distL="114300" distR="114300">
            <wp:extent cx="1232535" cy="461010"/>
            <wp:effectExtent l="0" t="0" r="5715" b="15875"/>
            <wp:docPr id="43" name="图片 22"/>
            <wp:cNvGraphicFramePr/>
            <a:graphic xmlns:a="http://schemas.openxmlformats.org/drawingml/2006/main">
              <a:graphicData uri="http://schemas.openxmlformats.org/drawingml/2006/picture">
                <pic:pic xmlns:pic="http://schemas.openxmlformats.org/drawingml/2006/picture">
                  <pic:nvPicPr>
                    <pic:cNvPr id="43" name="图片 22"/>
                    <pic:cNvPicPr/>
                  </pic:nvPicPr>
                  <pic:blipFill>
                    <a:blip r:embed="rId76"/>
                    <a:stretch>
                      <a:fillRect/>
                    </a:stretch>
                  </pic:blipFill>
                  <pic:spPr>
                    <a:xfrm>
                      <a:off x="0" y="0"/>
                      <a:ext cx="1232535" cy="461010"/>
                    </a:xfrm>
                    <a:prstGeom prst="rect">
                      <a:avLst/>
                    </a:prstGeom>
                    <a:noFill/>
                    <a:ln>
                      <a:noFill/>
                    </a:ln>
                  </pic:spPr>
                </pic:pic>
              </a:graphicData>
            </a:graphic>
          </wp:inline>
        </w:drawing>
      </w:r>
      <w:r>
        <w:rPr>
          <w:color w:val="auto"/>
          <w:sz w:val="24"/>
        </w:rPr>
        <w:t>，pH≤7.0时</w:t>
      </w:r>
    </w:p>
    <w:p>
      <w:pPr>
        <w:adjustRightInd w:val="0"/>
        <w:snapToGrid w:val="0"/>
        <w:spacing w:line="360" w:lineRule="auto"/>
        <w:ind w:left="750" w:firstLine="480"/>
        <w:jc w:val="center"/>
        <w:rPr>
          <w:color w:val="auto"/>
          <w:sz w:val="24"/>
        </w:rPr>
      </w:pPr>
      <w:r>
        <w:rPr>
          <w:color w:val="auto"/>
          <w:position w:val="-30"/>
          <w:sz w:val="24"/>
        </w:rPr>
        <w:drawing>
          <wp:inline distT="0" distB="0" distL="114300" distR="114300">
            <wp:extent cx="1239520" cy="461010"/>
            <wp:effectExtent l="0" t="0" r="17780" b="15875"/>
            <wp:docPr id="42" name="图片 23"/>
            <wp:cNvGraphicFramePr/>
            <a:graphic xmlns:a="http://schemas.openxmlformats.org/drawingml/2006/main">
              <a:graphicData uri="http://schemas.openxmlformats.org/drawingml/2006/picture">
                <pic:pic xmlns:pic="http://schemas.openxmlformats.org/drawingml/2006/picture">
                  <pic:nvPicPr>
                    <pic:cNvPr id="42" name="图片 23"/>
                    <pic:cNvPicPr/>
                  </pic:nvPicPr>
                  <pic:blipFill>
                    <a:blip r:embed="rId77"/>
                    <a:stretch>
                      <a:fillRect/>
                    </a:stretch>
                  </pic:blipFill>
                  <pic:spPr>
                    <a:xfrm>
                      <a:off x="0" y="0"/>
                      <a:ext cx="1239520" cy="461010"/>
                    </a:xfrm>
                    <a:prstGeom prst="rect">
                      <a:avLst/>
                    </a:prstGeom>
                    <a:noFill/>
                    <a:ln>
                      <a:noFill/>
                    </a:ln>
                  </pic:spPr>
                </pic:pic>
              </a:graphicData>
            </a:graphic>
          </wp:inline>
        </w:drawing>
      </w:r>
      <w:r>
        <w:rPr>
          <w:color w:val="auto"/>
          <w:sz w:val="24"/>
        </w:rPr>
        <w:t>，pH＞7.0时</w:t>
      </w:r>
    </w:p>
    <w:p>
      <w:pPr>
        <w:adjustRightInd w:val="0"/>
        <w:snapToGrid w:val="0"/>
        <w:spacing w:line="360" w:lineRule="auto"/>
        <w:ind w:firstLine="480"/>
        <w:rPr>
          <w:color w:val="auto"/>
          <w:sz w:val="24"/>
        </w:rPr>
      </w:pPr>
      <w:r>
        <w:rPr>
          <w:color w:val="auto"/>
          <w:sz w:val="24"/>
        </w:rPr>
        <w:t>式中：</w:t>
      </w:r>
      <w:r>
        <w:rPr>
          <w:color w:val="auto"/>
          <w:position w:val="-14"/>
          <w:sz w:val="24"/>
        </w:rPr>
        <w:drawing>
          <wp:inline distT="0" distB="0" distL="114300" distR="114300">
            <wp:extent cx="246380" cy="246380"/>
            <wp:effectExtent l="0" t="0" r="1270" b="1270"/>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78"/>
                    <a:stretch>
                      <a:fillRect/>
                    </a:stretch>
                  </pic:blipFill>
                  <pic:spPr>
                    <a:xfrm>
                      <a:off x="0" y="0"/>
                      <a:ext cx="246380" cy="246380"/>
                    </a:xfrm>
                    <a:prstGeom prst="rect">
                      <a:avLst/>
                    </a:prstGeom>
                    <a:noFill/>
                    <a:ln>
                      <a:noFill/>
                    </a:ln>
                  </pic:spPr>
                </pic:pic>
              </a:graphicData>
            </a:graphic>
          </wp:inline>
        </w:drawing>
      </w:r>
      <w:r>
        <w:rPr>
          <w:color w:val="auto"/>
          <w:sz w:val="24"/>
        </w:rPr>
        <w:t>――pH的标准指数，无量纲；</w:t>
      </w:r>
    </w:p>
    <w:p>
      <w:pPr>
        <w:adjustRightInd w:val="0"/>
        <w:snapToGrid w:val="0"/>
        <w:spacing w:line="360" w:lineRule="auto"/>
        <w:ind w:firstLine="1200" w:firstLineChars="500"/>
        <w:rPr>
          <w:color w:val="auto"/>
          <w:sz w:val="24"/>
        </w:rPr>
      </w:pPr>
      <w:r>
        <w:rPr>
          <w:color w:val="auto"/>
          <w:position w:val="-10"/>
          <w:sz w:val="24"/>
        </w:rPr>
        <w:drawing>
          <wp:inline distT="0" distB="0" distL="114300" distR="114300">
            <wp:extent cx="278130" cy="198755"/>
            <wp:effectExtent l="0" t="0" r="0" b="12700"/>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79"/>
                    <a:stretch>
                      <a:fillRect/>
                    </a:stretch>
                  </pic:blipFill>
                  <pic:spPr>
                    <a:xfrm>
                      <a:off x="0" y="0"/>
                      <a:ext cx="278130" cy="198755"/>
                    </a:xfrm>
                    <a:prstGeom prst="rect">
                      <a:avLst/>
                    </a:prstGeom>
                    <a:noFill/>
                    <a:ln>
                      <a:noFill/>
                    </a:ln>
                  </pic:spPr>
                </pic:pic>
              </a:graphicData>
            </a:graphic>
          </wp:inline>
        </w:drawing>
      </w:r>
      <w:r>
        <w:rPr>
          <w:color w:val="auto"/>
          <w:sz w:val="24"/>
        </w:rPr>
        <w:t>――</w:t>
      </w:r>
      <w:r>
        <w:rPr>
          <w:color w:val="auto"/>
          <w:position w:val="-10"/>
          <w:sz w:val="24"/>
        </w:rPr>
        <w:drawing>
          <wp:inline distT="0" distB="0" distL="114300" distR="114300">
            <wp:extent cx="278130" cy="198755"/>
            <wp:effectExtent l="0" t="0" r="0" b="12700"/>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80"/>
                    <a:stretch>
                      <a:fillRect/>
                    </a:stretch>
                  </pic:blipFill>
                  <pic:spPr>
                    <a:xfrm>
                      <a:off x="0" y="0"/>
                      <a:ext cx="278130" cy="198755"/>
                    </a:xfrm>
                    <a:prstGeom prst="rect">
                      <a:avLst/>
                    </a:prstGeom>
                    <a:noFill/>
                    <a:ln>
                      <a:noFill/>
                    </a:ln>
                  </pic:spPr>
                </pic:pic>
              </a:graphicData>
            </a:graphic>
          </wp:inline>
        </w:drawing>
      </w:r>
      <w:r>
        <w:rPr>
          <w:color w:val="auto"/>
          <w:sz w:val="24"/>
        </w:rPr>
        <w:t>监测值；</w:t>
      </w:r>
    </w:p>
    <w:p>
      <w:pPr>
        <w:adjustRightInd w:val="0"/>
        <w:snapToGrid w:val="0"/>
        <w:spacing w:line="360" w:lineRule="auto"/>
        <w:ind w:firstLine="1200" w:firstLineChars="500"/>
        <w:rPr>
          <w:color w:val="auto"/>
          <w:sz w:val="24"/>
        </w:rPr>
      </w:pPr>
      <w:r>
        <w:rPr>
          <w:color w:val="auto"/>
          <w:position w:val="-12"/>
          <w:sz w:val="24"/>
        </w:rPr>
        <w:drawing>
          <wp:inline distT="0" distB="0" distL="114300" distR="114300">
            <wp:extent cx="349885" cy="230505"/>
            <wp:effectExtent l="0" t="0" r="12065" b="17780"/>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81"/>
                    <a:stretch>
                      <a:fillRect/>
                    </a:stretch>
                  </pic:blipFill>
                  <pic:spPr>
                    <a:xfrm>
                      <a:off x="0" y="0"/>
                      <a:ext cx="349885" cy="230505"/>
                    </a:xfrm>
                    <a:prstGeom prst="rect">
                      <a:avLst/>
                    </a:prstGeom>
                    <a:noFill/>
                    <a:ln>
                      <a:noFill/>
                    </a:ln>
                  </pic:spPr>
                </pic:pic>
              </a:graphicData>
            </a:graphic>
          </wp:inline>
        </w:drawing>
      </w:r>
      <w:r>
        <w:rPr>
          <w:color w:val="auto"/>
          <w:sz w:val="24"/>
        </w:rPr>
        <w:t>――标准中pH的上限值；</w:t>
      </w:r>
    </w:p>
    <w:p>
      <w:pPr>
        <w:adjustRightInd w:val="0"/>
        <w:snapToGrid w:val="0"/>
        <w:spacing w:line="360" w:lineRule="auto"/>
        <w:ind w:firstLine="1200" w:firstLineChars="500"/>
        <w:rPr>
          <w:color w:val="auto"/>
          <w:sz w:val="24"/>
        </w:rPr>
      </w:pPr>
      <w:r>
        <w:rPr>
          <w:color w:val="auto"/>
          <w:sz w:val="24"/>
        </w:rPr>
        <w:drawing>
          <wp:inline distT="0" distB="0" distL="114300" distR="114300">
            <wp:extent cx="374015" cy="230505"/>
            <wp:effectExtent l="0" t="0" r="6985" b="17780"/>
            <wp:docPr id="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pic:cNvPicPr>
                      <a:picLocks noChangeAspect="1"/>
                    </pic:cNvPicPr>
                  </pic:nvPicPr>
                  <pic:blipFill>
                    <a:blip r:embed="rId82"/>
                    <a:stretch>
                      <a:fillRect/>
                    </a:stretch>
                  </pic:blipFill>
                  <pic:spPr>
                    <a:xfrm>
                      <a:off x="0" y="0"/>
                      <a:ext cx="374015" cy="230505"/>
                    </a:xfrm>
                    <a:prstGeom prst="rect">
                      <a:avLst/>
                    </a:prstGeom>
                    <a:noFill/>
                    <a:ln>
                      <a:noFill/>
                    </a:ln>
                  </pic:spPr>
                </pic:pic>
              </a:graphicData>
            </a:graphic>
          </wp:inline>
        </w:drawing>
      </w:r>
      <w:r>
        <w:rPr>
          <w:color w:val="auto"/>
          <w:sz w:val="24"/>
        </w:rPr>
        <w:t>――标准中pH的下限值。</w:t>
      </w:r>
    </w:p>
    <w:p>
      <w:pPr>
        <w:pStyle w:val="7"/>
        <w:numPr>
          <w:ilvl w:val="2"/>
          <w:numId w:val="0"/>
        </w:numPr>
        <w:tabs>
          <w:tab w:val="clear" w:pos="720"/>
        </w:tabs>
        <w:adjustRightInd/>
        <w:spacing w:before="159" w:after="79" w:afterLines="25"/>
        <w:jc w:val="both"/>
        <w:textAlignment w:val="auto"/>
        <w:rPr>
          <w:color w:val="auto"/>
        </w:rPr>
      </w:pPr>
      <w:bookmarkStart w:id="550" w:name="_Toc2749"/>
      <w:r>
        <w:rPr>
          <w:rFonts w:hint="eastAsia"/>
          <w:color w:val="auto"/>
        </w:rPr>
        <w:t xml:space="preserve">5.5.7  </w:t>
      </w:r>
      <w:r>
        <w:rPr>
          <w:color w:val="auto"/>
        </w:rPr>
        <w:t>现状监测结果与评价</w:t>
      </w:r>
      <w:bookmarkEnd w:id="550"/>
    </w:p>
    <w:p>
      <w:pPr>
        <w:widowControl/>
        <w:tabs>
          <w:tab w:val="left" w:pos="0"/>
          <w:tab w:val="left" w:pos="2089"/>
        </w:tabs>
        <w:adjustRightInd w:val="0"/>
        <w:snapToGrid w:val="0"/>
        <w:spacing w:line="360" w:lineRule="auto"/>
        <w:ind w:firstLine="480" w:firstLineChars="200"/>
        <w:jc w:val="left"/>
        <w:rPr>
          <w:color w:val="auto"/>
          <w:sz w:val="24"/>
        </w:rPr>
      </w:pPr>
      <w:r>
        <w:rPr>
          <w:color w:val="auto"/>
          <w:sz w:val="24"/>
        </w:rPr>
        <w:t>地下水水位监测结果详见表5.5-</w:t>
      </w:r>
      <w:r>
        <w:rPr>
          <w:rFonts w:hint="eastAsia"/>
          <w:color w:val="auto"/>
          <w:sz w:val="24"/>
        </w:rPr>
        <w:t>9</w:t>
      </w:r>
      <w:r>
        <w:rPr>
          <w:color w:val="auto"/>
          <w:sz w:val="24"/>
        </w:rPr>
        <w:t>；地下水水质监测结果如表5.5-</w:t>
      </w:r>
      <w:r>
        <w:rPr>
          <w:rFonts w:hint="eastAsia"/>
          <w:color w:val="auto"/>
          <w:sz w:val="24"/>
        </w:rPr>
        <w:t>10</w:t>
      </w:r>
      <w:r>
        <w:rPr>
          <w:color w:val="auto"/>
          <w:sz w:val="24"/>
        </w:rPr>
        <w:t>所示。</w:t>
      </w:r>
    </w:p>
    <w:p>
      <w:pPr>
        <w:suppressAutoHyphens/>
        <w:adjustRightInd w:val="0"/>
        <w:snapToGrid w:val="0"/>
        <w:spacing w:line="360" w:lineRule="auto"/>
        <w:jc w:val="center"/>
        <w:rPr>
          <w:b/>
          <w:color w:val="auto"/>
          <w:spacing w:val="4"/>
          <w:kern w:val="1"/>
        </w:rPr>
      </w:pPr>
      <w:r>
        <w:rPr>
          <w:b/>
          <w:color w:val="auto"/>
          <w:spacing w:val="4"/>
          <w:kern w:val="1"/>
        </w:rPr>
        <w:t>表5</w:t>
      </w:r>
      <w:r>
        <w:rPr>
          <w:rFonts w:hint="eastAsia"/>
          <w:b/>
          <w:color w:val="auto"/>
          <w:spacing w:val="4"/>
          <w:kern w:val="1"/>
        </w:rPr>
        <w:t xml:space="preserve">.5-9  </w:t>
      </w:r>
      <w:r>
        <w:rPr>
          <w:b/>
          <w:color w:val="auto"/>
          <w:spacing w:val="4"/>
          <w:kern w:val="1"/>
        </w:rPr>
        <w:t>地下水水位监测结果</w:t>
      </w:r>
    </w:p>
    <w:tbl>
      <w:tblPr>
        <w:tblStyle w:val="23"/>
        <w:tblW w:w="8762" w:type="dxa"/>
        <w:tblInd w:w="0" w:type="dxa"/>
        <w:tblLayout w:type="fixed"/>
        <w:tblCellMar>
          <w:top w:w="15" w:type="dxa"/>
          <w:left w:w="15" w:type="dxa"/>
          <w:bottom w:w="15" w:type="dxa"/>
          <w:right w:w="15" w:type="dxa"/>
        </w:tblCellMar>
      </w:tblPr>
      <w:tblGrid>
        <w:gridCol w:w="2921"/>
        <w:gridCol w:w="2920"/>
        <w:gridCol w:w="2921"/>
      </w:tblGrid>
      <w:tr>
        <w:tblPrEx>
          <w:tblCellMar>
            <w:top w:w="15" w:type="dxa"/>
            <w:left w:w="15" w:type="dxa"/>
            <w:bottom w:w="15" w:type="dxa"/>
            <w:right w:w="15" w:type="dxa"/>
          </w:tblCellMar>
        </w:tblPrEx>
        <w:trPr>
          <w:trHeight w:val="283" w:hRule="atLeast"/>
          <w:tblHeader/>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监测点编号</w:t>
            </w:r>
          </w:p>
        </w:tc>
        <w:tc>
          <w:tcPr>
            <w:tcW w:w="2920"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监测时间</w:t>
            </w: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水位（m）</w:t>
            </w:r>
          </w:p>
        </w:tc>
      </w:tr>
      <w:tr>
        <w:tblPrEx>
          <w:tblCellMar>
            <w:top w:w="15" w:type="dxa"/>
            <w:left w:w="15" w:type="dxa"/>
            <w:bottom w:w="15" w:type="dxa"/>
            <w:right w:w="15" w:type="dxa"/>
          </w:tblCellMar>
        </w:tblPrEx>
        <w:trPr>
          <w:trHeight w:val="286" w:hRule="atLeast"/>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U1</w:t>
            </w:r>
          </w:p>
        </w:tc>
        <w:tc>
          <w:tcPr>
            <w:tcW w:w="2920" w:type="dxa"/>
            <w:vMerge w:val="restart"/>
            <w:tcBorders>
              <w:top w:val="single" w:color="auto" w:sz="4" w:space="0"/>
              <w:left w:val="single" w:color="auto" w:sz="4" w:space="0"/>
              <w:right w:val="single" w:color="auto" w:sz="4" w:space="0"/>
            </w:tcBorders>
            <w:vAlign w:val="center"/>
          </w:tcPr>
          <w:p>
            <w:pPr>
              <w:jc w:val="center"/>
              <w:rPr>
                <w:bCs/>
                <w:color w:val="auto"/>
                <w:szCs w:val="21"/>
              </w:rPr>
            </w:pPr>
            <w:r>
              <w:rPr>
                <w:rFonts w:hint="eastAsia"/>
                <w:bCs/>
                <w:color w:val="auto"/>
                <w:szCs w:val="21"/>
              </w:rPr>
              <w:t>2020.5.20</w:t>
            </w: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5.7</w:t>
            </w:r>
          </w:p>
        </w:tc>
      </w:tr>
      <w:tr>
        <w:tblPrEx>
          <w:tblCellMar>
            <w:top w:w="15" w:type="dxa"/>
            <w:left w:w="15" w:type="dxa"/>
            <w:bottom w:w="15" w:type="dxa"/>
            <w:right w:w="15" w:type="dxa"/>
          </w:tblCellMar>
        </w:tblPrEx>
        <w:trPr>
          <w:trHeight w:val="286" w:hRule="atLeast"/>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U2</w:t>
            </w:r>
          </w:p>
        </w:tc>
        <w:tc>
          <w:tcPr>
            <w:tcW w:w="2920" w:type="dxa"/>
            <w:vMerge w:val="continue"/>
            <w:tcBorders>
              <w:left w:val="single" w:color="auto" w:sz="4" w:space="0"/>
              <w:right w:val="single" w:color="auto" w:sz="4" w:space="0"/>
            </w:tcBorders>
            <w:vAlign w:val="center"/>
          </w:tcPr>
          <w:p>
            <w:pPr>
              <w:jc w:val="center"/>
              <w:rPr>
                <w:bCs/>
                <w:color w:val="auto"/>
                <w:szCs w:val="21"/>
              </w:rPr>
            </w:pP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3.3</w:t>
            </w:r>
          </w:p>
        </w:tc>
      </w:tr>
      <w:tr>
        <w:tblPrEx>
          <w:tblCellMar>
            <w:top w:w="15" w:type="dxa"/>
            <w:left w:w="15" w:type="dxa"/>
            <w:bottom w:w="15" w:type="dxa"/>
            <w:right w:w="15" w:type="dxa"/>
          </w:tblCellMar>
        </w:tblPrEx>
        <w:trPr>
          <w:trHeight w:val="286" w:hRule="atLeast"/>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U3</w:t>
            </w:r>
          </w:p>
        </w:tc>
        <w:tc>
          <w:tcPr>
            <w:tcW w:w="2920" w:type="dxa"/>
            <w:vMerge w:val="continue"/>
            <w:tcBorders>
              <w:left w:val="single" w:color="auto" w:sz="4" w:space="0"/>
              <w:right w:val="single" w:color="auto" w:sz="4" w:space="0"/>
            </w:tcBorders>
            <w:vAlign w:val="center"/>
          </w:tcPr>
          <w:p>
            <w:pPr>
              <w:jc w:val="center"/>
              <w:rPr>
                <w:bCs/>
                <w:color w:val="auto"/>
                <w:szCs w:val="21"/>
              </w:rPr>
            </w:pP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3.1</w:t>
            </w:r>
          </w:p>
        </w:tc>
      </w:tr>
      <w:tr>
        <w:tblPrEx>
          <w:tblCellMar>
            <w:top w:w="15" w:type="dxa"/>
            <w:left w:w="15" w:type="dxa"/>
            <w:bottom w:w="15" w:type="dxa"/>
            <w:right w:w="15" w:type="dxa"/>
          </w:tblCellMar>
        </w:tblPrEx>
        <w:trPr>
          <w:trHeight w:val="286" w:hRule="atLeast"/>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U4</w:t>
            </w:r>
          </w:p>
        </w:tc>
        <w:tc>
          <w:tcPr>
            <w:tcW w:w="2920" w:type="dxa"/>
            <w:vMerge w:val="continue"/>
            <w:tcBorders>
              <w:left w:val="single" w:color="auto" w:sz="4" w:space="0"/>
              <w:right w:val="single" w:color="auto" w:sz="4" w:space="0"/>
            </w:tcBorders>
            <w:vAlign w:val="center"/>
          </w:tcPr>
          <w:p>
            <w:pPr>
              <w:jc w:val="center"/>
              <w:rPr>
                <w:bCs/>
                <w:color w:val="auto"/>
                <w:szCs w:val="21"/>
              </w:rPr>
            </w:pP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3.6</w:t>
            </w:r>
          </w:p>
        </w:tc>
      </w:tr>
      <w:tr>
        <w:tblPrEx>
          <w:tblCellMar>
            <w:top w:w="15" w:type="dxa"/>
            <w:left w:w="15" w:type="dxa"/>
            <w:bottom w:w="15" w:type="dxa"/>
            <w:right w:w="15" w:type="dxa"/>
          </w:tblCellMar>
        </w:tblPrEx>
        <w:trPr>
          <w:trHeight w:val="286" w:hRule="atLeast"/>
        </w:trPr>
        <w:tc>
          <w:tcPr>
            <w:tcW w:w="2921" w:type="dxa"/>
            <w:tcBorders>
              <w:top w:val="single" w:color="auto" w:sz="4" w:space="0"/>
              <w:left w:val="single" w:color="auto" w:sz="4" w:space="0"/>
              <w:bottom w:val="single" w:color="auto" w:sz="4" w:space="0"/>
              <w:right w:val="single" w:color="auto" w:sz="4" w:space="0"/>
            </w:tcBorders>
            <w:vAlign w:val="center"/>
          </w:tcPr>
          <w:p>
            <w:pPr>
              <w:jc w:val="center"/>
              <w:rPr>
                <w:bCs/>
                <w:color w:val="auto"/>
                <w:szCs w:val="21"/>
              </w:rPr>
            </w:pPr>
            <w:r>
              <w:rPr>
                <w:bCs/>
                <w:color w:val="auto"/>
                <w:szCs w:val="21"/>
              </w:rPr>
              <w:t>U5</w:t>
            </w:r>
          </w:p>
        </w:tc>
        <w:tc>
          <w:tcPr>
            <w:tcW w:w="2920" w:type="dxa"/>
            <w:tcBorders>
              <w:left w:val="single" w:color="auto" w:sz="4" w:space="0"/>
              <w:bottom w:val="single" w:color="auto" w:sz="4" w:space="0"/>
              <w:right w:val="single" w:color="auto" w:sz="4" w:space="0"/>
            </w:tcBorders>
            <w:vAlign w:val="center"/>
          </w:tcPr>
          <w:p>
            <w:pPr>
              <w:jc w:val="center"/>
              <w:rPr>
                <w:bCs/>
                <w:color w:val="auto"/>
                <w:szCs w:val="21"/>
              </w:rPr>
            </w:pPr>
          </w:p>
        </w:tc>
        <w:tc>
          <w:tcPr>
            <w:tcW w:w="292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Cs/>
                <w:color w:val="auto"/>
                <w:kern w:val="0"/>
                <w:szCs w:val="21"/>
                <w:lang w:bidi="ar"/>
              </w:rPr>
            </w:pPr>
            <w:r>
              <w:rPr>
                <w:bCs/>
                <w:color w:val="auto"/>
                <w:kern w:val="0"/>
                <w:szCs w:val="21"/>
                <w:lang w:bidi="ar"/>
              </w:rPr>
              <w:t>2.8</w:t>
            </w:r>
          </w:p>
        </w:tc>
      </w:tr>
    </w:tbl>
    <w:p>
      <w:pPr>
        <w:tabs>
          <w:tab w:val="left" w:pos="360"/>
        </w:tabs>
        <w:snapToGrid w:val="0"/>
        <w:spacing w:line="360" w:lineRule="auto"/>
        <w:jc w:val="center"/>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jc w:val="center"/>
        <w:rPr>
          <w:b/>
          <w:bCs/>
          <w:color w:val="auto"/>
        </w:rPr>
      </w:pPr>
      <w:r>
        <w:rPr>
          <w:b/>
          <w:bCs/>
          <w:color w:val="auto"/>
        </w:rPr>
        <w:t>表5.5-</w:t>
      </w:r>
      <w:r>
        <w:rPr>
          <w:rFonts w:hint="eastAsia"/>
          <w:b/>
          <w:bCs/>
          <w:color w:val="auto"/>
        </w:rPr>
        <w:t xml:space="preserve">10  </w:t>
      </w:r>
      <w:r>
        <w:rPr>
          <w:b/>
          <w:bCs/>
          <w:color w:val="auto"/>
        </w:rPr>
        <w:t>项目地下水水质监测结果</w:t>
      </w:r>
    </w:p>
    <w:tbl>
      <w:tblPr>
        <w:tblStyle w:val="23"/>
        <w:tblW w:w="14026" w:type="dxa"/>
        <w:tblInd w:w="0" w:type="dxa"/>
        <w:tblLayout w:type="fixed"/>
        <w:tblCellMar>
          <w:top w:w="15" w:type="dxa"/>
          <w:left w:w="15" w:type="dxa"/>
          <w:bottom w:w="15" w:type="dxa"/>
          <w:right w:w="15" w:type="dxa"/>
        </w:tblCellMar>
      </w:tblPr>
      <w:tblGrid>
        <w:gridCol w:w="2265"/>
        <w:gridCol w:w="1240"/>
        <w:gridCol w:w="1501"/>
        <w:gridCol w:w="1501"/>
        <w:gridCol w:w="1501"/>
        <w:gridCol w:w="1501"/>
        <w:gridCol w:w="1501"/>
        <w:gridCol w:w="1508"/>
        <w:gridCol w:w="1508"/>
      </w:tblGrid>
      <w:tr>
        <w:tblPrEx>
          <w:tblCellMar>
            <w:top w:w="15" w:type="dxa"/>
            <w:left w:w="15" w:type="dxa"/>
            <w:bottom w:w="15" w:type="dxa"/>
            <w:right w:w="15" w:type="dxa"/>
          </w:tblCellMar>
        </w:tblPrEx>
        <w:trPr>
          <w:trHeight w:val="686"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b/>
                <w:color w:val="auto"/>
                <w:szCs w:val="21"/>
              </w:rPr>
            </w:pPr>
            <w:r>
              <w:rPr>
                <w:b/>
                <w:color w:val="auto"/>
                <w:kern w:val="0"/>
                <w:szCs w:val="21"/>
                <w:lang w:bidi="ar"/>
              </w:rPr>
              <w:t>监测项目</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b/>
                <w:color w:val="auto"/>
                <w:sz w:val="22"/>
              </w:rPr>
            </w:pPr>
            <w:r>
              <w:rPr>
                <w:b/>
                <w:color w:val="auto"/>
                <w:kern w:val="0"/>
                <w:sz w:val="22"/>
                <w:lang w:bidi="ar"/>
              </w:rPr>
              <w:t>监测结果</w:t>
            </w:r>
          </w:p>
        </w:tc>
        <w:tc>
          <w:tcPr>
            <w:tcW w:w="1501" w:type="dxa"/>
            <w:tcBorders>
              <w:top w:val="single" w:color="000000" w:sz="4" w:space="0"/>
              <w:left w:val="single" w:color="000000" w:sz="4" w:space="0"/>
              <w:right w:val="single" w:color="000000" w:sz="4" w:space="0"/>
            </w:tcBorders>
            <w:vAlign w:val="center"/>
          </w:tcPr>
          <w:p>
            <w:pPr>
              <w:widowControl/>
              <w:jc w:val="center"/>
              <w:textAlignment w:val="center"/>
              <w:rPr>
                <w:b/>
                <w:bCs/>
                <w:color w:val="auto"/>
                <w:kern w:val="0"/>
                <w:sz w:val="22"/>
                <w:lang w:bidi="ar"/>
              </w:rPr>
            </w:pPr>
            <w:r>
              <w:rPr>
                <w:b/>
                <w:bCs/>
                <w:color w:val="auto"/>
                <w:szCs w:val="21"/>
              </w:rPr>
              <w:t>U1</w:t>
            </w:r>
          </w:p>
        </w:tc>
        <w:tc>
          <w:tcPr>
            <w:tcW w:w="1501" w:type="dxa"/>
            <w:tcBorders>
              <w:top w:val="single" w:color="000000" w:sz="4" w:space="0"/>
              <w:left w:val="single" w:color="000000" w:sz="4" w:space="0"/>
              <w:right w:val="single" w:color="000000" w:sz="4" w:space="0"/>
            </w:tcBorders>
            <w:vAlign w:val="center"/>
          </w:tcPr>
          <w:p>
            <w:pPr>
              <w:widowControl/>
              <w:jc w:val="center"/>
              <w:textAlignment w:val="center"/>
              <w:rPr>
                <w:b/>
                <w:bCs/>
                <w:color w:val="auto"/>
                <w:kern w:val="0"/>
                <w:sz w:val="22"/>
                <w:lang w:bidi="ar"/>
              </w:rPr>
            </w:pPr>
            <w:r>
              <w:rPr>
                <w:b/>
                <w:bCs/>
                <w:color w:val="auto"/>
                <w:szCs w:val="21"/>
              </w:rPr>
              <w:t>U2</w:t>
            </w:r>
          </w:p>
        </w:tc>
        <w:tc>
          <w:tcPr>
            <w:tcW w:w="1501" w:type="dxa"/>
            <w:tcBorders>
              <w:top w:val="single" w:color="000000" w:sz="4" w:space="0"/>
              <w:left w:val="single" w:color="000000" w:sz="4" w:space="0"/>
              <w:right w:val="single" w:color="000000" w:sz="4" w:space="0"/>
            </w:tcBorders>
            <w:vAlign w:val="center"/>
          </w:tcPr>
          <w:p>
            <w:pPr>
              <w:widowControl/>
              <w:jc w:val="center"/>
              <w:textAlignment w:val="center"/>
              <w:rPr>
                <w:b/>
                <w:bCs/>
                <w:color w:val="auto"/>
                <w:kern w:val="0"/>
                <w:sz w:val="22"/>
                <w:lang w:bidi="ar"/>
              </w:rPr>
            </w:pPr>
            <w:r>
              <w:rPr>
                <w:b/>
                <w:bCs/>
                <w:color w:val="auto"/>
                <w:szCs w:val="21"/>
              </w:rPr>
              <w:t>U3</w:t>
            </w:r>
          </w:p>
        </w:tc>
        <w:tc>
          <w:tcPr>
            <w:tcW w:w="1501" w:type="dxa"/>
            <w:tcBorders>
              <w:top w:val="single" w:color="000000" w:sz="4" w:space="0"/>
              <w:left w:val="single" w:color="000000" w:sz="4" w:space="0"/>
              <w:right w:val="single" w:color="000000" w:sz="4" w:space="0"/>
            </w:tcBorders>
            <w:vAlign w:val="center"/>
          </w:tcPr>
          <w:p>
            <w:pPr>
              <w:widowControl/>
              <w:jc w:val="center"/>
              <w:textAlignment w:val="center"/>
              <w:rPr>
                <w:b/>
                <w:bCs/>
                <w:color w:val="auto"/>
                <w:kern w:val="0"/>
                <w:sz w:val="22"/>
                <w:lang w:bidi="ar"/>
              </w:rPr>
            </w:pPr>
            <w:r>
              <w:rPr>
                <w:b/>
                <w:bCs/>
                <w:color w:val="auto"/>
                <w:kern w:val="0"/>
                <w:sz w:val="22"/>
                <w:lang w:bidi="ar"/>
              </w:rPr>
              <w:t>U4</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b/>
                <w:bCs/>
                <w:color w:val="auto"/>
                <w:kern w:val="0"/>
                <w:sz w:val="22"/>
                <w:lang w:bidi="ar"/>
              </w:rPr>
            </w:pPr>
            <w:r>
              <w:rPr>
                <w:b/>
                <w:bCs/>
                <w:color w:val="auto"/>
                <w:kern w:val="0"/>
                <w:sz w:val="22"/>
                <w:lang w:bidi="ar"/>
              </w:rPr>
              <w:t>U5</w:t>
            </w:r>
          </w:p>
        </w:tc>
        <w:tc>
          <w:tcPr>
            <w:tcW w:w="1508" w:type="dxa"/>
            <w:tcBorders>
              <w:top w:val="single" w:color="000000" w:sz="4" w:space="0"/>
              <w:left w:val="single" w:color="000000" w:sz="4" w:space="0"/>
              <w:bottom w:val="single" w:color="000000" w:sz="4" w:space="0"/>
              <w:right w:val="single" w:color="000000" w:sz="4" w:space="0"/>
            </w:tcBorders>
            <w:vAlign w:val="center"/>
          </w:tcPr>
          <w:p>
            <w:pPr>
              <w:jc w:val="center"/>
              <w:rPr>
                <w:b/>
                <w:bCs/>
                <w:color w:val="auto"/>
                <w:kern w:val="0"/>
                <w:sz w:val="22"/>
                <w:lang w:bidi="ar"/>
              </w:rPr>
            </w:pPr>
            <w:r>
              <w:rPr>
                <w:rFonts w:hint="eastAsia"/>
                <w:b/>
                <w:bCs/>
                <w:color w:val="auto"/>
                <w:szCs w:val="21"/>
              </w:rPr>
              <w:t>单位</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b/>
                <w:bCs/>
                <w:color w:val="auto"/>
                <w:sz w:val="22"/>
              </w:rPr>
            </w:pPr>
            <w:r>
              <w:rPr>
                <w:b/>
                <w:bCs/>
                <w:color w:val="auto"/>
                <w:kern w:val="0"/>
                <w:sz w:val="22"/>
                <w:lang w:bidi="ar"/>
              </w:rPr>
              <w:t>标准值</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钾</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21.4</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4.08</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8.56</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1.38</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9.80</w:t>
            </w:r>
          </w:p>
        </w:tc>
        <w:tc>
          <w:tcPr>
            <w:tcW w:w="1508" w:type="dxa"/>
            <w:tcBorders>
              <w:top w:val="single" w:color="000000" w:sz="4" w:space="0"/>
              <w:left w:val="single" w:color="000000" w:sz="4" w:space="0"/>
              <w:right w:val="single" w:color="000000" w:sz="4" w:space="0"/>
            </w:tcBorders>
            <w:vAlign w:val="center"/>
          </w:tcPr>
          <w:p>
            <w:pPr>
              <w:spacing w:line="360" w:lineRule="auto"/>
              <w:ind w:left="-126" w:leftChars="-80" w:right="-168" w:rightChars="-80" w:hanging="42" w:hangingChars="20"/>
              <w:jc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钠</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35.1</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21.0</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6.00</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9.66</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26.0</w:t>
            </w:r>
          </w:p>
        </w:tc>
        <w:tc>
          <w:tcPr>
            <w:tcW w:w="1508"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≤200</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钙</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rPr>
            </w:pPr>
            <w:r>
              <w:rPr>
                <w:rFonts w:hint="eastAsia"/>
                <w:color w:val="auto"/>
                <w:szCs w:val="21"/>
              </w:rPr>
              <w:t>72.7</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rPr>
            </w:pPr>
            <w:r>
              <w:rPr>
                <w:rFonts w:hint="eastAsia"/>
                <w:color w:val="auto"/>
                <w:szCs w:val="21"/>
              </w:rPr>
              <w:t>21.8</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rPr>
            </w:pPr>
            <w:r>
              <w:rPr>
                <w:rFonts w:hint="eastAsia"/>
                <w:color w:val="auto"/>
                <w:szCs w:val="21"/>
              </w:rPr>
              <w:t>39.1</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14.5</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121</w:t>
            </w:r>
          </w:p>
        </w:tc>
        <w:tc>
          <w:tcPr>
            <w:tcW w:w="1508"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镁</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4.53</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1.92</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3.21</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1.13</w:t>
            </w:r>
          </w:p>
        </w:tc>
        <w:tc>
          <w:tcPr>
            <w:tcW w:w="15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4.79</w:t>
            </w:r>
          </w:p>
        </w:tc>
        <w:tc>
          <w:tcPr>
            <w:tcW w:w="1508"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碳酸根</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kern w:val="0"/>
                <w:szCs w:val="21"/>
              </w:rPr>
              <w:t>ND</w:t>
            </w:r>
          </w:p>
        </w:tc>
        <w:tc>
          <w:tcPr>
            <w:tcW w:w="1508"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碳酸氢根</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237</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221</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230</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234</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238</w:t>
            </w:r>
          </w:p>
        </w:tc>
        <w:tc>
          <w:tcPr>
            <w:tcW w:w="1508"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22"/>
              </w:rPr>
            </w:pPr>
            <w:r>
              <w:rPr>
                <w:color w:val="auto"/>
                <w:szCs w:val="21"/>
              </w:rPr>
              <w:t>pH值（无量纲）</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7.26</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7.43</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7.56</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6.84</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7.47</w:t>
            </w:r>
          </w:p>
        </w:tc>
        <w:tc>
          <w:tcPr>
            <w:tcW w:w="1508" w:type="dxa"/>
            <w:tcBorders>
              <w:top w:val="single" w:color="000000" w:sz="4" w:space="0"/>
              <w:left w:val="single" w:color="000000" w:sz="4" w:space="0"/>
              <w:right w:val="single" w:color="000000" w:sz="4" w:space="0"/>
            </w:tcBorders>
            <w:vAlign w:val="center"/>
          </w:tcPr>
          <w:p>
            <w:pPr>
              <w:widowControl/>
              <w:spacing w:line="360" w:lineRule="auto"/>
              <w:jc w:val="center"/>
              <w:rPr>
                <w:color w:val="auto"/>
                <w:kern w:val="0"/>
                <w:szCs w:val="21"/>
              </w:rPr>
            </w:pPr>
            <w:r>
              <w:rPr>
                <w:rFonts w:hint="eastAsia"/>
                <w:color w:val="auto"/>
                <w:kern w:val="0"/>
                <w:szCs w:val="21"/>
              </w:rPr>
              <w:t>无量纲</w:t>
            </w:r>
          </w:p>
        </w:tc>
        <w:tc>
          <w:tcPr>
            <w:tcW w:w="1508"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22"/>
              </w:rPr>
            </w:pPr>
            <w:r>
              <w:rPr>
                <w:color w:val="auto"/>
                <w:szCs w:val="21"/>
              </w:rPr>
              <w:t>6.5≤pH≤8.5</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氨氮</w:t>
            </w:r>
          </w:p>
        </w:tc>
        <w:tc>
          <w:tcPr>
            <w:tcW w:w="12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0.06</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0.10</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szCs w:val="21"/>
              </w:rPr>
            </w:pPr>
            <w:r>
              <w:rPr>
                <w:rFonts w:hint="eastAsia"/>
                <w:color w:val="auto"/>
                <w:szCs w:val="21"/>
              </w:rPr>
              <w:t>0.12</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0.20</w:t>
            </w:r>
          </w:p>
        </w:tc>
        <w:tc>
          <w:tcPr>
            <w:tcW w:w="1501" w:type="dxa"/>
            <w:tcBorders>
              <w:top w:val="single" w:color="000000" w:sz="4" w:space="0"/>
              <w:left w:val="single" w:color="000000" w:sz="4" w:space="0"/>
              <w:bottom w:val="single" w:color="000000" w:sz="4" w:space="0"/>
              <w:right w:val="single" w:color="000000" w:sz="4" w:space="0"/>
            </w:tcBorders>
          </w:tcPr>
          <w:p>
            <w:pPr>
              <w:widowControl/>
              <w:spacing w:line="360" w:lineRule="auto"/>
              <w:jc w:val="center"/>
              <w:rPr>
                <w:color w:val="auto"/>
                <w:kern w:val="0"/>
                <w:szCs w:val="21"/>
              </w:rPr>
            </w:pPr>
            <w:r>
              <w:rPr>
                <w:rFonts w:hint="eastAsia"/>
                <w:color w:val="auto"/>
                <w:kern w:val="0"/>
                <w:szCs w:val="21"/>
              </w:rPr>
              <w:t>0.08</w:t>
            </w:r>
          </w:p>
        </w:tc>
        <w:tc>
          <w:tcPr>
            <w:tcW w:w="1508" w:type="dxa"/>
            <w:tcBorders>
              <w:top w:val="single" w:color="000000" w:sz="4" w:space="0"/>
              <w:left w:val="single" w:color="000000" w:sz="4" w:space="0"/>
              <w:right w:val="single" w:color="000000"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≤0</w:t>
            </w:r>
            <w:r>
              <w:rPr>
                <w:color w:val="auto"/>
                <w:kern w:val="0"/>
                <w:szCs w:val="21"/>
                <w:lang w:bidi="ar"/>
              </w:rPr>
              <w:t>.50</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r>
              <w:rPr>
                <w:color w:val="auto"/>
                <w:szCs w:val="21"/>
              </w:rPr>
              <w:t>硝酸盐</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5.21</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5.07</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4.31</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6.59</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3.57</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bottom w:val="single" w:color="000000" w:sz="4" w:space="0"/>
              <w:right w:val="single" w:color="000000" w:sz="4" w:space="0"/>
            </w:tcBorders>
            <w:vAlign w:val="center"/>
          </w:tcPr>
          <w:p>
            <w:pPr>
              <w:jc w:val="center"/>
              <w:rPr>
                <w:color w:val="auto"/>
                <w:sz w:val="22"/>
              </w:rPr>
            </w:pPr>
            <w:r>
              <w:rPr>
                <w:color w:val="auto"/>
                <w:szCs w:val="21"/>
              </w:rPr>
              <w:t>≤20.0</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亚硝酸盐</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0.018</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0.020</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0.015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0.23</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0.019</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≤1.00</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挥发性酚类</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color w:val="auto"/>
                <w:sz w:val="22"/>
              </w:rPr>
            </w:pPr>
            <w:r>
              <w:rPr>
                <w:color w:val="auto"/>
                <w:szCs w:val="21"/>
              </w:rPr>
              <w:t>≤0.002</w:t>
            </w:r>
          </w:p>
        </w:tc>
      </w:tr>
      <w:tr>
        <w:tblPrEx>
          <w:tblCellMar>
            <w:top w:w="15" w:type="dxa"/>
            <w:left w:w="15" w:type="dxa"/>
            <w:bottom w:w="15" w:type="dxa"/>
            <w:right w:w="15" w:type="dxa"/>
          </w:tblCellMar>
        </w:tblPrEx>
        <w:trPr>
          <w:trHeight w:val="301"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氰化物</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szCs w:val="21"/>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color w:val="auto"/>
                <w:sz w:val="22"/>
              </w:rPr>
            </w:pPr>
            <w:r>
              <w:rPr>
                <w:color w:val="auto"/>
                <w:kern w:val="0"/>
                <w:szCs w:val="21"/>
                <w:lang w:bidi="ar"/>
              </w:rPr>
              <w:t>≤0.05</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砷</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3.34</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0.72</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0.34</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1.48</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1.22</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≤0.01</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汞</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≤0.001</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铬（六价）</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≤0.05</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总硬度</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223</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240</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235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239</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241</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szCs w:val="21"/>
              </w:rPr>
              <w:t>≤450</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铅</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1.20</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1.70</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1.24</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0.88</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2.72</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color w:val="auto"/>
                <w:kern w:val="0"/>
                <w:sz w:val="24"/>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≤0.01</w:t>
            </w:r>
          </w:p>
        </w:tc>
      </w:tr>
      <w:tr>
        <w:tblPrEx>
          <w:tblCellMar>
            <w:top w:w="15" w:type="dxa"/>
            <w:left w:w="15" w:type="dxa"/>
            <w:bottom w:w="15" w:type="dxa"/>
            <w:right w:w="15" w:type="dxa"/>
          </w:tblCellMar>
        </w:tblPrEx>
        <w:trPr>
          <w:trHeight w:val="286" w:hRule="atLeast"/>
        </w:trPr>
        <w:tc>
          <w:tcPr>
            <w:tcW w:w="2265" w:type="dxa"/>
            <w:tcBorders>
              <w:top w:val="single" w:color="000000" w:sz="4" w:space="0"/>
              <w:left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氟化物</w:t>
            </w:r>
          </w:p>
        </w:tc>
        <w:tc>
          <w:tcPr>
            <w:tcW w:w="124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0.09</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0.09</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0.15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0.10</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0.14</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≤1.0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镉</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0.08</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0.19</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0.26</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0.15</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ind w:left="-168" w:leftChars="-80" w:right="-168" w:rightChars="-80"/>
              <w:jc w:val="center"/>
              <w:textAlignment w:val="center"/>
              <w:rPr>
                <w:color w:val="auto"/>
                <w:kern w:val="0"/>
                <w:szCs w:val="21"/>
              </w:rPr>
            </w:pPr>
            <w:r>
              <w:rPr>
                <w:rFonts w:hint="eastAsia"/>
                <w:color w:val="auto"/>
                <w:szCs w:val="21"/>
              </w:rPr>
              <w:t>0.47</w:t>
            </w:r>
            <w:r>
              <w:rPr>
                <w:rFonts w:ascii="Arial" w:hAnsi="Arial" w:cs="Arial"/>
                <w:color w:val="auto"/>
                <w:szCs w:val="21"/>
              </w:rPr>
              <w:t>×</w:t>
            </w:r>
            <w:r>
              <w:rPr>
                <w:rFonts w:hint="eastAsia"/>
                <w:color w:val="auto"/>
                <w:szCs w:val="21"/>
              </w:rPr>
              <w:t>10</w:t>
            </w:r>
            <w:r>
              <w:rPr>
                <w:rFonts w:hint="eastAsia"/>
                <w:color w:val="auto"/>
                <w:szCs w:val="21"/>
                <w:vertAlign w:val="superscript"/>
              </w:rPr>
              <w:t>-3</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≤0.005</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铁</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0.05</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16.8</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0.04</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10.9</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2.19</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≤0.3</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锰</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0.04</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0.51</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0.67</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1.12</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1.61</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kern w:val="0"/>
                <w:szCs w:val="21"/>
                <w:lang w:bidi="ar"/>
              </w:rPr>
              <w:t>≤0.10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溶解性总固体</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122</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117</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121</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132</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129</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szCs w:val="21"/>
              </w:rPr>
              <w:t>≤1000</w:t>
            </w:r>
          </w:p>
        </w:tc>
      </w:tr>
      <w:tr>
        <w:tblPrEx>
          <w:tblCellMar>
            <w:top w:w="15" w:type="dxa"/>
            <w:left w:w="15" w:type="dxa"/>
            <w:bottom w:w="15" w:type="dxa"/>
            <w:right w:w="15" w:type="dxa"/>
          </w:tblCellMar>
        </w:tblPrEx>
        <w:trPr>
          <w:trHeight w:val="24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高锰酸盐指数</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1.8</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1.7</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szCs w:val="21"/>
              </w:rPr>
              <w:t>1.5</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2.3</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1.6</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szCs w:val="21"/>
              </w:rPr>
              <w:t>—</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right w:val="single" w:color="auto" w:sz="4" w:space="0"/>
            </w:tcBorders>
            <w:vAlign w:val="center"/>
          </w:tcPr>
          <w:p>
            <w:pPr>
              <w:jc w:val="center"/>
              <w:rPr>
                <w:color w:val="auto"/>
                <w:szCs w:val="21"/>
              </w:rPr>
            </w:pPr>
            <w:r>
              <w:rPr>
                <w:color w:val="auto"/>
                <w:kern w:val="0"/>
                <w:szCs w:val="21"/>
                <w:lang w:bidi="ar"/>
              </w:rPr>
              <w:t>硫酸盐</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14</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13</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14</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11</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12</w:t>
            </w:r>
          </w:p>
        </w:tc>
        <w:tc>
          <w:tcPr>
            <w:tcW w:w="150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jc w:val="center"/>
              <w:rPr>
                <w:color w:val="auto"/>
                <w:sz w:val="22"/>
              </w:rPr>
            </w:pPr>
            <w:r>
              <w:rPr>
                <w:color w:val="auto"/>
                <w:szCs w:val="21"/>
              </w:rPr>
              <w:t>≤250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氯化物</w:t>
            </w:r>
          </w:p>
        </w:tc>
        <w:tc>
          <w:tcPr>
            <w:tcW w:w="1240"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14.8</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13.2</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15.2</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15.8</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13.1</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mg/L</w:t>
            </w:r>
          </w:p>
        </w:tc>
        <w:tc>
          <w:tcPr>
            <w:tcW w:w="1508" w:type="dxa"/>
            <w:tcBorders>
              <w:top w:val="single" w:color="000000" w:sz="4" w:space="0"/>
              <w:left w:val="single" w:color="auto" w:sz="4" w:space="0"/>
              <w:right w:val="single" w:color="000000" w:sz="4" w:space="0"/>
            </w:tcBorders>
            <w:vAlign w:val="center"/>
          </w:tcPr>
          <w:p>
            <w:pPr>
              <w:widowControl/>
              <w:jc w:val="center"/>
              <w:textAlignment w:val="center"/>
              <w:rPr>
                <w:color w:val="auto"/>
                <w:sz w:val="22"/>
              </w:rPr>
            </w:pPr>
            <w:r>
              <w:rPr>
                <w:color w:val="auto"/>
                <w:szCs w:val="21"/>
              </w:rPr>
              <w:t>≤250</w:t>
            </w:r>
          </w:p>
        </w:tc>
      </w:tr>
      <w:tr>
        <w:tblPrEx>
          <w:tblCellMar>
            <w:top w:w="15" w:type="dxa"/>
            <w:left w:w="15" w:type="dxa"/>
            <w:bottom w:w="15" w:type="dxa"/>
            <w:right w:w="15" w:type="dxa"/>
          </w:tblCellMar>
        </w:tblPrEx>
        <w:trPr>
          <w:trHeight w:val="173" w:hRule="atLeast"/>
        </w:trPr>
        <w:tc>
          <w:tcPr>
            <w:tcW w:w="2265" w:type="dxa"/>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总大肠菌群（MPN/100mL）</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rFonts w:hint="eastAsia"/>
                <w:color w:val="auto"/>
                <w:kern w:val="0"/>
                <w:szCs w:val="21"/>
              </w:rPr>
              <w:t>未检出</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rFonts w:hint="eastAsia"/>
                <w:color w:val="auto"/>
                <w:kern w:val="0"/>
                <w:szCs w:val="21"/>
              </w:rPr>
              <w:t>未检出</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rFonts w:hint="eastAsia"/>
                <w:color w:val="auto"/>
                <w:kern w:val="0"/>
                <w:szCs w:val="21"/>
              </w:rPr>
              <w:t>未检出</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未检出</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未检出</w:t>
            </w:r>
          </w:p>
        </w:tc>
        <w:tc>
          <w:tcPr>
            <w:tcW w:w="1508"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color w:val="auto"/>
                <w:kern w:val="0"/>
                <w:szCs w:val="21"/>
                <w:lang w:bidi="ar"/>
              </w:rPr>
              <w:t>MPN</w:t>
            </w:r>
            <w:r>
              <w:rPr>
                <w:color w:val="auto"/>
                <w:szCs w:val="21"/>
              </w:rPr>
              <w:t>/100mL</w:t>
            </w:r>
          </w:p>
        </w:tc>
        <w:tc>
          <w:tcPr>
            <w:tcW w:w="1508" w:type="dxa"/>
            <w:tcBorders>
              <w:top w:val="single" w:color="auto" w:sz="4" w:space="0"/>
              <w:left w:val="single" w:color="auto" w:sz="4" w:space="0"/>
              <w:right w:val="single" w:color="auto" w:sz="4" w:space="0"/>
            </w:tcBorders>
            <w:vAlign w:val="center"/>
          </w:tcPr>
          <w:p>
            <w:pPr>
              <w:jc w:val="center"/>
              <w:rPr>
                <w:color w:val="auto"/>
                <w:sz w:val="22"/>
              </w:rPr>
            </w:pPr>
            <w:r>
              <w:rPr>
                <w:color w:val="auto"/>
                <w:szCs w:val="21"/>
              </w:rPr>
              <w:t>≤3.0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细菌总数（CFU/mL）</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color w:val="auto"/>
              </w:rPr>
              <w:t>20</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color w:val="auto"/>
              </w:rPr>
              <w:t>19</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rPr>
            </w:pPr>
            <w:r>
              <w:rPr>
                <w:color w:val="auto"/>
              </w:rPr>
              <w:t>26</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kern w:val="0"/>
                <w:szCs w:val="21"/>
              </w:rPr>
              <w:t>24</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kern w:val="0"/>
                <w:szCs w:val="21"/>
              </w:rPr>
              <w:t>20</w:t>
            </w:r>
          </w:p>
        </w:tc>
        <w:tc>
          <w:tcPr>
            <w:tcW w:w="1508"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lang w:bidi="ar"/>
              </w:rPr>
            </w:pPr>
            <w:r>
              <w:rPr>
                <w:color w:val="auto"/>
                <w:kern w:val="0"/>
                <w:szCs w:val="21"/>
                <w:lang w:bidi="ar"/>
              </w:rPr>
              <w:t>CFU/mL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≤100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铜</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≤1.00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kern w:val="0"/>
                <w:szCs w:val="21"/>
                <w:lang w:bidi="ar"/>
              </w:rPr>
              <w:t>锌</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0.040</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0.069</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0.023</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0.022</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0.014</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≤1.00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铝</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0.116</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0.175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szCs w:val="21"/>
              </w:rPr>
              <w:t>0.095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0.075</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0.112</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szCs w:val="21"/>
              </w:rPr>
              <w:t>mg/L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≤0.20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苯</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rPr>
              <w:t>μg/</w:t>
            </w:r>
            <w:r>
              <w:rPr>
                <w:color w:val="auto"/>
                <w:szCs w:val="21"/>
              </w:rPr>
              <w:t>/L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≤10.0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甲苯</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rPr>
              <w:t>μg/</w:t>
            </w:r>
            <w:r>
              <w:rPr>
                <w:color w:val="auto"/>
                <w:szCs w:val="21"/>
              </w:rPr>
              <w:t>/L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≤700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二甲苯（总量）（μg/L）</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rPr>
              <w:t>μg/</w:t>
            </w:r>
            <w:r>
              <w:rPr>
                <w:color w:val="auto"/>
                <w:szCs w:val="21"/>
              </w:rPr>
              <w:t>/L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≤500</w:t>
            </w:r>
          </w:p>
        </w:tc>
      </w:tr>
      <w:tr>
        <w:tblPrEx>
          <w:tblCellMar>
            <w:top w:w="15" w:type="dxa"/>
            <w:left w:w="15" w:type="dxa"/>
            <w:bottom w:w="15" w:type="dxa"/>
            <w:right w:w="15" w:type="dxa"/>
          </w:tblCellMar>
        </w:tblPrEx>
        <w:trPr>
          <w:trHeight w:val="286" w:hRule="atLeast"/>
        </w:trPr>
        <w:tc>
          <w:tcPr>
            <w:tcW w:w="226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Cs w:val="21"/>
              </w:rPr>
            </w:pPr>
            <w:r>
              <w:rPr>
                <w:color w:val="auto"/>
                <w:szCs w:val="21"/>
              </w:rPr>
              <w:t>苯并[a]芘（μg/L）</w:t>
            </w:r>
          </w:p>
        </w:tc>
        <w:tc>
          <w:tcPr>
            <w:tcW w:w="124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kern w:val="0"/>
                <w:szCs w:val="21"/>
                <w:lang w:bidi="ar"/>
              </w:rPr>
            </w:pPr>
            <w:r>
              <w:rPr>
                <w:color w:val="auto"/>
                <w:kern w:val="0"/>
                <w:szCs w:val="21"/>
                <w:lang w:bidi="ar"/>
              </w:rPr>
              <w:t>监测值</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szCs w:val="21"/>
              </w:rPr>
            </w:pPr>
            <w:r>
              <w:rPr>
                <w:rFonts w:hint="eastAsia"/>
                <w:color w:val="auto"/>
                <w:kern w:val="0"/>
                <w:szCs w:val="21"/>
              </w:rPr>
              <w:t>ND</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0.008</w:t>
            </w:r>
          </w:p>
        </w:tc>
        <w:tc>
          <w:tcPr>
            <w:tcW w:w="1501" w:type="dxa"/>
            <w:tcBorders>
              <w:top w:val="single" w:color="auto" w:sz="4" w:space="0"/>
              <w:left w:val="single" w:color="auto" w:sz="4" w:space="0"/>
              <w:bottom w:val="single" w:color="auto" w:sz="4" w:space="0"/>
              <w:right w:val="single" w:color="auto" w:sz="4" w:space="0"/>
            </w:tcBorders>
          </w:tcPr>
          <w:p>
            <w:pPr>
              <w:widowControl/>
              <w:spacing w:line="360" w:lineRule="auto"/>
              <w:jc w:val="center"/>
              <w:rPr>
                <w:color w:val="auto"/>
                <w:kern w:val="0"/>
                <w:szCs w:val="21"/>
              </w:rPr>
            </w:pPr>
            <w:r>
              <w:rPr>
                <w:rFonts w:hint="eastAsia"/>
                <w:color w:val="auto"/>
                <w:kern w:val="0"/>
                <w:szCs w:val="21"/>
              </w:rPr>
              <w:t>ND</w:t>
            </w:r>
          </w:p>
        </w:tc>
        <w:tc>
          <w:tcPr>
            <w:tcW w:w="150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color w:val="auto"/>
                <w:kern w:val="0"/>
                <w:szCs w:val="21"/>
              </w:rPr>
            </w:pPr>
            <w:r>
              <w:rPr>
                <w:color w:val="auto"/>
              </w:rPr>
              <w:t>μg/</w:t>
            </w:r>
            <w:r>
              <w:rPr>
                <w:color w:val="auto"/>
                <w:szCs w:val="21"/>
              </w:rPr>
              <w:t>/L</w:t>
            </w:r>
          </w:p>
        </w:tc>
        <w:tc>
          <w:tcPr>
            <w:tcW w:w="1508" w:type="dxa"/>
            <w:tcBorders>
              <w:top w:val="single" w:color="auto" w:sz="4" w:space="0"/>
              <w:left w:val="single" w:color="auto" w:sz="4" w:space="0"/>
              <w:right w:val="single" w:color="auto" w:sz="4" w:space="0"/>
            </w:tcBorders>
            <w:vAlign w:val="center"/>
          </w:tcPr>
          <w:p>
            <w:pPr>
              <w:widowControl/>
              <w:jc w:val="center"/>
              <w:textAlignment w:val="center"/>
              <w:rPr>
                <w:color w:val="auto"/>
                <w:sz w:val="22"/>
              </w:rPr>
            </w:pPr>
            <w:r>
              <w:rPr>
                <w:color w:val="auto"/>
                <w:kern w:val="0"/>
                <w:szCs w:val="21"/>
                <w:lang w:bidi="ar"/>
              </w:rPr>
              <w:t>≤0.01</w:t>
            </w:r>
          </w:p>
        </w:tc>
      </w:tr>
    </w:tbl>
    <w:p>
      <w:pPr>
        <w:spacing w:line="360" w:lineRule="auto"/>
        <w:ind w:firstLine="480" w:firstLineChars="200"/>
        <w:jc w:val="left"/>
        <w:rPr>
          <w:color w:val="auto"/>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根据表5.5-</w:t>
      </w:r>
      <w:r>
        <w:rPr>
          <w:rFonts w:hint="eastAsia"/>
          <w:color w:val="auto"/>
          <w:sz w:val="24"/>
        </w:rPr>
        <w:t>5</w:t>
      </w:r>
      <w:r>
        <w:rPr>
          <w:color w:val="auto"/>
          <w:sz w:val="24"/>
        </w:rPr>
        <w:t>地下水环境质量现状监测结果可知，地下水监测因子</w:t>
      </w:r>
      <w:r>
        <w:rPr>
          <w:rFonts w:hint="eastAsia"/>
          <w:color w:val="auto"/>
          <w:sz w:val="24"/>
        </w:rPr>
        <w:t>除铁、锰外</w:t>
      </w:r>
      <w:r>
        <w:rPr>
          <w:color w:val="auto"/>
          <w:sz w:val="24"/>
        </w:rPr>
        <w:t>均符合《地下水质量标准》（GB/T14848-2017）Ⅲ类水的要求。</w:t>
      </w:r>
      <w:r>
        <w:rPr>
          <w:rFonts w:hint="eastAsia"/>
          <w:color w:val="auto"/>
          <w:sz w:val="24"/>
        </w:rPr>
        <w:t>监测对象主要为浅层地下水，受地表或土壤水污染影响大，</w:t>
      </w:r>
      <w:r>
        <w:rPr>
          <w:color w:val="auto"/>
          <w:sz w:val="24"/>
        </w:rPr>
        <w:t>项目周边工业企业</w:t>
      </w:r>
      <w:r>
        <w:rPr>
          <w:rFonts w:hint="eastAsia"/>
          <w:color w:val="auto"/>
          <w:sz w:val="24"/>
        </w:rPr>
        <w:t>多数为有色金属加工业</w:t>
      </w:r>
      <w:r>
        <w:rPr>
          <w:color w:val="auto"/>
          <w:sz w:val="24"/>
        </w:rPr>
        <w:t>，故</w:t>
      </w:r>
      <w:r>
        <w:rPr>
          <w:rFonts w:hint="eastAsia"/>
          <w:color w:val="auto"/>
          <w:sz w:val="24"/>
        </w:rPr>
        <w:t>铁、锰</w:t>
      </w:r>
      <w:r>
        <w:rPr>
          <w:color w:val="auto"/>
          <w:sz w:val="24"/>
        </w:rPr>
        <w:t>含量高于筛选值可能与项目所在区域背景值较高有关。</w:t>
      </w:r>
    </w:p>
    <w:p>
      <w:pPr>
        <w:pStyle w:val="5"/>
        <w:numPr>
          <w:ilvl w:val="1"/>
          <w:numId w:val="0"/>
        </w:numPr>
        <w:tabs>
          <w:tab w:val="clear" w:pos="720"/>
        </w:tabs>
        <w:spacing w:before="159" w:after="159"/>
        <w:rPr>
          <w:color w:val="auto"/>
          <w:sz w:val="32"/>
          <w:szCs w:val="32"/>
        </w:rPr>
      </w:pPr>
      <w:bookmarkStart w:id="551" w:name="_Toc15865"/>
      <w:bookmarkStart w:id="552" w:name="_Toc32192"/>
      <w:r>
        <w:rPr>
          <w:rFonts w:hint="eastAsia"/>
          <w:color w:val="auto"/>
          <w:sz w:val="32"/>
          <w:szCs w:val="32"/>
        </w:rPr>
        <w:t xml:space="preserve">5.6  </w:t>
      </w:r>
      <w:r>
        <w:rPr>
          <w:color w:val="auto"/>
          <w:sz w:val="32"/>
          <w:szCs w:val="32"/>
        </w:rPr>
        <w:t>大气环境质量现状调查与评价</w:t>
      </w:r>
      <w:bookmarkEnd w:id="545"/>
      <w:bookmarkEnd w:id="551"/>
      <w:bookmarkEnd w:id="552"/>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553" w:name="_Toc32685"/>
      <w:r>
        <w:rPr>
          <w:rFonts w:hint="eastAsia"/>
          <w:color w:val="auto"/>
        </w:rPr>
        <w:t xml:space="preserve">5.6.1  </w:t>
      </w:r>
      <w:r>
        <w:rPr>
          <w:color w:val="auto"/>
        </w:rPr>
        <w:t>空气质量达标区判定</w:t>
      </w:r>
      <w:bookmarkEnd w:id="553"/>
    </w:p>
    <w:p>
      <w:pPr>
        <w:pStyle w:val="37"/>
        <w:tabs>
          <w:tab w:val="left" w:pos="0"/>
          <w:tab w:val="left" w:pos="2089"/>
        </w:tabs>
        <w:adjustRightInd w:val="0"/>
        <w:ind w:firstLine="480"/>
        <w:rPr>
          <w:color w:val="auto"/>
          <w:szCs w:val="24"/>
        </w:rPr>
      </w:pPr>
      <w:r>
        <w:rPr>
          <w:color w:val="auto"/>
          <w:szCs w:val="24"/>
        </w:rPr>
        <w:t>据《环境影响评价技术导则 大气环境》（HJ 2.2－2018）的要求，城市环境空气质量达标情况评价指标为SO</w:t>
      </w:r>
      <w:r>
        <w:rPr>
          <w:color w:val="auto"/>
          <w:szCs w:val="24"/>
          <w:vertAlign w:val="subscript"/>
        </w:rPr>
        <w:t>2</w:t>
      </w:r>
      <w:r>
        <w:rPr>
          <w:color w:val="auto"/>
          <w:szCs w:val="24"/>
        </w:rPr>
        <w:t>、NO</w:t>
      </w:r>
      <w:r>
        <w:rPr>
          <w:color w:val="auto"/>
          <w:szCs w:val="24"/>
          <w:vertAlign w:val="subscript"/>
        </w:rPr>
        <w:t>2</w:t>
      </w:r>
      <w:r>
        <w:rPr>
          <w:color w:val="auto"/>
          <w:szCs w:val="24"/>
        </w:rPr>
        <w:t>、PM</w:t>
      </w:r>
      <w:r>
        <w:rPr>
          <w:color w:val="auto"/>
          <w:szCs w:val="24"/>
          <w:vertAlign w:val="subscript"/>
        </w:rPr>
        <w:t>10</w:t>
      </w:r>
      <w:r>
        <w:rPr>
          <w:color w:val="auto"/>
          <w:szCs w:val="24"/>
        </w:rPr>
        <w:t xml:space="preserve">、PM </w:t>
      </w:r>
      <w:r>
        <w:rPr>
          <w:color w:val="auto"/>
          <w:szCs w:val="24"/>
          <w:vertAlign w:val="subscript"/>
        </w:rPr>
        <w:t>2.5</w:t>
      </w:r>
      <w:r>
        <w:rPr>
          <w:color w:val="auto"/>
          <w:szCs w:val="24"/>
        </w:rPr>
        <w:t>、CO和O</w:t>
      </w:r>
      <w:r>
        <w:rPr>
          <w:color w:val="auto"/>
          <w:szCs w:val="24"/>
          <w:vertAlign w:val="subscript"/>
        </w:rPr>
        <w:t>3</w:t>
      </w:r>
      <w:r>
        <w:rPr>
          <w:color w:val="auto"/>
          <w:szCs w:val="24"/>
        </w:rPr>
        <w:t xml:space="preserve"> ，六项污染物全部达标即为城市环境空气质量达标。项目所在区域达标判定，优先采用国家或地方生态环境主管部门公开发布的评价基准年环境质量公告或环境质量报告中的数据或结论。</w:t>
      </w:r>
    </w:p>
    <w:p>
      <w:pPr>
        <w:tabs>
          <w:tab w:val="left" w:pos="360"/>
        </w:tabs>
        <w:snapToGrid w:val="0"/>
        <w:spacing w:before="159" w:beforeLines="50" w:line="360" w:lineRule="auto"/>
        <w:ind w:firstLine="480" w:firstLineChars="200"/>
        <w:rPr>
          <w:color w:val="auto"/>
          <w:sz w:val="24"/>
        </w:rPr>
      </w:pPr>
      <w:r>
        <w:rPr>
          <w:color w:val="auto"/>
          <w:sz w:val="24"/>
        </w:rPr>
        <w:t>本次环境空气质量现状调查与评价选取的基准年为201</w:t>
      </w:r>
      <w:r>
        <w:rPr>
          <w:rFonts w:hint="eastAsia"/>
          <w:color w:val="auto"/>
          <w:sz w:val="24"/>
        </w:rPr>
        <w:t>9</w:t>
      </w:r>
      <w:r>
        <w:rPr>
          <w:color w:val="auto"/>
          <w:sz w:val="24"/>
        </w:rPr>
        <w:t>年，根据</w:t>
      </w:r>
      <w:r>
        <w:rPr>
          <w:rFonts w:hint="eastAsia"/>
          <w:color w:val="auto"/>
          <w:sz w:val="24"/>
        </w:rPr>
        <w:t>清远市</w:t>
      </w:r>
      <w:r>
        <w:rPr>
          <w:color w:val="auto"/>
          <w:sz w:val="24"/>
        </w:rPr>
        <w:t>《2019年1-12月清远市各县（市、区） 空气、水环境质量状况发布》</w:t>
      </w:r>
      <w:r>
        <w:rPr>
          <w:rFonts w:hint="eastAsia"/>
          <w:color w:val="auto"/>
          <w:sz w:val="24"/>
        </w:rPr>
        <w:t>（链接：http://www.gdqy.gov.cn/xxgk/zzjg/zfjg/qyssthjj/xxgk/zdlyxxgkzl/kqhjxx/content/mpost_983780.html）</w:t>
      </w:r>
      <w:r>
        <w:rPr>
          <w:color w:val="auto"/>
          <w:sz w:val="24"/>
        </w:rPr>
        <w:t>，20</w:t>
      </w:r>
      <w:r>
        <w:rPr>
          <w:rFonts w:hint="eastAsia"/>
          <w:color w:val="auto"/>
          <w:sz w:val="24"/>
        </w:rPr>
        <w:t>19</w:t>
      </w:r>
      <w:r>
        <w:rPr>
          <w:color w:val="auto"/>
          <w:sz w:val="24"/>
        </w:rPr>
        <w:t>年清城区二氧化硫、二氧化氮、可吸入颗粒物（PM</w:t>
      </w:r>
      <w:r>
        <w:rPr>
          <w:color w:val="auto"/>
          <w:sz w:val="24"/>
          <w:vertAlign w:val="subscript"/>
        </w:rPr>
        <w:t>10</w:t>
      </w:r>
      <w:r>
        <w:rPr>
          <w:color w:val="auto"/>
          <w:sz w:val="24"/>
        </w:rPr>
        <w:t>）、细颗粒物（PM</w:t>
      </w:r>
      <w:r>
        <w:rPr>
          <w:color w:val="auto"/>
          <w:sz w:val="24"/>
          <w:vertAlign w:val="subscript"/>
        </w:rPr>
        <w:t>2.5</w:t>
      </w:r>
      <w:r>
        <w:rPr>
          <w:color w:val="auto"/>
          <w:sz w:val="24"/>
        </w:rPr>
        <w:t>）平均浓度分别为</w:t>
      </w:r>
      <w:r>
        <w:rPr>
          <w:rFonts w:hint="eastAsia"/>
          <w:color w:val="auto"/>
          <w:sz w:val="24"/>
        </w:rPr>
        <w:t>10、28、53、31</w:t>
      </w:r>
      <w:r>
        <w:rPr>
          <w:color w:val="auto"/>
          <w:sz w:val="24"/>
        </w:rPr>
        <w:t>微克/立方米；臭氧日最大8小时滑动平均值第90百分位数为</w:t>
      </w:r>
      <w:r>
        <w:rPr>
          <w:rFonts w:hint="eastAsia"/>
          <w:color w:val="auto"/>
          <w:sz w:val="24"/>
        </w:rPr>
        <w:t>149</w:t>
      </w:r>
      <w:r>
        <w:rPr>
          <w:color w:val="auto"/>
          <w:sz w:val="24"/>
        </w:rPr>
        <w:t>微克/立方米；一氧化碳日均值第95百分位数为1.2毫克/立方米，</w:t>
      </w:r>
      <w:r>
        <w:rPr>
          <w:rFonts w:hint="eastAsia"/>
          <w:color w:val="auto"/>
          <w:sz w:val="24"/>
        </w:rPr>
        <w:t>上述</w:t>
      </w:r>
      <w:r>
        <w:rPr>
          <w:color w:val="auto"/>
          <w:sz w:val="24"/>
        </w:rPr>
        <w:t>指标均能达到国家二级标准。具体数据见</w:t>
      </w:r>
      <w:r>
        <w:rPr>
          <w:rFonts w:hint="eastAsia"/>
          <w:color w:val="auto"/>
          <w:sz w:val="24"/>
        </w:rPr>
        <w:t>下表</w:t>
      </w:r>
      <w:r>
        <w:rPr>
          <w:color w:val="auto"/>
          <w:sz w:val="24"/>
        </w:rPr>
        <w:t>。</w:t>
      </w:r>
    </w:p>
    <w:p>
      <w:pPr>
        <w:spacing w:before="159" w:beforeLines="50" w:line="300" w:lineRule="auto"/>
        <w:jc w:val="center"/>
        <w:rPr>
          <w:b/>
          <w:color w:val="auto"/>
          <w:szCs w:val="21"/>
        </w:rPr>
      </w:pPr>
      <w:r>
        <w:rPr>
          <w:b/>
          <w:color w:val="auto"/>
          <w:szCs w:val="21"/>
        </w:rPr>
        <w:t>表</w:t>
      </w:r>
      <w:r>
        <w:rPr>
          <w:rFonts w:hint="eastAsia"/>
          <w:b/>
          <w:color w:val="auto"/>
          <w:szCs w:val="21"/>
        </w:rPr>
        <w:t>5</w:t>
      </w:r>
      <w:r>
        <w:rPr>
          <w:b/>
          <w:color w:val="auto"/>
          <w:szCs w:val="21"/>
        </w:rPr>
        <w:t>.6-1</w:t>
      </w:r>
      <w:r>
        <w:rPr>
          <w:rFonts w:hint="eastAsia"/>
          <w:b/>
          <w:color w:val="auto"/>
          <w:szCs w:val="21"/>
        </w:rPr>
        <w:t xml:space="preserve">  </w:t>
      </w:r>
      <w:r>
        <w:rPr>
          <w:b/>
          <w:color w:val="auto"/>
          <w:szCs w:val="21"/>
        </w:rPr>
        <w:t>区域空气质量现状评价表</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5"/>
        <w:gridCol w:w="2538"/>
        <w:gridCol w:w="1353"/>
        <w:gridCol w:w="1355"/>
        <w:gridCol w:w="1352"/>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995" w:type="dxa"/>
            <w:vAlign w:val="center"/>
          </w:tcPr>
          <w:p>
            <w:pPr>
              <w:spacing w:line="300" w:lineRule="auto"/>
              <w:jc w:val="center"/>
              <w:rPr>
                <w:color w:val="auto"/>
                <w:szCs w:val="21"/>
              </w:rPr>
            </w:pPr>
            <w:r>
              <w:rPr>
                <w:color w:val="auto"/>
                <w:szCs w:val="21"/>
              </w:rPr>
              <w:t>污染物</w:t>
            </w:r>
          </w:p>
        </w:tc>
        <w:tc>
          <w:tcPr>
            <w:tcW w:w="2538" w:type="dxa"/>
            <w:vAlign w:val="center"/>
          </w:tcPr>
          <w:p>
            <w:pPr>
              <w:spacing w:line="300" w:lineRule="auto"/>
              <w:jc w:val="center"/>
              <w:rPr>
                <w:color w:val="auto"/>
                <w:szCs w:val="21"/>
              </w:rPr>
            </w:pPr>
            <w:r>
              <w:rPr>
                <w:color w:val="auto"/>
                <w:szCs w:val="21"/>
              </w:rPr>
              <w:t>年评价指标</w:t>
            </w:r>
          </w:p>
        </w:tc>
        <w:tc>
          <w:tcPr>
            <w:tcW w:w="1353" w:type="dxa"/>
            <w:vAlign w:val="center"/>
          </w:tcPr>
          <w:p>
            <w:pPr>
              <w:spacing w:line="300" w:lineRule="auto"/>
              <w:jc w:val="center"/>
              <w:rPr>
                <w:color w:val="auto"/>
                <w:szCs w:val="21"/>
              </w:rPr>
            </w:pPr>
            <w:r>
              <w:rPr>
                <w:color w:val="auto"/>
                <w:szCs w:val="21"/>
              </w:rPr>
              <w:t>现状浓度/(ug/m</w:t>
            </w:r>
            <w:r>
              <w:rPr>
                <w:color w:val="auto"/>
                <w:szCs w:val="21"/>
                <w:vertAlign w:val="superscript"/>
              </w:rPr>
              <w:t>3</w:t>
            </w:r>
            <w:r>
              <w:rPr>
                <w:color w:val="auto"/>
                <w:szCs w:val="21"/>
              </w:rPr>
              <w:t>)</w:t>
            </w:r>
          </w:p>
        </w:tc>
        <w:tc>
          <w:tcPr>
            <w:tcW w:w="1355" w:type="dxa"/>
            <w:vAlign w:val="center"/>
          </w:tcPr>
          <w:p>
            <w:pPr>
              <w:spacing w:line="300" w:lineRule="auto"/>
              <w:jc w:val="center"/>
              <w:rPr>
                <w:color w:val="auto"/>
                <w:szCs w:val="21"/>
              </w:rPr>
            </w:pPr>
            <w:r>
              <w:rPr>
                <w:color w:val="auto"/>
                <w:szCs w:val="21"/>
              </w:rPr>
              <w:t>标准值/(ug/m</w:t>
            </w:r>
            <w:r>
              <w:rPr>
                <w:color w:val="auto"/>
                <w:szCs w:val="21"/>
                <w:vertAlign w:val="superscript"/>
              </w:rPr>
              <w:t>3</w:t>
            </w:r>
            <w:r>
              <w:rPr>
                <w:color w:val="auto"/>
                <w:szCs w:val="21"/>
              </w:rPr>
              <w:t>)</w:t>
            </w:r>
          </w:p>
        </w:tc>
        <w:tc>
          <w:tcPr>
            <w:tcW w:w="1352" w:type="dxa"/>
            <w:vAlign w:val="center"/>
          </w:tcPr>
          <w:p>
            <w:pPr>
              <w:spacing w:line="300" w:lineRule="auto"/>
              <w:jc w:val="center"/>
              <w:rPr>
                <w:color w:val="auto"/>
                <w:szCs w:val="21"/>
              </w:rPr>
            </w:pPr>
            <w:r>
              <w:rPr>
                <w:color w:val="auto"/>
                <w:szCs w:val="21"/>
              </w:rPr>
              <w:t>占标率/%</w:t>
            </w:r>
          </w:p>
        </w:tc>
        <w:tc>
          <w:tcPr>
            <w:tcW w:w="1355" w:type="dxa"/>
            <w:vAlign w:val="center"/>
          </w:tcPr>
          <w:p>
            <w:pPr>
              <w:spacing w:line="300" w:lineRule="auto"/>
              <w:jc w:val="center"/>
              <w:rPr>
                <w:color w:val="auto"/>
                <w:szCs w:val="21"/>
              </w:rPr>
            </w:pPr>
            <w:r>
              <w:rPr>
                <w:color w:val="auto"/>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vAlign w:val="center"/>
          </w:tcPr>
          <w:p>
            <w:pPr>
              <w:spacing w:line="300" w:lineRule="auto"/>
              <w:jc w:val="center"/>
              <w:rPr>
                <w:color w:val="auto"/>
                <w:szCs w:val="21"/>
              </w:rPr>
            </w:pPr>
            <w:r>
              <w:rPr>
                <w:color w:val="auto"/>
                <w:szCs w:val="21"/>
              </w:rPr>
              <w:t>SO</w:t>
            </w:r>
            <w:r>
              <w:rPr>
                <w:color w:val="auto"/>
                <w:szCs w:val="21"/>
                <w:vertAlign w:val="subscript"/>
              </w:rPr>
              <w:t>2</w:t>
            </w:r>
          </w:p>
        </w:tc>
        <w:tc>
          <w:tcPr>
            <w:tcW w:w="2538" w:type="dxa"/>
            <w:vAlign w:val="center"/>
          </w:tcPr>
          <w:p>
            <w:pPr>
              <w:spacing w:line="300" w:lineRule="auto"/>
              <w:jc w:val="center"/>
              <w:rPr>
                <w:color w:val="auto"/>
                <w:szCs w:val="21"/>
              </w:rPr>
            </w:pPr>
            <w:r>
              <w:rPr>
                <w:color w:val="auto"/>
                <w:szCs w:val="21"/>
              </w:rPr>
              <w:t>年平均质量浓度</w:t>
            </w:r>
          </w:p>
        </w:tc>
        <w:tc>
          <w:tcPr>
            <w:tcW w:w="1353" w:type="dxa"/>
            <w:vAlign w:val="center"/>
          </w:tcPr>
          <w:p>
            <w:pPr>
              <w:spacing w:line="300" w:lineRule="auto"/>
              <w:jc w:val="center"/>
              <w:rPr>
                <w:color w:val="auto"/>
                <w:szCs w:val="21"/>
              </w:rPr>
            </w:pPr>
            <w:r>
              <w:rPr>
                <w:rFonts w:hint="eastAsia"/>
                <w:color w:val="auto"/>
                <w:szCs w:val="21"/>
              </w:rPr>
              <w:t>10</w:t>
            </w:r>
          </w:p>
        </w:tc>
        <w:tc>
          <w:tcPr>
            <w:tcW w:w="1355" w:type="dxa"/>
            <w:vAlign w:val="center"/>
          </w:tcPr>
          <w:p>
            <w:pPr>
              <w:spacing w:line="300" w:lineRule="auto"/>
              <w:jc w:val="center"/>
              <w:rPr>
                <w:color w:val="auto"/>
                <w:szCs w:val="21"/>
              </w:rPr>
            </w:pPr>
            <w:r>
              <w:rPr>
                <w:color w:val="auto"/>
                <w:szCs w:val="21"/>
              </w:rPr>
              <w:t>60</w:t>
            </w:r>
          </w:p>
        </w:tc>
        <w:tc>
          <w:tcPr>
            <w:tcW w:w="1352" w:type="dxa"/>
            <w:vAlign w:val="center"/>
          </w:tcPr>
          <w:p>
            <w:pPr>
              <w:spacing w:line="300" w:lineRule="auto"/>
              <w:jc w:val="center"/>
              <w:rPr>
                <w:color w:val="auto"/>
                <w:szCs w:val="21"/>
              </w:rPr>
            </w:pPr>
            <w:r>
              <w:rPr>
                <w:rFonts w:hint="eastAsia"/>
                <w:color w:val="auto"/>
                <w:szCs w:val="21"/>
              </w:rPr>
              <w:t xml:space="preserve">0.17 </w:t>
            </w:r>
          </w:p>
        </w:tc>
        <w:tc>
          <w:tcPr>
            <w:tcW w:w="1355" w:type="dxa"/>
            <w:vAlign w:val="center"/>
          </w:tcPr>
          <w:p>
            <w:pPr>
              <w:spacing w:line="30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vAlign w:val="center"/>
          </w:tcPr>
          <w:p>
            <w:pPr>
              <w:spacing w:line="300" w:lineRule="auto"/>
              <w:jc w:val="center"/>
              <w:rPr>
                <w:color w:val="auto"/>
                <w:szCs w:val="21"/>
              </w:rPr>
            </w:pPr>
            <w:r>
              <w:rPr>
                <w:color w:val="auto"/>
                <w:szCs w:val="21"/>
              </w:rPr>
              <w:t>NO</w:t>
            </w:r>
            <w:r>
              <w:rPr>
                <w:color w:val="auto"/>
                <w:szCs w:val="21"/>
                <w:vertAlign w:val="subscript"/>
              </w:rPr>
              <w:t>2</w:t>
            </w:r>
          </w:p>
        </w:tc>
        <w:tc>
          <w:tcPr>
            <w:tcW w:w="2538" w:type="dxa"/>
            <w:vAlign w:val="center"/>
          </w:tcPr>
          <w:p>
            <w:pPr>
              <w:spacing w:line="300" w:lineRule="auto"/>
              <w:jc w:val="center"/>
              <w:rPr>
                <w:color w:val="auto"/>
                <w:szCs w:val="21"/>
              </w:rPr>
            </w:pPr>
            <w:r>
              <w:rPr>
                <w:color w:val="auto"/>
                <w:szCs w:val="21"/>
              </w:rPr>
              <w:t>年平均质量浓度</w:t>
            </w:r>
          </w:p>
        </w:tc>
        <w:tc>
          <w:tcPr>
            <w:tcW w:w="1353" w:type="dxa"/>
            <w:vAlign w:val="center"/>
          </w:tcPr>
          <w:p>
            <w:pPr>
              <w:spacing w:line="300" w:lineRule="auto"/>
              <w:jc w:val="center"/>
              <w:rPr>
                <w:color w:val="auto"/>
                <w:szCs w:val="21"/>
              </w:rPr>
            </w:pPr>
            <w:r>
              <w:rPr>
                <w:rFonts w:hint="eastAsia"/>
                <w:color w:val="auto"/>
                <w:szCs w:val="21"/>
              </w:rPr>
              <w:t>28</w:t>
            </w:r>
          </w:p>
        </w:tc>
        <w:tc>
          <w:tcPr>
            <w:tcW w:w="1355" w:type="dxa"/>
            <w:vAlign w:val="center"/>
          </w:tcPr>
          <w:p>
            <w:pPr>
              <w:spacing w:line="300" w:lineRule="auto"/>
              <w:jc w:val="center"/>
              <w:rPr>
                <w:color w:val="auto"/>
                <w:szCs w:val="21"/>
              </w:rPr>
            </w:pPr>
            <w:r>
              <w:rPr>
                <w:color w:val="auto"/>
                <w:szCs w:val="21"/>
              </w:rPr>
              <w:t>40</w:t>
            </w:r>
          </w:p>
        </w:tc>
        <w:tc>
          <w:tcPr>
            <w:tcW w:w="1352" w:type="dxa"/>
            <w:vAlign w:val="center"/>
          </w:tcPr>
          <w:p>
            <w:pPr>
              <w:spacing w:line="300" w:lineRule="auto"/>
              <w:jc w:val="center"/>
              <w:rPr>
                <w:color w:val="auto"/>
                <w:szCs w:val="21"/>
              </w:rPr>
            </w:pPr>
            <w:r>
              <w:rPr>
                <w:rFonts w:hint="eastAsia"/>
                <w:color w:val="auto"/>
                <w:szCs w:val="21"/>
              </w:rPr>
              <w:t xml:space="preserve">0.70 </w:t>
            </w:r>
          </w:p>
        </w:tc>
        <w:tc>
          <w:tcPr>
            <w:tcW w:w="1355" w:type="dxa"/>
            <w:vAlign w:val="center"/>
          </w:tcPr>
          <w:p>
            <w:pPr>
              <w:spacing w:line="30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995" w:type="dxa"/>
            <w:vAlign w:val="center"/>
          </w:tcPr>
          <w:p>
            <w:pPr>
              <w:spacing w:line="300" w:lineRule="auto"/>
              <w:jc w:val="center"/>
              <w:rPr>
                <w:color w:val="auto"/>
                <w:szCs w:val="21"/>
              </w:rPr>
            </w:pPr>
            <w:r>
              <w:rPr>
                <w:color w:val="auto"/>
                <w:szCs w:val="21"/>
              </w:rPr>
              <w:t>PM</w:t>
            </w:r>
            <w:r>
              <w:rPr>
                <w:color w:val="auto"/>
                <w:szCs w:val="21"/>
                <w:vertAlign w:val="subscript"/>
              </w:rPr>
              <w:t>10</w:t>
            </w:r>
          </w:p>
        </w:tc>
        <w:tc>
          <w:tcPr>
            <w:tcW w:w="2538" w:type="dxa"/>
            <w:vAlign w:val="center"/>
          </w:tcPr>
          <w:p>
            <w:pPr>
              <w:spacing w:line="300" w:lineRule="auto"/>
              <w:jc w:val="center"/>
              <w:rPr>
                <w:color w:val="auto"/>
                <w:szCs w:val="21"/>
              </w:rPr>
            </w:pPr>
            <w:r>
              <w:rPr>
                <w:color w:val="auto"/>
                <w:szCs w:val="21"/>
              </w:rPr>
              <w:t>年平均质量浓度</w:t>
            </w:r>
          </w:p>
        </w:tc>
        <w:tc>
          <w:tcPr>
            <w:tcW w:w="1353" w:type="dxa"/>
            <w:vAlign w:val="center"/>
          </w:tcPr>
          <w:p>
            <w:pPr>
              <w:spacing w:line="300" w:lineRule="auto"/>
              <w:jc w:val="center"/>
              <w:rPr>
                <w:color w:val="auto"/>
                <w:szCs w:val="21"/>
              </w:rPr>
            </w:pPr>
            <w:r>
              <w:rPr>
                <w:rFonts w:hint="eastAsia"/>
                <w:color w:val="auto"/>
                <w:szCs w:val="21"/>
              </w:rPr>
              <w:t>53</w:t>
            </w:r>
          </w:p>
        </w:tc>
        <w:tc>
          <w:tcPr>
            <w:tcW w:w="1355" w:type="dxa"/>
            <w:vAlign w:val="center"/>
          </w:tcPr>
          <w:p>
            <w:pPr>
              <w:spacing w:line="300" w:lineRule="auto"/>
              <w:jc w:val="center"/>
              <w:rPr>
                <w:color w:val="auto"/>
                <w:szCs w:val="21"/>
              </w:rPr>
            </w:pPr>
            <w:r>
              <w:rPr>
                <w:color w:val="auto"/>
                <w:szCs w:val="21"/>
              </w:rPr>
              <w:t>70</w:t>
            </w:r>
          </w:p>
        </w:tc>
        <w:tc>
          <w:tcPr>
            <w:tcW w:w="1352" w:type="dxa"/>
            <w:vAlign w:val="center"/>
          </w:tcPr>
          <w:p>
            <w:pPr>
              <w:spacing w:line="300" w:lineRule="auto"/>
              <w:jc w:val="center"/>
              <w:rPr>
                <w:color w:val="auto"/>
                <w:szCs w:val="21"/>
              </w:rPr>
            </w:pPr>
            <w:r>
              <w:rPr>
                <w:rFonts w:hint="eastAsia"/>
                <w:color w:val="auto"/>
                <w:szCs w:val="21"/>
              </w:rPr>
              <w:t xml:space="preserve">0.76 </w:t>
            </w:r>
          </w:p>
        </w:tc>
        <w:tc>
          <w:tcPr>
            <w:tcW w:w="1355" w:type="dxa"/>
            <w:vAlign w:val="center"/>
          </w:tcPr>
          <w:p>
            <w:pPr>
              <w:spacing w:line="30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vAlign w:val="center"/>
          </w:tcPr>
          <w:p>
            <w:pPr>
              <w:spacing w:line="300" w:lineRule="auto"/>
              <w:jc w:val="center"/>
              <w:rPr>
                <w:color w:val="auto"/>
                <w:szCs w:val="21"/>
              </w:rPr>
            </w:pPr>
            <w:r>
              <w:rPr>
                <w:color w:val="auto"/>
                <w:szCs w:val="21"/>
              </w:rPr>
              <w:t>PM</w:t>
            </w:r>
            <w:r>
              <w:rPr>
                <w:color w:val="auto"/>
                <w:szCs w:val="21"/>
                <w:vertAlign w:val="subscript"/>
              </w:rPr>
              <w:t>2.5</w:t>
            </w:r>
          </w:p>
        </w:tc>
        <w:tc>
          <w:tcPr>
            <w:tcW w:w="2538" w:type="dxa"/>
            <w:vAlign w:val="center"/>
          </w:tcPr>
          <w:p>
            <w:pPr>
              <w:spacing w:line="300" w:lineRule="auto"/>
              <w:jc w:val="center"/>
              <w:rPr>
                <w:color w:val="auto"/>
                <w:szCs w:val="21"/>
              </w:rPr>
            </w:pPr>
            <w:r>
              <w:rPr>
                <w:color w:val="auto"/>
                <w:szCs w:val="21"/>
              </w:rPr>
              <w:t>年平均质量浓度</w:t>
            </w:r>
          </w:p>
        </w:tc>
        <w:tc>
          <w:tcPr>
            <w:tcW w:w="1353" w:type="dxa"/>
            <w:vAlign w:val="center"/>
          </w:tcPr>
          <w:p>
            <w:pPr>
              <w:spacing w:line="300" w:lineRule="auto"/>
              <w:jc w:val="center"/>
              <w:rPr>
                <w:color w:val="auto"/>
                <w:szCs w:val="21"/>
              </w:rPr>
            </w:pPr>
            <w:r>
              <w:rPr>
                <w:rFonts w:hint="eastAsia"/>
                <w:color w:val="auto"/>
                <w:szCs w:val="21"/>
              </w:rPr>
              <w:t>31</w:t>
            </w:r>
          </w:p>
        </w:tc>
        <w:tc>
          <w:tcPr>
            <w:tcW w:w="1355" w:type="dxa"/>
            <w:vAlign w:val="center"/>
          </w:tcPr>
          <w:p>
            <w:pPr>
              <w:spacing w:line="300" w:lineRule="auto"/>
              <w:jc w:val="center"/>
              <w:rPr>
                <w:color w:val="auto"/>
                <w:szCs w:val="21"/>
              </w:rPr>
            </w:pPr>
            <w:r>
              <w:rPr>
                <w:color w:val="auto"/>
                <w:szCs w:val="21"/>
              </w:rPr>
              <w:t>35</w:t>
            </w:r>
          </w:p>
        </w:tc>
        <w:tc>
          <w:tcPr>
            <w:tcW w:w="1352" w:type="dxa"/>
            <w:vAlign w:val="center"/>
          </w:tcPr>
          <w:p>
            <w:pPr>
              <w:spacing w:line="300" w:lineRule="auto"/>
              <w:jc w:val="center"/>
              <w:rPr>
                <w:color w:val="auto"/>
                <w:szCs w:val="21"/>
              </w:rPr>
            </w:pPr>
            <w:r>
              <w:rPr>
                <w:rFonts w:hint="eastAsia"/>
                <w:color w:val="auto"/>
                <w:szCs w:val="21"/>
              </w:rPr>
              <w:t xml:space="preserve">0.89 </w:t>
            </w:r>
          </w:p>
        </w:tc>
        <w:tc>
          <w:tcPr>
            <w:tcW w:w="1355" w:type="dxa"/>
            <w:vAlign w:val="center"/>
          </w:tcPr>
          <w:p>
            <w:pPr>
              <w:spacing w:line="30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vAlign w:val="center"/>
          </w:tcPr>
          <w:p>
            <w:pPr>
              <w:spacing w:line="300" w:lineRule="auto"/>
              <w:jc w:val="center"/>
              <w:rPr>
                <w:color w:val="auto"/>
                <w:szCs w:val="21"/>
              </w:rPr>
            </w:pPr>
            <w:r>
              <w:rPr>
                <w:color w:val="auto"/>
                <w:szCs w:val="21"/>
              </w:rPr>
              <w:t>CO</w:t>
            </w:r>
          </w:p>
        </w:tc>
        <w:tc>
          <w:tcPr>
            <w:tcW w:w="2538" w:type="dxa"/>
            <w:vAlign w:val="center"/>
          </w:tcPr>
          <w:p>
            <w:pPr>
              <w:spacing w:line="300" w:lineRule="auto"/>
              <w:jc w:val="center"/>
              <w:rPr>
                <w:color w:val="auto"/>
                <w:szCs w:val="21"/>
              </w:rPr>
            </w:pPr>
            <w:r>
              <w:rPr>
                <w:color w:val="auto"/>
                <w:szCs w:val="21"/>
              </w:rPr>
              <w:t>24h平均质量浓度第95百分位数浓度</w:t>
            </w:r>
          </w:p>
        </w:tc>
        <w:tc>
          <w:tcPr>
            <w:tcW w:w="1353" w:type="dxa"/>
            <w:vAlign w:val="center"/>
          </w:tcPr>
          <w:p>
            <w:pPr>
              <w:spacing w:line="300" w:lineRule="auto"/>
              <w:jc w:val="center"/>
              <w:rPr>
                <w:color w:val="auto"/>
                <w:szCs w:val="21"/>
              </w:rPr>
            </w:pPr>
            <w:r>
              <w:rPr>
                <w:rFonts w:hint="eastAsia"/>
                <w:color w:val="auto"/>
                <w:szCs w:val="21"/>
              </w:rPr>
              <w:t>1200</w:t>
            </w:r>
          </w:p>
        </w:tc>
        <w:tc>
          <w:tcPr>
            <w:tcW w:w="1355" w:type="dxa"/>
            <w:vAlign w:val="center"/>
          </w:tcPr>
          <w:p>
            <w:pPr>
              <w:spacing w:line="300" w:lineRule="auto"/>
              <w:jc w:val="center"/>
              <w:rPr>
                <w:color w:val="auto"/>
                <w:szCs w:val="21"/>
              </w:rPr>
            </w:pPr>
            <w:r>
              <w:rPr>
                <w:color w:val="auto"/>
                <w:szCs w:val="21"/>
              </w:rPr>
              <w:t>4000</w:t>
            </w:r>
          </w:p>
        </w:tc>
        <w:tc>
          <w:tcPr>
            <w:tcW w:w="1352" w:type="dxa"/>
            <w:vAlign w:val="center"/>
          </w:tcPr>
          <w:p>
            <w:pPr>
              <w:spacing w:line="300" w:lineRule="auto"/>
              <w:jc w:val="center"/>
              <w:rPr>
                <w:color w:val="auto"/>
                <w:szCs w:val="21"/>
              </w:rPr>
            </w:pPr>
            <w:r>
              <w:rPr>
                <w:rFonts w:hint="eastAsia"/>
                <w:color w:val="auto"/>
                <w:szCs w:val="21"/>
              </w:rPr>
              <w:t xml:space="preserve">0.30 </w:t>
            </w:r>
          </w:p>
        </w:tc>
        <w:tc>
          <w:tcPr>
            <w:tcW w:w="1355" w:type="dxa"/>
            <w:vAlign w:val="center"/>
          </w:tcPr>
          <w:p>
            <w:pPr>
              <w:spacing w:line="30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vAlign w:val="center"/>
          </w:tcPr>
          <w:p>
            <w:pPr>
              <w:spacing w:line="300" w:lineRule="auto"/>
              <w:jc w:val="center"/>
              <w:rPr>
                <w:color w:val="auto"/>
                <w:szCs w:val="21"/>
              </w:rPr>
            </w:pPr>
            <w:r>
              <w:rPr>
                <w:color w:val="auto"/>
                <w:szCs w:val="21"/>
              </w:rPr>
              <w:t>O</w:t>
            </w:r>
            <w:r>
              <w:rPr>
                <w:color w:val="auto"/>
                <w:szCs w:val="21"/>
                <w:vertAlign w:val="subscript"/>
              </w:rPr>
              <w:t>3</w:t>
            </w:r>
          </w:p>
        </w:tc>
        <w:tc>
          <w:tcPr>
            <w:tcW w:w="2538" w:type="dxa"/>
            <w:vAlign w:val="center"/>
          </w:tcPr>
          <w:p>
            <w:pPr>
              <w:spacing w:line="300" w:lineRule="auto"/>
              <w:jc w:val="center"/>
              <w:rPr>
                <w:color w:val="auto"/>
                <w:szCs w:val="21"/>
              </w:rPr>
            </w:pPr>
            <w:r>
              <w:rPr>
                <w:color w:val="auto"/>
                <w:szCs w:val="21"/>
              </w:rPr>
              <w:t>日最大8h平均质量浓度第90百分位数浓度</w:t>
            </w:r>
          </w:p>
        </w:tc>
        <w:tc>
          <w:tcPr>
            <w:tcW w:w="1353" w:type="dxa"/>
            <w:vAlign w:val="center"/>
          </w:tcPr>
          <w:p>
            <w:pPr>
              <w:spacing w:line="300" w:lineRule="auto"/>
              <w:jc w:val="center"/>
              <w:rPr>
                <w:color w:val="auto"/>
                <w:szCs w:val="21"/>
              </w:rPr>
            </w:pPr>
            <w:r>
              <w:rPr>
                <w:rFonts w:hint="eastAsia"/>
                <w:color w:val="auto"/>
                <w:szCs w:val="21"/>
              </w:rPr>
              <w:t>149</w:t>
            </w:r>
          </w:p>
        </w:tc>
        <w:tc>
          <w:tcPr>
            <w:tcW w:w="1355" w:type="dxa"/>
            <w:vAlign w:val="center"/>
          </w:tcPr>
          <w:p>
            <w:pPr>
              <w:spacing w:line="300" w:lineRule="auto"/>
              <w:jc w:val="center"/>
              <w:rPr>
                <w:color w:val="auto"/>
                <w:szCs w:val="21"/>
              </w:rPr>
            </w:pPr>
            <w:r>
              <w:rPr>
                <w:color w:val="auto"/>
                <w:szCs w:val="21"/>
              </w:rPr>
              <w:t>160</w:t>
            </w:r>
          </w:p>
        </w:tc>
        <w:tc>
          <w:tcPr>
            <w:tcW w:w="1352" w:type="dxa"/>
            <w:vAlign w:val="center"/>
          </w:tcPr>
          <w:p>
            <w:pPr>
              <w:spacing w:line="300" w:lineRule="auto"/>
              <w:jc w:val="center"/>
              <w:rPr>
                <w:color w:val="auto"/>
                <w:szCs w:val="21"/>
              </w:rPr>
            </w:pPr>
            <w:r>
              <w:rPr>
                <w:rFonts w:hint="eastAsia"/>
                <w:color w:val="auto"/>
                <w:szCs w:val="21"/>
              </w:rPr>
              <w:t xml:space="preserve">0.93 </w:t>
            </w:r>
          </w:p>
        </w:tc>
        <w:tc>
          <w:tcPr>
            <w:tcW w:w="1355" w:type="dxa"/>
            <w:vAlign w:val="center"/>
          </w:tcPr>
          <w:p>
            <w:pPr>
              <w:spacing w:line="300" w:lineRule="auto"/>
              <w:jc w:val="center"/>
              <w:rPr>
                <w:color w:val="auto"/>
                <w:szCs w:val="21"/>
              </w:rPr>
            </w:pPr>
            <w:r>
              <w:rPr>
                <w:color w:val="auto"/>
                <w:szCs w:val="21"/>
              </w:rPr>
              <w:t>达标</w:t>
            </w:r>
          </w:p>
        </w:tc>
      </w:tr>
    </w:tbl>
    <w:p>
      <w:pPr>
        <w:numPr>
          <w:ilvl w:val="2"/>
          <w:numId w:val="0"/>
        </w:numPr>
        <w:snapToGrid w:val="0"/>
        <w:spacing w:after="79" w:afterLines="25" w:line="360" w:lineRule="auto"/>
        <w:ind w:firstLine="480" w:firstLineChars="200"/>
        <w:rPr>
          <w:color w:val="auto"/>
          <w:sz w:val="24"/>
        </w:rPr>
      </w:pPr>
      <w:r>
        <w:rPr>
          <w:color w:val="auto"/>
          <w:sz w:val="24"/>
        </w:rPr>
        <w:t>由上表可以看出，项目所在区域的PM</w:t>
      </w:r>
      <w:r>
        <w:rPr>
          <w:color w:val="auto"/>
          <w:sz w:val="24"/>
          <w:vertAlign w:val="subscript"/>
        </w:rPr>
        <w:t>10</w:t>
      </w:r>
      <w:r>
        <w:rPr>
          <w:color w:val="auto"/>
          <w:sz w:val="24"/>
        </w:rPr>
        <w:t>、SO</w:t>
      </w:r>
      <w:r>
        <w:rPr>
          <w:color w:val="auto"/>
          <w:sz w:val="24"/>
          <w:vertAlign w:val="subscript"/>
        </w:rPr>
        <w:t>2</w:t>
      </w:r>
      <w:r>
        <w:rPr>
          <w:color w:val="auto"/>
          <w:sz w:val="24"/>
        </w:rPr>
        <w:t>、NO</w:t>
      </w:r>
      <w:r>
        <w:rPr>
          <w:color w:val="auto"/>
          <w:sz w:val="24"/>
          <w:vertAlign w:val="subscript"/>
        </w:rPr>
        <w:t>2</w:t>
      </w:r>
      <w:r>
        <w:rPr>
          <w:color w:val="auto"/>
          <w:sz w:val="24"/>
        </w:rPr>
        <w:t>、CO、O</w:t>
      </w:r>
      <w:r>
        <w:rPr>
          <w:color w:val="auto"/>
          <w:sz w:val="24"/>
          <w:vertAlign w:val="subscript"/>
        </w:rPr>
        <w:t>3</w:t>
      </w:r>
      <w:r>
        <w:rPr>
          <w:color w:val="auto"/>
          <w:sz w:val="24"/>
        </w:rPr>
        <w:t>、PM</w:t>
      </w:r>
      <w:r>
        <w:rPr>
          <w:color w:val="auto"/>
          <w:sz w:val="24"/>
          <w:vertAlign w:val="subscript"/>
        </w:rPr>
        <w:t>2.5</w:t>
      </w:r>
      <w:r>
        <w:rPr>
          <w:color w:val="auto"/>
          <w:sz w:val="24"/>
        </w:rPr>
        <w:t>均达到《环境空气质量标准》（GB3095-2012）及其修改单中的二级标准，故为达标区。</w:t>
      </w:r>
    </w:p>
    <w:p>
      <w:pPr>
        <w:pStyle w:val="7"/>
        <w:numPr>
          <w:ilvl w:val="2"/>
          <w:numId w:val="0"/>
        </w:numPr>
        <w:tabs>
          <w:tab w:val="clear" w:pos="720"/>
        </w:tabs>
        <w:snapToGrid w:val="0"/>
        <w:spacing w:before="159" w:after="79" w:afterLines="25"/>
        <w:jc w:val="both"/>
        <w:textAlignment w:val="auto"/>
        <w:rPr>
          <w:color w:val="auto"/>
        </w:rPr>
      </w:pPr>
      <w:bookmarkStart w:id="554" w:name="_Toc15876"/>
      <w:r>
        <w:rPr>
          <w:rFonts w:hint="eastAsia"/>
          <w:bCs/>
          <w:color w:val="auto"/>
          <w:szCs w:val="28"/>
        </w:rPr>
        <w:t xml:space="preserve">5.6.2  </w:t>
      </w:r>
      <w:r>
        <w:rPr>
          <w:bCs/>
          <w:color w:val="auto"/>
          <w:szCs w:val="28"/>
        </w:rPr>
        <w:t>补充监测数据的现状评价</w:t>
      </w:r>
      <w:bookmarkEnd w:id="554"/>
    </w:p>
    <w:p>
      <w:pPr>
        <w:spacing w:line="360" w:lineRule="auto"/>
        <w:ind w:firstLine="480" w:firstLineChars="200"/>
        <w:rPr>
          <w:rFonts w:hint="eastAsia" w:eastAsia="宋体"/>
          <w:color w:val="auto"/>
          <w:sz w:val="24"/>
          <w:szCs w:val="24"/>
          <w:lang w:val="en-US" w:eastAsia="zh-CN"/>
        </w:rPr>
      </w:pPr>
      <w:r>
        <w:rPr>
          <w:color w:val="auto"/>
          <w:sz w:val="24"/>
          <w:szCs w:val="24"/>
        </w:rPr>
        <w:t>本项目运营期废气主要包括TSP、苯并[a]芘（BaP）、非甲烷总烃、TVOC。因此为了解项目所在区域的环境空气中</w:t>
      </w:r>
      <w:r>
        <w:rPr>
          <w:rFonts w:hint="eastAsia"/>
          <w:color w:val="auto"/>
          <w:sz w:val="24"/>
          <w:szCs w:val="24"/>
        </w:rPr>
        <w:t>评价因子的</w:t>
      </w:r>
      <w:r>
        <w:rPr>
          <w:color w:val="auto"/>
          <w:sz w:val="24"/>
          <w:szCs w:val="24"/>
        </w:rPr>
        <w:t>质量现状，本项目委托广州华航检测技术有限公司于2020年05月18日~ 2020年05月24日对项目周边进行大气质量现状检测（报告编号：</w:t>
      </w:r>
      <w:r>
        <w:rPr>
          <w:rFonts w:hint="eastAsia"/>
          <w:color w:val="auto"/>
          <w:sz w:val="24"/>
          <w:szCs w:val="24"/>
        </w:rPr>
        <w:t>E2005138302</w:t>
      </w:r>
      <w:r>
        <w:rPr>
          <w:color w:val="auto"/>
          <w:sz w:val="24"/>
          <w:szCs w:val="24"/>
        </w:rPr>
        <w:t>）。</w:t>
      </w:r>
    </w:p>
    <w:p>
      <w:pPr>
        <w:spacing w:line="360" w:lineRule="auto"/>
        <w:ind w:firstLine="482" w:firstLineChars="200"/>
        <w:rPr>
          <w:b/>
          <w:color w:val="auto"/>
          <w:sz w:val="24"/>
        </w:rPr>
      </w:pPr>
      <w:r>
        <w:rPr>
          <w:b/>
          <w:color w:val="auto"/>
          <w:sz w:val="24"/>
        </w:rPr>
        <w:t>1、监测布点与监测项目</w:t>
      </w:r>
    </w:p>
    <w:p>
      <w:pPr>
        <w:spacing w:line="360" w:lineRule="auto"/>
        <w:ind w:firstLine="480" w:firstLineChars="200"/>
        <w:rPr>
          <w:rFonts w:hint="eastAsia"/>
          <w:color w:val="auto"/>
          <w:lang w:val="en-US" w:eastAsia="zh-CN"/>
        </w:rPr>
      </w:pPr>
      <w:r>
        <w:rPr>
          <w:color w:val="auto"/>
          <w:sz w:val="24"/>
        </w:rPr>
        <w:t>具体监测位置及监测因子见</w:t>
      </w:r>
      <w:r>
        <w:rPr>
          <w:rFonts w:hint="eastAsia"/>
          <w:color w:val="auto"/>
          <w:sz w:val="24"/>
        </w:rPr>
        <w:t>下表</w:t>
      </w:r>
      <w:r>
        <w:rPr>
          <w:color w:val="auto"/>
          <w:sz w:val="24"/>
        </w:rPr>
        <w:t>。</w:t>
      </w:r>
      <w:r>
        <w:rPr>
          <w:rFonts w:hint="eastAsia"/>
          <w:color w:val="auto"/>
          <w:sz w:val="24"/>
          <w:lang w:val="en-US" w:eastAsia="zh-CN"/>
        </w:rPr>
        <w:t>监测布点如下图。</w:t>
      </w:r>
    </w:p>
    <w:p>
      <w:pPr>
        <w:spacing w:before="159" w:beforeLines="50" w:line="360" w:lineRule="auto"/>
        <w:jc w:val="center"/>
        <w:rPr>
          <w:b/>
          <w:color w:val="auto"/>
          <w:szCs w:val="21"/>
        </w:rPr>
      </w:pPr>
      <w:r>
        <w:rPr>
          <w:b/>
          <w:color w:val="auto"/>
          <w:szCs w:val="21"/>
        </w:rPr>
        <w:t>表</w:t>
      </w:r>
      <w:r>
        <w:rPr>
          <w:rFonts w:hint="eastAsia"/>
          <w:b/>
          <w:color w:val="auto"/>
          <w:szCs w:val="21"/>
        </w:rPr>
        <w:t>5.6</w:t>
      </w:r>
      <w:r>
        <w:rPr>
          <w:b/>
          <w:color w:val="auto"/>
          <w:szCs w:val="21"/>
        </w:rPr>
        <w:t>-2</w:t>
      </w:r>
      <w:r>
        <w:rPr>
          <w:rFonts w:hint="eastAsia"/>
          <w:b/>
          <w:color w:val="auto"/>
          <w:szCs w:val="21"/>
        </w:rPr>
        <w:t xml:space="preserve">  </w:t>
      </w:r>
      <w:r>
        <w:rPr>
          <w:b/>
          <w:color w:val="auto"/>
          <w:szCs w:val="21"/>
        </w:rPr>
        <w:t>其他污染物监测点位基本信息</w:t>
      </w:r>
    </w:p>
    <w:tbl>
      <w:tblPr>
        <w:tblStyle w:val="23"/>
        <w:tblW w:w="8948" w:type="dxa"/>
        <w:tblInd w:w="0" w:type="dxa"/>
        <w:tblLayout w:type="fixed"/>
        <w:tblCellMar>
          <w:top w:w="0" w:type="dxa"/>
          <w:left w:w="108" w:type="dxa"/>
          <w:bottom w:w="0" w:type="dxa"/>
          <w:right w:w="108" w:type="dxa"/>
        </w:tblCellMar>
      </w:tblPr>
      <w:tblGrid>
        <w:gridCol w:w="1143"/>
        <w:gridCol w:w="646"/>
        <w:gridCol w:w="847"/>
        <w:gridCol w:w="1783"/>
        <w:gridCol w:w="1965"/>
        <w:gridCol w:w="1282"/>
        <w:gridCol w:w="1282"/>
      </w:tblGrid>
      <w:tr>
        <w:tblPrEx>
          <w:tblCellMar>
            <w:top w:w="0" w:type="dxa"/>
            <w:left w:w="108" w:type="dxa"/>
            <w:bottom w:w="0" w:type="dxa"/>
            <w:right w:w="108" w:type="dxa"/>
          </w:tblCellMar>
        </w:tblPrEx>
        <w:trPr>
          <w:trHeight w:val="270" w:hRule="atLeast"/>
          <w:tblHeader/>
        </w:trPr>
        <w:tc>
          <w:tcPr>
            <w:tcW w:w="114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监测点位</w:t>
            </w:r>
          </w:p>
        </w:tc>
        <w:tc>
          <w:tcPr>
            <w:tcW w:w="1493" w:type="dxa"/>
            <w:gridSpan w:val="2"/>
            <w:tcBorders>
              <w:top w:val="single" w:color="auto" w:sz="4" w:space="0"/>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监测点坐标/m</w:t>
            </w:r>
          </w:p>
        </w:tc>
        <w:tc>
          <w:tcPr>
            <w:tcW w:w="178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监测因子</w:t>
            </w:r>
          </w:p>
        </w:tc>
        <w:tc>
          <w:tcPr>
            <w:tcW w:w="1965"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监测时段</w:t>
            </w:r>
          </w:p>
        </w:tc>
        <w:tc>
          <w:tcPr>
            <w:tcW w:w="1282" w:type="dxa"/>
            <w:tcBorders>
              <w:top w:val="single" w:color="auto" w:sz="4" w:space="0"/>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相对厂址</w:t>
            </w:r>
          </w:p>
        </w:tc>
        <w:tc>
          <w:tcPr>
            <w:tcW w:w="128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相对厂界距离/m</w:t>
            </w:r>
          </w:p>
        </w:tc>
      </w:tr>
      <w:tr>
        <w:tblPrEx>
          <w:tblCellMar>
            <w:top w:w="0" w:type="dxa"/>
            <w:left w:w="108" w:type="dxa"/>
            <w:bottom w:w="0" w:type="dxa"/>
            <w:right w:w="108" w:type="dxa"/>
          </w:tblCellMar>
        </w:tblPrEx>
        <w:trPr>
          <w:trHeight w:val="270" w:hRule="atLeast"/>
          <w:tblHeader/>
        </w:trPr>
        <w:tc>
          <w:tcPr>
            <w:tcW w:w="114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tcBorders>
              <w:top w:val="nil"/>
              <w:left w:val="nil"/>
              <w:bottom w:val="single" w:color="auto" w:sz="4" w:space="0"/>
              <w:right w:val="single" w:color="auto" w:sz="4" w:space="0"/>
            </w:tcBorders>
            <w:vAlign w:val="center"/>
          </w:tcPr>
          <w:p>
            <w:pPr>
              <w:widowControl/>
              <w:spacing w:line="300" w:lineRule="auto"/>
              <w:jc w:val="center"/>
              <w:rPr>
                <w:i/>
                <w:iCs/>
                <w:color w:val="auto"/>
                <w:kern w:val="0"/>
                <w:szCs w:val="21"/>
              </w:rPr>
            </w:pPr>
            <w:r>
              <w:rPr>
                <w:i/>
                <w:iCs/>
                <w:color w:val="auto"/>
                <w:kern w:val="0"/>
                <w:szCs w:val="21"/>
              </w:rPr>
              <w:t>X</w:t>
            </w:r>
          </w:p>
        </w:tc>
        <w:tc>
          <w:tcPr>
            <w:tcW w:w="847" w:type="dxa"/>
            <w:tcBorders>
              <w:top w:val="nil"/>
              <w:left w:val="nil"/>
              <w:bottom w:val="single" w:color="auto" w:sz="4" w:space="0"/>
              <w:right w:val="single" w:color="auto" w:sz="4" w:space="0"/>
            </w:tcBorders>
            <w:vAlign w:val="center"/>
          </w:tcPr>
          <w:p>
            <w:pPr>
              <w:widowControl/>
              <w:spacing w:line="300" w:lineRule="auto"/>
              <w:jc w:val="center"/>
              <w:rPr>
                <w:i/>
                <w:iCs/>
                <w:color w:val="auto"/>
                <w:kern w:val="0"/>
                <w:szCs w:val="21"/>
              </w:rPr>
            </w:pPr>
            <w:r>
              <w:rPr>
                <w:i/>
                <w:iCs/>
                <w:color w:val="auto"/>
                <w:kern w:val="0"/>
                <w:szCs w:val="21"/>
              </w:rPr>
              <w:t>Y</w:t>
            </w:r>
          </w:p>
        </w:tc>
        <w:tc>
          <w:tcPr>
            <w:tcW w:w="17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96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tcBorders>
              <w:top w:val="nil"/>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方位</w:t>
            </w:r>
          </w:p>
        </w:tc>
        <w:tc>
          <w:tcPr>
            <w:tcW w:w="128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70" w:hRule="atLeast"/>
        </w:trPr>
        <w:tc>
          <w:tcPr>
            <w:tcW w:w="1143" w:type="dxa"/>
            <w:vMerge w:val="restart"/>
            <w:tcBorders>
              <w:top w:val="nil"/>
              <w:left w:val="single" w:color="auto" w:sz="4" w:space="0"/>
              <w:bottom w:val="single" w:color="auto" w:sz="4" w:space="0"/>
              <w:right w:val="single" w:color="auto" w:sz="4" w:space="0"/>
            </w:tcBorders>
            <w:vAlign w:val="center"/>
          </w:tcPr>
          <w:p>
            <w:pPr>
              <w:spacing w:line="300" w:lineRule="auto"/>
              <w:jc w:val="center"/>
              <w:rPr>
                <w:color w:val="auto"/>
                <w:szCs w:val="21"/>
              </w:rPr>
            </w:pPr>
            <w:r>
              <w:rPr>
                <w:color w:val="auto"/>
                <w:szCs w:val="21"/>
              </w:rPr>
              <w:t>A1</w:t>
            </w:r>
          </w:p>
          <w:p>
            <w:pPr>
              <w:spacing w:line="300" w:lineRule="auto"/>
              <w:jc w:val="center"/>
              <w:rPr>
                <w:color w:val="auto"/>
                <w:kern w:val="0"/>
                <w:szCs w:val="21"/>
              </w:rPr>
            </w:pPr>
            <w:r>
              <w:rPr>
                <w:color w:val="auto"/>
                <w:szCs w:val="21"/>
              </w:rPr>
              <w:t>（厂址）</w:t>
            </w:r>
          </w:p>
        </w:tc>
        <w:tc>
          <w:tcPr>
            <w:tcW w:w="646" w:type="dxa"/>
            <w:vMerge w:val="restart"/>
            <w:tcBorders>
              <w:top w:val="nil"/>
              <w:left w:val="single" w:color="auto" w:sz="4" w:space="0"/>
              <w:bottom w:val="single" w:color="auto" w:sz="4" w:space="0"/>
              <w:right w:val="single" w:color="auto" w:sz="4" w:space="0"/>
            </w:tcBorders>
            <w:vAlign w:val="center"/>
          </w:tcPr>
          <w:p>
            <w:pPr>
              <w:spacing w:line="300" w:lineRule="auto"/>
              <w:jc w:val="center"/>
              <w:rPr>
                <w:color w:val="auto"/>
                <w:szCs w:val="21"/>
              </w:rPr>
            </w:pPr>
            <w:r>
              <w:rPr>
                <w:color w:val="auto"/>
                <w:szCs w:val="21"/>
              </w:rPr>
              <w:t>-125</w:t>
            </w:r>
          </w:p>
        </w:tc>
        <w:tc>
          <w:tcPr>
            <w:tcW w:w="847" w:type="dxa"/>
            <w:vMerge w:val="restart"/>
            <w:tcBorders>
              <w:top w:val="nil"/>
              <w:left w:val="single" w:color="auto" w:sz="4" w:space="0"/>
              <w:bottom w:val="single" w:color="auto" w:sz="4" w:space="0"/>
              <w:right w:val="single" w:color="auto" w:sz="4" w:space="0"/>
            </w:tcBorders>
            <w:vAlign w:val="center"/>
          </w:tcPr>
          <w:p>
            <w:pPr>
              <w:spacing w:line="300" w:lineRule="auto"/>
              <w:jc w:val="center"/>
              <w:rPr>
                <w:color w:val="auto"/>
                <w:szCs w:val="21"/>
              </w:rPr>
            </w:pPr>
            <w:r>
              <w:rPr>
                <w:color w:val="auto"/>
                <w:szCs w:val="21"/>
              </w:rPr>
              <w:t>88</w:t>
            </w: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TSP</w:t>
            </w:r>
          </w:p>
        </w:tc>
        <w:tc>
          <w:tcPr>
            <w:tcW w:w="1965" w:type="dxa"/>
            <w:tcBorders>
              <w:top w:val="nil"/>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szCs w:val="21"/>
              </w:rPr>
              <w:t>7天，日均值</w:t>
            </w:r>
          </w:p>
        </w:tc>
        <w:tc>
          <w:tcPr>
            <w:tcW w:w="1282" w:type="dxa"/>
            <w:vMerge w:val="restart"/>
            <w:tcBorders>
              <w:top w:val="nil"/>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西北</w:t>
            </w:r>
          </w:p>
        </w:tc>
        <w:tc>
          <w:tcPr>
            <w:tcW w:w="1282" w:type="dxa"/>
            <w:vMerge w:val="restart"/>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153</w:t>
            </w:r>
          </w:p>
        </w:tc>
      </w:tr>
      <w:tr>
        <w:tblPrEx>
          <w:tblCellMar>
            <w:top w:w="0" w:type="dxa"/>
            <w:left w:w="108" w:type="dxa"/>
            <w:bottom w:w="0" w:type="dxa"/>
            <w:right w:w="108" w:type="dxa"/>
          </w:tblCellMar>
        </w:tblPrEx>
        <w:trPr>
          <w:trHeight w:val="285"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苯并[a]芘</w:t>
            </w:r>
            <w:r>
              <w:rPr>
                <w:bCs/>
                <w:color w:val="auto"/>
                <w:szCs w:val="21"/>
              </w:rPr>
              <w:t>（BaP）</w:t>
            </w:r>
          </w:p>
        </w:tc>
        <w:tc>
          <w:tcPr>
            <w:tcW w:w="1965" w:type="dxa"/>
            <w:tcBorders>
              <w:top w:val="nil"/>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szCs w:val="21"/>
              </w:rPr>
              <w:t>7天，日均值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30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非甲烷总烃</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30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TVOC</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7天，8h平均值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7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苯</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7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二甲苯</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85" w:hRule="atLeast"/>
        </w:trPr>
        <w:tc>
          <w:tcPr>
            <w:tcW w:w="1143" w:type="dxa"/>
            <w:vMerge w:val="restart"/>
            <w:tcBorders>
              <w:top w:val="nil"/>
              <w:left w:val="single" w:color="auto" w:sz="4" w:space="0"/>
              <w:bottom w:val="single" w:color="auto" w:sz="4" w:space="0"/>
              <w:right w:val="single" w:color="auto" w:sz="4" w:space="0"/>
            </w:tcBorders>
            <w:vAlign w:val="center"/>
          </w:tcPr>
          <w:p>
            <w:pPr>
              <w:widowControl/>
              <w:spacing w:line="300" w:lineRule="auto"/>
              <w:jc w:val="center"/>
              <w:rPr>
                <w:color w:val="auto"/>
                <w:szCs w:val="21"/>
              </w:rPr>
            </w:pPr>
            <w:r>
              <w:rPr>
                <w:color w:val="auto"/>
                <w:szCs w:val="21"/>
              </w:rPr>
              <w:t>A2</w:t>
            </w:r>
          </w:p>
          <w:p>
            <w:pPr>
              <w:widowControl/>
              <w:spacing w:line="300" w:lineRule="auto"/>
              <w:jc w:val="center"/>
              <w:rPr>
                <w:color w:val="auto"/>
                <w:kern w:val="0"/>
                <w:szCs w:val="21"/>
              </w:rPr>
            </w:pPr>
            <w:r>
              <w:rPr>
                <w:color w:val="auto"/>
                <w:szCs w:val="21"/>
              </w:rPr>
              <w:t>（沙步村）</w:t>
            </w:r>
          </w:p>
        </w:tc>
        <w:tc>
          <w:tcPr>
            <w:tcW w:w="646" w:type="dxa"/>
            <w:vMerge w:val="restart"/>
            <w:tcBorders>
              <w:top w:val="nil"/>
              <w:left w:val="single" w:color="auto" w:sz="4" w:space="0"/>
              <w:bottom w:val="single" w:color="auto" w:sz="4" w:space="0"/>
              <w:right w:val="single" w:color="auto" w:sz="4" w:space="0"/>
            </w:tcBorders>
            <w:vAlign w:val="center"/>
          </w:tcPr>
          <w:p>
            <w:pPr>
              <w:tabs>
                <w:tab w:val="left" w:pos="600"/>
              </w:tabs>
              <w:adjustRightInd w:val="0"/>
              <w:spacing w:line="300" w:lineRule="auto"/>
              <w:jc w:val="center"/>
              <w:rPr>
                <w:snapToGrid w:val="0"/>
                <w:color w:val="auto"/>
                <w:szCs w:val="21"/>
              </w:rPr>
            </w:pPr>
            <w:r>
              <w:rPr>
                <w:snapToGrid w:val="0"/>
                <w:color w:val="auto"/>
                <w:szCs w:val="21"/>
              </w:rPr>
              <w:t>-1175</w:t>
            </w:r>
          </w:p>
        </w:tc>
        <w:tc>
          <w:tcPr>
            <w:tcW w:w="847" w:type="dxa"/>
            <w:vMerge w:val="restart"/>
            <w:tcBorders>
              <w:top w:val="nil"/>
              <w:left w:val="single" w:color="auto" w:sz="4" w:space="0"/>
              <w:bottom w:val="single" w:color="auto" w:sz="4" w:space="0"/>
              <w:right w:val="single" w:color="auto" w:sz="4" w:space="0"/>
            </w:tcBorders>
            <w:vAlign w:val="center"/>
          </w:tcPr>
          <w:p>
            <w:pPr>
              <w:tabs>
                <w:tab w:val="left" w:pos="600"/>
              </w:tabs>
              <w:adjustRightInd w:val="0"/>
              <w:spacing w:line="300" w:lineRule="auto"/>
              <w:jc w:val="center"/>
              <w:rPr>
                <w:snapToGrid w:val="0"/>
                <w:color w:val="auto"/>
                <w:szCs w:val="21"/>
              </w:rPr>
            </w:pPr>
            <w:r>
              <w:rPr>
                <w:snapToGrid w:val="0"/>
                <w:color w:val="auto"/>
                <w:szCs w:val="21"/>
              </w:rPr>
              <w:t>455</w:t>
            </w: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TSP</w:t>
            </w:r>
          </w:p>
        </w:tc>
        <w:tc>
          <w:tcPr>
            <w:tcW w:w="1965" w:type="dxa"/>
            <w:tcBorders>
              <w:top w:val="nil"/>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szCs w:val="21"/>
              </w:rPr>
              <w:t>7天，日均值</w:t>
            </w:r>
          </w:p>
        </w:tc>
        <w:tc>
          <w:tcPr>
            <w:tcW w:w="1282" w:type="dxa"/>
            <w:vMerge w:val="restart"/>
            <w:tcBorders>
              <w:top w:val="nil"/>
              <w:left w:val="single" w:color="auto" w:sz="4" w:space="0"/>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西南</w:t>
            </w:r>
          </w:p>
        </w:tc>
        <w:tc>
          <w:tcPr>
            <w:tcW w:w="1282" w:type="dxa"/>
            <w:vMerge w:val="restart"/>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r>
              <w:rPr>
                <w:color w:val="auto"/>
                <w:kern w:val="0"/>
                <w:szCs w:val="21"/>
              </w:rPr>
              <w:t>1260</w:t>
            </w:r>
          </w:p>
        </w:tc>
      </w:tr>
      <w:tr>
        <w:tblPrEx>
          <w:tblCellMar>
            <w:top w:w="0" w:type="dxa"/>
            <w:left w:w="108" w:type="dxa"/>
            <w:bottom w:w="0" w:type="dxa"/>
            <w:right w:w="108" w:type="dxa"/>
          </w:tblCellMar>
        </w:tblPrEx>
        <w:trPr>
          <w:trHeight w:val="30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苯并[a]芘</w:t>
            </w:r>
            <w:r>
              <w:rPr>
                <w:bCs/>
                <w:color w:val="auto"/>
                <w:szCs w:val="21"/>
              </w:rPr>
              <w:t>（BaP）</w:t>
            </w:r>
          </w:p>
        </w:tc>
        <w:tc>
          <w:tcPr>
            <w:tcW w:w="1965" w:type="dxa"/>
            <w:tcBorders>
              <w:top w:val="nil"/>
              <w:left w:val="nil"/>
              <w:bottom w:val="single" w:color="auto" w:sz="4" w:space="0"/>
              <w:right w:val="single" w:color="auto" w:sz="4" w:space="0"/>
            </w:tcBorders>
            <w:vAlign w:val="center"/>
          </w:tcPr>
          <w:p>
            <w:pPr>
              <w:widowControl/>
              <w:spacing w:line="300" w:lineRule="auto"/>
              <w:jc w:val="center"/>
              <w:rPr>
                <w:color w:val="auto"/>
                <w:kern w:val="0"/>
                <w:szCs w:val="21"/>
              </w:rPr>
            </w:pPr>
            <w:r>
              <w:rPr>
                <w:color w:val="auto"/>
                <w:szCs w:val="21"/>
              </w:rPr>
              <w:t>7天，日均值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85"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非甲烷总烃</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30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TVOC</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7天，8h平均值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7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szCs w:val="21"/>
              </w:rPr>
              <w:t>苯</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r>
        <w:tblPrEx>
          <w:tblCellMar>
            <w:top w:w="0" w:type="dxa"/>
            <w:left w:w="108" w:type="dxa"/>
            <w:bottom w:w="0" w:type="dxa"/>
            <w:right w:w="108" w:type="dxa"/>
          </w:tblCellMar>
        </w:tblPrEx>
        <w:trPr>
          <w:trHeight w:val="270" w:hRule="atLeast"/>
        </w:trPr>
        <w:tc>
          <w:tcPr>
            <w:tcW w:w="1143"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646"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847"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783" w:type="dxa"/>
            <w:tcBorders>
              <w:top w:val="nil"/>
              <w:left w:val="nil"/>
              <w:bottom w:val="single" w:color="auto" w:sz="4" w:space="0"/>
              <w:right w:val="single" w:color="auto" w:sz="4" w:space="0"/>
            </w:tcBorders>
            <w:vAlign w:val="center"/>
          </w:tcPr>
          <w:p>
            <w:pPr>
              <w:widowControl/>
              <w:spacing w:line="300" w:lineRule="auto"/>
              <w:jc w:val="center"/>
              <w:textAlignment w:val="center"/>
              <w:rPr>
                <w:color w:val="auto"/>
                <w:kern w:val="0"/>
                <w:szCs w:val="21"/>
              </w:rPr>
            </w:pPr>
            <w:r>
              <w:rPr>
                <w:color w:val="auto"/>
                <w:kern w:val="0"/>
                <w:szCs w:val="21"/>
                <w:lang w:bidi="ar"/>
              </w:rPr>
              <w:t>二甲苯</w:t>
            </w:r>
          </w:p>
        </w:tc>
        <w:tc>
          <w:tcPr>
            <w:tcW w:w="1965" w:type="dxa"/>
            <w:tcBorders>
              <w:top w:val="nil"/>
              <w:left w:val="nil"/>
              <w:bottom w:val="single" w:color="auto" w:sz="4" w:space="0"/>
              <w:right w:val="single" w:color="auto" w:sz="4" w:space="0"/>
            </w:tcBorders>
            <w:vAlign w:val="center"/>
          </w:tcPr>
          <w:p>
            <w:pPr>
              <w:spacing w:line="300" w:lineRule="auto"/>
              <w:jc w:val="center"/>
              <w:rPr>
                <w:color w:val="auto"/>
                <w:kern w:val="0"/>
                <w:szCs w:val="21"/>
              </w:rPr>
            </w:pPr>
            <w:r>
              <w:rPr>
                <w:color w:val="auto"/>
                <w:szCs w:val="21"/>
              </w:rPr>
              <w:t>7天，1h平均值</w:t>
            </w: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c>
          <w:tcPr>
            <w:tcW w:w="1282" w:type="dxa"/>
            <w:vMerge w:val="continue"/>
            <w:tcBorders>
              <w:top w:val="nil"/>
              <w:left w:val="single" w:color="auto" w:sz="4" w:space="0"/>
              <w:bottom w:val="single" w:color="auto" w:sz="4" w:space="0"/>
              <w:right w:val="single" w:color="auto" w:sz="4" w:space="0"/>
            </w:tcBorders>
            <w:vAlign w:val="center"/>
          </w:tcPr>
          <w:p>
            <w:pPr>
              <w:widowControl/>
              <w:spacing w:line="300" w:lineRule="auto"/>
              <w:jc w:val="center"/>
              <w:rPr>
                <w:color w:val="auto"/>
                <w:kern w:val="0"/>
                <w:szCs w:val="21"/>
              </w:rPr>
            </w:pPr>
          </w:p>
        </w:tc>
      </w:tr>
    </w:tbl>
    <w:p>
      <w:pPr>
        <w:pStyle w:val="37"/>
        <w:ind w:left="0" w:leftChars="0" w:firstLine="0" w:firstLineChars="0"/>
        <w:rPr>
          <w:color w:val="auto"/>
        </w:rPr>
      </w:pPr>
      <w:r>
        <w:rPr>
          <w:color w:val="auto"/>
        </w:rPr>
        <w:drawing>
          <wp:inline distT="0" distB="0" distL="114300" distR="114300">
            <wp:extent cx="5536565" cy="4770120"/>
            <wp:effectExtent l="0" t="0" r="6985" b="11430"/>
            <wp:docPr id="31" name="图片 31" descr="气监测布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气监测布点"/>
                    <pic:cNvPicPr>
                      <a:picLocks noChangeAspect="1"/>
                    </pic:cNvPicPr>
                  </pic:nvPicPr>
                  <pic:blipFill>
                    <a:blip r:embed="rId83"/>
                    <a:srcRect b="1430"/>
                    <a:stretch>
                      <a:fillRect/>
                    </a:stretch>
                  </pic:blipFill>
                  <pic:spPr>
                    <a:xfrm>
                      <a:off x="0" y="0"/>
                      <a:ext cx="5536565" cy="4770120"/>
                    </a:xfrm>
                    <a:prstGeom prst="rect">
                      <a:avLst/>
                    </a:prstGeom>
                  </pic:spPr>
                </pic:pic>
              </a:graphicData>
            </a:graphic>
          </wp:inline>
        </w:drawing>
      </w:r>
    </w:p>
    <w:p>
      <w:pPr>
        <w:jc w:val="center"/>
        <w:rPr>
          <w:rFonts w:hint="eastAsia" w:eastAsia="宋体"/>
          <w:b/>
          <w:bCs/>
          <w:color w:val="auto"/>
          <w:sz w:val="24"/>
          <w:szCs w:val="32"/>
          <w:lang w:val="en-US" w:eastAsia="zh-CN"/>
        </w:rPr>
      </w:pPr>
      <w:r>
        <w:rPr>
          <w:rFonts w:hint="eastAsia"/>
          <w:b/>
          <w:bCs/>
          <w:color w:val="auto"/>
          <w:sz w:val="24"/>
          <w:szCs w:val="32"/>
          <w:lang w:val="en-US" w:eastAsia="zh-CN"/>
        </w:rPr>
        <w:t>图5.6-1  大气环境补充监测点位示意图</w:t>
      </w:r>
    </w:p>
    <w:p>
      <w:pPr>
        <w:tabs>
          <w:tab w:val="left" w:pos="360"/>
        </w:tabs>
        <w:snapToGrid w:val="0"/>
        <w:spacing w:before="159" w:beforeLines="50" w:line="360" w:lineRule="auto"/>
        <w:ind w:firstLine="482" w:firstLineChars="200"/>
        <w:rPr>
          <w:b/>
          <w:color w:val="auto"/>
          <w:sz w:val="24"/>
        </w:rPr>
      </w:pPr>
      <w:r>
        <w:rPr>
          <w:b/>
          <w:color w:val="auto"/>
          <w:sz w:val="24"/>
        </w:rPr>
        <w:t>2、监测时间、频次及监测单位</w:t>
      </w:r>
    </w:p>
    <w:p>
      <w:pPr>
        <w:tabs>
          <w:tab w:val="left" w:pos="360"/>
        </w:tabs>
        <w:snapToGrid w:val="0"/>
        <w:spacing w:line="360" w:lineRule="auto"/>
        <w:ind w:firstLine="480" w:firstLineChars="200"/>
        <w:rPr>
          <w:color w:val="auto"/>
          <w:kern w:val="0"/>
          <w:sz w:val="24"/>
          <w:highlight w:val="green"/>
        </w:rPr>
      </w:pPr>
      <w:r>
        <w:rPr>
          <w:color w:val="auto"/>
          <w:sz w:val="24"/>
        </w:rPr>
        <w:t>监</w:t>
      </w:r>
      <w:r>
        <w:rPr>
          <w:color w:val="auto"/>
          <w:kern w:val="0"/>
          <w:sz w:val="24"/>
        </w:rPr>
        <w:t>测时间：2020年05月18日~ 2020年05月24日连续采样7天</w:t>
      </w:r>
      <w:r>
        <w:rPr>
          <w:rFonts w:hint="eastAsia"/>
          <w:color w:val="auto"/>
          <w:kern w:val="0"/>
          <w:sz w:val="24"/>
        </w:rPr>
        <w:t>。</w:t>
      </w:r>
    </w:p>
    <w:p>
      <w:pPr>
        <w:tabs>
          <w:tab w:val="left" w:pos="360"/>
        </w:tabs>
        <w:snapToGrid w:val="0"/>
        <w:spacing w:line="360" w:lineRule="auto"/>
        <w:ind w:firstLine="480" w:firstLineChars="200"/>
        <w:rPr>
          <w:color w:val="auto"/>
          <w:sz w:val="24"/>
        </w:rPr>
      </w:pPr>
      <w:r>
        <w:rPr>
          <w:color w:val="auto"/>
          <w:kern w:val="0"/>
          <w:sz w:val="24"/>
        </w:rPr>
        <w:t>监测时期同步进行气象观测，观测因子包括气温、气压、风向、风速、总云、低云。</w:t>
      </w:r>
    </w:p>
    <w:p>
      <w:pPr>
        <w:tabs>
          <w:tab w:val="left" w:pos="360"/>
        </w:tabs>
        <w:snapToGrid w:val="0"/>
        <w:spacing w:line="360" w:lineRule="auto"/>
        <w:ind w:firstLine="480" w:firstLineChars="200"/>
        <w:rPr>
          <w:color w:val="auto"/>
          <w:sz w:val="24"/>
        </w:rPr>
      </w:pPr>
      <w:r>
        <w:rPr>
          <w:color w:val="auto"/>
          <w:sz w:val="24"/>
        </w:rPr>
        <w:t>监测单位：广州华航检测技术有限公司</w:t>
      </w:r>
      <w:r>
        <w:rPr>
          <w:rFonts w:hint="eastAsia"/>
          <w:color w:val="auto"/>
          <w:sz w:val="24"/>
        </w:rPr>
        <w:t>。</w:t>
      </w:r>
    </w:p>
    <w:p>
      <w:pPr>
        <w:tabs>
          <w:tab w:val="left" w:pos="360"/>
        </w:tabs>
        <w:snapToGrid w:val="0"/>
        <w:spacing w:before="159" w:beforeLines="50" w:line="360" w:lineRule="auto"/>
        <w:ind w:firstLine="482" w:firstLineChars="200"/>
        <w:rPr>
          <w:b/>
          <w:color w:val="auto"/>
          <w:sz w:val="24"/>
        </w:rPr>
      </w:pPr>
      <w:r>
        <w:rPr>
          <w:b/>
          <w:color w:val="auto"/>
          <w:sz w:val="24"/>
        </w:rPr>
        <w:t>3、采样和分析方法</w:t>
      </w:r>
    </w:p>
    <w:p>
      <w:pPr>
        <w:spacing w:line="360" w:lineRule="auto"/>
        <w:ind w:firstLine="480" w:firstLineChars="200"/>
        <w:rPr>
          <w:color w:val="auto"/>
          <w:sz w:val="24"/>
        </w:rPr>
      </w:pPr>
      <w:r>
        <w:rPr>
          <w:color w:val="auto"/>
          <w:sz w:val="24"/>
        </w:rPr>
        <w:t>采样及分析方法均按照国家环保局《环境监测技术规范》、《环境监测分析方法》和《环境空气质量标准》（GB3095-2012）及其修改单（2018年9月1日起实施）要求的方法进行，监测仪器和最低检出限具体见</w:t>
      </w:r>
      <w:r>
        <w:rPr>
          <w:rFonts w:hint="eastAsia"/>
          <w:color w:val="auto"/>
          <w:sz w:val="24"/>
        </w:rPr>
        <w:t>下表</w:t>
      </w:r>
      <w:r>
        <w:rPr>
          <w:color w:val="auto"/>
          <w:sz w:val="24"/>
        </w:rPr>
        <w:t>。</w:t>
      </w:r>
    </w:p>
    <w:p>
      <w:pPr>
        <w:spacing w:before="159" w:beforeLines="50" w:line="360" w:lineRule="auto"/>
        <w:jc w:val="center"/>
        <w:rPr>
          <w:b/>
          <w:color w:val="auto"/>
          <w:szCs w:val="21"/>
        </w:rPr>
      </w:pPr>
    </w:p>
    <w:p>
      <w:pPr>
        <w:spacing w:before="159" w:beforeLines="50" w:line="360" w:lineRule="auto"/>
        <w:jc w:val="center"/>
        <w:rPr>
          <w:b/>
          <w:color w:val="auto"/>
          <w:szCs w:val="21"/>
        </w:rPr>
      </w:pPr>
    </w:p>
    <w:p>
      <w:pPr>
        <w:spacing w:before="159" w:beforeLines="50" w:line="360" w:lineRule="auto"/>
        <w:jc w:val="center"/>
        <w:rPr>
          <w:b/>
          <w:color w:val="auto"/>
          <w:szCs w:val="21"/>
        </w:rPr>
      </w:pPr>
      <w:r>
        <w:rPr>
          <w:b/>
          <w:color w:val="auto"/>
          <w:szCs w:val="21"/>
        </w:rPr>
        <w:t>表</w:t>
      </w:r>
      <w:r>
        <w:rPr>
          <w:rFonts w:hint="eastAsia"/>
          <w:b/>
          <w:color w:val="auto"/>
          <w:szCs w:val="21"/>
        </w:rPr>
        <w:t>5</w:t>
      </w:r>
      <w:r>
        <w:rPr>
          <w:b/>
          <w:color w:val="auto"/>
          <w:szCs w:val="21"/>
        </w:rPr>
        <w:t xml:space="preserve">.6-3 </w:t>
      </w:r>
      <w:r>
        <w:rPr>
          <w:rFonts w:hint="eastAsia"/>
          <w:b/>
          <w:color w:val="auto"/>
          <w:szCs w:val="21"/>
        </w:rPr>
        <w:t xml:space="preserve"> </w:t>
      </w:r>
      <w:r>
        <w:rPr>
          <w:b/>
          <w:color w:val="auto"/>
          <w:szCs w:val="21"/>
        </w:rPr>
        <w:t>大气环境监测项目监测仪器和最低检出限一览表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960"/>
        <w:gridCol w:w="2529"/>
        <w:gridCol w:w="1825"/>
        <w:gridCol w:w="1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spacing w:line="360" w:lineRule="auto"/>
              <w:jc w:val="center"/>
              <w:rPr>
                <w:color w:val="auto"/>
                <w:kern w:val="0"/>
                <w:szCs w:val="21"/>
              </w:rPr>
            </w:pPr>
            <w:r>
              <w:rPr>
                <w:color w:val="auto"/>
                <w:szCs w:val="21"/>
              </w:rPr>
              <w:t>检测项目</w:t>
            </w:r>
          </w:p>
        </w:tc>
        <w:tc>
          <w:tcPr>
            <w:tcW w:w="1960" w:type="dxa"/>
            <w:vAlign w:val="center"/>
          </w:tcPr>
          <w:p>
            <w:pPr>
              <w:spacing w:line="360" w:lineRule="auto"/>
              <w:jc w:val="center"/>
              <w:rPr>
                <w:color w:val="auto"/>
                <w:kern w:val="0"/>
                <w:szCs w:val="21"/>
              </w:rPr>
            </w:pPr>
            <w:r>
              <w:rPr>
                <w:color w:val="auto"/>
                <w:szCs w:val="21"/>
              </w:rPr>
              <w:t>分析方法</w:t>
            </w:r>
          </w:p>
        </w:tc>
        <w:tc>
          <w:tcPr>
            <w:tcW w:w="2529" w:type="dxa"/>
            <w:vAlign w:val="center"/>
          </w:tcPr>
          <w:p>
            <w:pPr>
              <w:spacing w:line="360" w:lineRule="auto"/>
              <w:jc w:val="center"/>
              <w:rPr>
                <w:color w:val="auto"/>
                <w:kern w:val="0"/>
                <w:szCs w:val="21"/>
              </w:rPr>
            </w:pPr>
            <w:r>
              <w:rPr>
                <w:color w:val="auto"/>
                <w:szCs w:val="21"/>
              </w:rPr>
              <w:t>方法依据</w:t>
            </w:r>
          </w:p>
        </w:tc>
        <w:tc>
          <w:tcPr>
            <w:tcW w:w="1825" w:type="dxa"/>
          </w:tcPr>
          <w:p>
            <w:pPr>
              <w:spacing w:line="360" w:lineRule="auto"/>
              <w:jc w:val="center"/>
              <w:rPr>
                <w:color w:val="auto"/>
                <w:kern w:val="0"/>
                <w:szCs w:val="21"/>
              </w:rPr>
            </w:pPr>
            <w:r>
              <w:rPr>
                <w:color w:val="auto"/>
                <w:szCs w:val="21"/>
              </w:rPr>
              <w:t>使用仪器</w:t>
            </w:r>
          </w:p>
        </w:tc>
        <w:tc>
          <w:tcPr>
            <w:tcW w:w="1552" w:type="dxa"/>
            <w:vAlign w:val="center"/>
          </w:tcPr>
          <w:p>
            <w:pPr>
              <w:spacing w:line="360" w:lineRule="auto"/>
              <w:jc w:val="center"/>
              <w:rPr>
                <w:color w:val="auto"/>
                <w:kern w:val="0"/>
                <w:szCs w:val="21"/>
              </w:rPr>
            </w:pPr>
            <w:r>
              <w:rPr>
                <w:color w:val="auto"/>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color w:val="auto"/>
                <w:szCs w:val="21"/>
              </w:rPr>
              <w:t>非甲烷总烃</w:t>
            </w:r>
          </w:p>
        </w:tc>
        <w:tc>
          <w:tcPr>
            <w:tcW w:w="196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气相色谱法</w:t>
            </w:r>
          </w:p>
        </w:tc>
        <w:tc>
          <w:tcPr>
            <w:tcW w:w="2529" w:type="dxa"/>
            <w:vAlign w:val="center"/>
          </w:tcPr>
          <w:p>
            <w:pPr>
              <w:widowControl/>
              <w:jc w:val="center"/>
              <w:textAlignment w:val="center"/>
              <w:rPr>
                <w:color w:val="auto"/>
                <w:kern w:val="0"/>
                <w:szCs w:val="21"/>
              </w:rPr>
            </w:pPr>
            <w:r>
              <w:rPr>
                <w:color w:val="auto"/>
                <w:kern w:val="0"/>
                <w:szCs w:val="21"/>
                <w:lang w:bidi="ar"/>
              </w:rPr>
              <w:t>HJ 604-2017</w:t>
            </w:r>
          </w:p>
        </w:tc>
        <w:tc>
          <w:tcPr>
            <w:tcW w:w="1825" w:type="dxa"/>
            <w:vAlign w:val="center"/>
          </w:tcPr>
          <w:p>
            <w:pPr>
              <w:widowControl/>
              <w:jc w:val="center"/>
              <w:textAlignment w:val="center"/>
              <w:rPr>
                <w:color w:val="auto"/>
                <w:kern w:val="0"/>
                <w:szCs w:val="21"/>
              </w:rPr>
            </w:pPr>
            <w:r>
              <w:rPr>
                <w:color w:val="auto"/>
                <w:kern w:val="0"/>
                <w:szCs w:val="21"/>
                <w:lang w:bidi="ar"/>
              </w:rPr>
              <w:t>气相色谱仪GC-2014C</w:t>
            </w:r>
          </w:p>
        </w:tc>
        <w:tc>
          <w:tcPr>
            <w:tcW w:w="1552" w:type="dxa"/>
            <w:vAlign w:val="center"/>
          </w:tcPr>
          <w:p>
            <w:pPr>
              <w:widowControl/>
              <w:jc w:val="center"/>
              <w:textAlignment w:val="center"/>
              <w:rPr>
                <w:color w:val="auto"/>
                <w:kern w:val="0"/>
                <w:szCs w:val="21"/>
              </w:rPr>
            </w:pPr>
            <w:r>
              <w:rPr>
                <w:color w:val="auto"/>
                <w:kern w:val="0"/>
                <w:szCs w:val="21"/>
                <w:lang w:bidi="ar"/>
              </w:rPr>
              <w:t>0.07mg/m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color w:val="auto"/>
                <w:szCs w:val="21"/>
              </w:rPr>
              <w:t>TVOC</w:t>
            </w:r>
          </w:p>
        </w:tc>
        <w:tc>
          <w:tcPr>
            <w:tcW w:w="196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气相色谱法</w:t>
            </w:r>
          </w:p>
        </w:tc>
        <w:tc>
          <w:tcPr>
            <w:tcW w:w="2529" w:type="dxa"/>
            <w:vAlign w:val="center"/>
          </w:tcPr>
          <w:p>
            <w:pPr>
              <w:widowControl/>
              <w:jc w:val="center"/>
              <w:textAlignment w:val="center"/>
              <w:rPr>
                <w:color w:val="auto"/>
                <w:kern w:val="0"/>
                <w:szCs w:val="21"/>
              </w:rPr>
            </w:pPr>
            <w:r>
              <w:rPr>
                <w:color w:val="auto"/>
                <w:kern w:val="0"/>
                <w:szCs w:val="21"/>
                <w:lang w:bidi="ar"/>
              </w:rPr>
              <w:t>GB/T 18883-2002</w:t>
            </w:r>
            <w:r>
              <w:rPr>
                <w:rFonts w:hint="eastAsia" w:ascii="宋体" w:hAnsi="宋体" w:cs="宋体"/>
                <w:color w:val="auto"/>
                <w:kern w:val="0"/>
                <w:szCs w:val="21"/>
                <w:lang w:bidi="ar"/>
              </w:rPr>
              <w:t>附录</w:t>
            </w:r>
            <w:r>
              <w:rPr>
                <w:color w:val="auto"/>
                <w:kern w:val="0"/>
                <w:szCs w:val="21"/>
                <w:lang w:bidi="ar"/>
              </w:rPr>
              <w:t>C</w:t>
            </w:r>
          </w:p>
        </w:tc>
        <w:tc>
          <w:tcPr>
            <w:tcW w:w="1825" w:type="dxa"/>
            <w:vAlign w:val="center"/>
          </w:tcPr>
          <w:p>
            <w:pPr>
              <w:widowControl/>
              <w:jc w:val="center"/>
              <w:textAlignment w:val="center"/>
              <w:rPr>
                <w:color w:val="auto"/>
                <w:kern w:val="0"/>
                <w:szCs w:val="21"/>
              </w:rPr>
            </w:pPr>
            <w:r>
              <w:rPr>
                <w:color w:val="auto"/>
                <w:kern w:val="0"/>
                <w:szCs w:val="21"/>
                <w:lang w:bidi="ar"/>
              </w:rPr>
              <w:t>气相色谱仪GC-2014C</w:t>
            </w:r>
          </w:p>
        </w:tc>
        <w:tc>
          <w:tcPr>
            <w:tcW w:w="1552" w:type="dxa"/>
            <w:vAlign w:val="center"/>
          </w:tcPr>
          <w:p>
            <w:pPr>
              <w:widowControl/>
              <w:jc w:val="center"/>
              <w:textAlignment w:val="center"/>
              <w:rPr>
                <w:color w:val="auto"/>
                <w:kern w:val="0"/>
                <w:szCs w:val="21"/>
              </w:rPr>
            </w:pPr>
            <w:r>
              <w:rPr>
                <w:color w:val="auto"/>
                <w:kern w:val="0"/>
                <w:szCs w:val="21"/>
                <w:lang w:bidi="ar"/>
              </w:rPr>
              <w:t>0.0005mg/m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rFonts w:hint="eastAsia"/>
                <w:color w:val="auto"/>
                <w:szCs w:val="21"/>
              </w:rPr>
              <w:t>苯</w:t>
            </w:r>
          </w:p>
        </w:tc>
        <w:tc>
          <w:tcPr>
            <w:tcW w:w="1960" w:type="dxa"/>
            <w:vAlign w:val="center"/>
          </w:tcPr>
          <w:p>
            <w:pPr>
              <w:widowControl/>
              <w:jc w:val="center"/>
              <w:textAlignment w:val="center"/>
              <w:rPr>
                <w:color w:val="auto"/>
                <w:kern w:val="0"/>
                <w:szCs w:val="21"/>
              </w:rPr>
            </w:pPr>
            <w:r>
              <w:rPr>
                <w:color w:val="auto"/>
                <w:kern w:val="0"/>
                <w:szCs w:val="21"/>
                <w:lang w:bidi="ar"/>
              </w:rPr>
              <w:t>气相色谱法</w:t>
            </w:r>
          </w:p>
        </w:tc>
        <w:tc>
          <w:tcPr>
            <w:tcW w:w="2529" w:type="dxa"/>
            <w:vAlign w:val="center"/>
          </w:tcPr>
          <w:p>
            <w:pPr>
              <w:widowControl/>
              <w:jc w:val="center"/>
              <w:textAlignment w:val="center"/>
              <w:rPr>
                <w:color w:val="auto"/>
                <w:kern w:val="0"/>
                <w:szCs w:val="21"/>
              </w:rPr>
            </w:pPr>
            <w:r>
              <w:rPr>
                <w:color w:val="auto"/>
                <w:kern w:val="0"/>
                <w:szCs w:val="21"/>
                <w:lang w:bidi="ar"/>
              </w:rPr>
              <w:t>HJ 583-2010</w:t>
            </w:r>
          </w:p>
        </w:tc>
        <w:tc>
          <w:tcPr>
            <w:tcW w:w="1825" w:type="dxa"/>
            <w:vAlign w:val="center"/>
          </w:tcPr>
          <w:p>
            <w:pPr>
              <w:widowControl/>
              <w:jc w:val="center"/>
              <w:textAlignment w:val="center"/>
              <w:rPr>
                <w:color w:val="auto"/>
                <w:kern w:val="0"/>
                <w:szCs w:val="21"/>
              </w:rPr>
            </w:pPr>
            <w:r>
              <w:rPr>
                <w:color w:val="auto"/>
                <w:kern w:val="0"/>
                <w:szCs w:val="21"/>
                <w:lang w:bidi="ar"/>
              </w:rPr>
              <w:t>气相色谱仪GC-2014C</w:t>
            </w:r>
          </w:p>
        </w:tc>
        <w:tc>
          <w:tcPr>
            <w:tcW w:w="1552" w:type="dxa"/>
            <w:vAlign w:val="center"/>
          </w:tcPr>
          <w:p>
            <w:pPr>
              <w:widowControl/>
              <w:jc w:val="center"/>
              <w:textAlignment w:val="center"/>
              <w:rPr>
                <w:color w:val="auto"/>
                <w:kern w:val="0"/>
                <w:szCs w:val="21"/>
              </w:rPr>
            </w:pPr>
            <w:r>
              <w:rPr>
                <w:color w:val="auto"/>
                <w:kern w:val="0"/>
                <w:szCs w:val="21"/>
                <w:lang w:bidi="ar"/>
              </w:rPr>
              <w:t>5×10</w:t>
            </w:r>
            <w:r>
              <w:rPr>
                <w:color w:val="auto"/>
                <w:kern w:val="0"/>
                <w:szCs w:val="21"/>
                <w:vertAlign w:val="superscript"/>
                <w:lang w:bidi="ar"/>
              </w:rPr>
              <w:t>-4</w:t>
            </w:r>
            <w:r>
              <w:rPr>
                <w:color w:val="auto"/>
                <w:kern w:val="0"/>
                <w:szCs w:val="21"/>
                <w:lang w:bidi="ar"/>
              </w:rPr>
              <w:t>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rFonts w:hint="eastAsia"/>
                <w:color w:val="auto"/>
                <w:szCs w:val="21"/>
              </w:rPr>
              <w:t>二甲苯</w:t>
            </w:r>
          </w:p>
        </w:tc>
        <w:tc>
          <w:tcPr>
            <w:tcW w:w="1960" w:type="dxa"/>
            <w:vAlign w:val="center"/>
          </w:tcPr>
          <w:p>
            <w:pPr>
              <w:widowControl/>
              <w:jc w:val="center"/>
              <w:textAlignment w:val="center"/>
              <w:rPr>
                <w:color w:val="auto"/>
                <w:kern w:val="0"/>
                <w:szCs w:val="21"/>
              </w:rPr>
            </w:pPr>
            <w:r>
              <w:rPr>
                <w:color w:val="auto"/>
                <w:kern w:val="0"/>
                <w:szCs w:val="21"/>
                <w:lang w:bidi="ar"/>
              </w:rPr>
              <w:t>气相色谱法</w:t>
            </w:r>
          </w:p>
        </w:tc>
        <w:tc>
          <w:tcPr>
            <w:tcW w:w="2529" w:type="dxa"/>
            <w:vAlign w:val="center"/>
          </w:tcPr>
          <w:p>
            <w:pPr>
              <w:widowControl/>
              <w:jc w:val="center"/>
              <w:textAlignment w:val="center"/>
              <w:rPr>
                <w:color w:val="auto"/>
                <w:kern w:val="0"/>
                <w:szCs w:val="21"/>
              </w:rPr>
            </w:pPr>
            <w:r>
              <w:rPr>
                <w:color w:val="auto"/>
                <w:kern w:val="0"/>
                <w:szCs w:val="21"/>
                <w:lang w:bidi="ar"/>
              </w:rPr>
              <w:t>HJ 583-2010</w:t>
            </w:r>
          </w:p>
        </w:tc>
        <w:tc>
          <w:tcPr>
            <w:tcW w:w="1825" w:type="dxa"/>
            <w:vAlign w:val="center"/>
          </w:tcPr>
          <w:p>
            <w:pPr>
              <w:widowControl/>
              <w:jc w:val="center"/>
              <w:textAlignment w:val="center"/>
              <w:rPr>
                <w:color w:val="auto"/>
                <w:kern w:val="0"/>
                <w:szCs w:val="21"/>
              </w:rPr>
            </w:pPr>
            <w:r>
              <w:rPr>
                <w:color w:val="auto"/>
                <w:kern w:val="0"/>
                <w:szCs w:val="21"/>
                <w:lang w:bidi="ar"/>
              </w:rPr>
              <w:t>气相色谱仪GC-2014C</w:t>
            </w:r>
          </w:p>
        </w:tc>
        <w:tc>
          <w:tcPr>
            <w:tcW w:w="1552" w:type="dxa"/>
            <w:vAlign w:val="center"/>
          </w:tcPr>
          <w:p>
            <w:pPr>
              <w:widowControl/>
              <w:jc w:val="center"/>
              <w:textAlignment w:val="center"/>
              <w:rPr>
                <w:color w:val="auto"/>
                <w:kern w:val="0"/>
                <w:szCs w:val="21"/>
              </w:rPr>
            </w:pPr>
            <w:r>
              <w:rPr>
                <w:color w:val="auto"/>
                <w:kern w:val="0"/>
                <w:szCs w:val="21"/>
                <w:lang w:bidi="ar"/>
              </w:rPr>
              <w:t>5×10</w:t>
            </w:r>
            <w:r>
              <w:rPr>
                <w:color w:val="auto"/>
                <w:kern w:val="0"/>
                <w:szCs w:val="21"/>
                <w:vertAlign w:val="superscript"/>
                <w:lang w:bidi="ar"/>
              </w:rPr>
              <w:t>-4</w:t>
            </w:r>
            <w:r>
              <w:rPr>
                <w:color w:val="auto"/>
                <w:kern w:val="0"/>
                <w:szCs w:val="21"/>
                <w:lang w:bidi="ar"/>
              </w:rPr>
              <w:t>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rFonts w:hint="eastAsia"/>
                <w:color w:val="auto"/>
                <w:szCs w:val="21"/>
              </w:rPr>
              <w:t>总悬浮颗粒物（TSP）</w:t>
            </w:r>
          </w:p>
        </w:tc>
        <w:tc>
          <w:tcPr>
            <w:tcW w:w="1960" w:type="dxa"/>
            <w:vAlign w:val="center"/>
          </w:tcPr>
          <w:p>
            <w:pPr>
              <w:widowControl/>
              <w:jc w:val="center"/>
              <w:textAlignment w:val="center"/>
              <w:rPr>
                <w:color w:val="auto"/>
                <w:kern w:val="0"/>
                <w:szCs w:val="21"/>
              </w:rPr>
            </w:pPr>
            <w:r>
              <w:rPr>
                <w:color w:val="auto"/>
                <w:kern w:val="0"/>
                <w:szCs w:val="21"/>
                <w:lang w:bidi="ar"/>
              </w:rPr>
              <w:t>重量法</w:t>
            </w:r>
          </w:p>
        </w:tc>
        <w:tc>
          <w:tcPr>
            <w:tcW w:w="2529" w:type="dxa"/>
            <w:vAlign w:val="center"/>
          </w:tcPr>
          <w:p>
            <w:pPr>
              <w:widowControl/>
              <w:jc w:val="center"/>
              <w:textAlignment w:val="center"/>
              <w:rPr>
                <w:color w:val="auto"/>
                <w:kern w:val="0"/>
                <w:szCs w:val="21"/>
              </w:rPr>
            </w:pPr>
            <w:r>
              <w:rPr>
                <w:color w:val="auto"/>
                <w:kern w:val="0"/>
                <w:szCs w:val="21"/>
                <w:lang w:bidi="ar"/>
              </w:rPr>
              <w:t>GB/T15432-1995</w:t>
            </w:r>
          </w:p>
        </w:tc>
        <w:tc>
          <w:tcPr>
            <w:tcW w:w="1825" w:type="dxa"/>
            <w:vAlign w:val="center"/>
          </w:tcPr>
          <w:p>
            <w:pPr>
              <w:widowControl/>
              <w:jc w:val="center"/>
              <w:textAlignment w:val="center"/>
              <w:rPr>
                <w:color w:val="auto"/>
                <w:kern w:val="0"/>
                <w:szCs w:val="21"/>
              </w:rPr>
            </w:pPr>
            <w:r>
              <w:rPr>
                <w:color w:val="auto"/>
                <w:kern w:val="0"/>
                <w:szCs w:val="21"/>
                <w:lang w:bidi="ar"/>
              </w:rPr>
              <w:t>电子天平AUW120D</w:t>
            </w:r>
          </w:p>
        </w:tc>
        <w:tc>
          <w:tcPr>
            <w:tcW w:w="1552" w:type="dxa"/>
            <w:vAlign w:val="center"/>
          </w:tcPr>
          <w:p>
            <w:pPr>
              <w:widowControl/>
              <w:jc w:val="center"/>
              <w:textAlignment w:val="center"/>
              <w:rPr>
                <w:color w:val="auto"/>
                <w:kern w:val="0"/>
                <w:szCs w:val="21"/>
              </w:rPr>
            </w:pPr>
            <w:r>
              <w:rPr>
                <w:color w:val="auto"/>
                <w:kern w:val="0"/>
                <w:szCs w:val="21"/>
                <w:lang w:bidi="ar"/>
              </w:rPr>
              <w:t>0.001 mg/m</w:t>
            </w:r>
            <w:r>
              <w:rPr>
                <w:color w:val="auto"/>
                <w:kern w:val="0"/>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82" w:type="dxa"/>
            <w:vAlign w:val="center"/>
          </w:tcPr>
          <w:p>
            <w:pPr>
              <w:jc w:val="center"/>
              <w:rPr>
                <w:color w:val="auto"/>
                <w:kern w:val="0"/>
                <w:szCs w:val="21"/>
              </w:rPr>
            </w:pPr>
            <w:r>
              <w:rPr>
                <w:color w:val="auto"/>
                <w:szCs w:val="21"/>
              </w:rPr>
              <w:t>苯并[a]芘（BaP</w:t>
            </w:r>
            <w:r>
              <w:rPr>
                <w:rFonts w:hint="eastAsia"/>
                <w:color w:val="auto"/>
                <w:szCs w:val="21"/>
              </w:rPr>
              <w:t>）</w:t>
            </w:r>
          </w:p>
        </w:tc>
        <w:tc>
          <w:tcPr>
            <w:tcW w:w="1960"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《环境空气</w:t>
            </w:r>
            <w:r>
              <w:rPr>
                <w:color w:val="auto"/>
                <w:kern w:val="0"/>
                <w:szCs w:val="21"/>
                <w:lang w:bidi="ar"/>
              </w:rPr>
              <w:t xml:space="preserve"> </w:t>
            </w:r>
            <w:r>
              <w:rPr>
                <w:rFonts w:hint="eastAsia" w:ascii="宋体" w:hAnsi="宋体" w:cs="宋体"/>
                <w:color w:val="auto"/>
                <w:kern w:val="0"/>
                <w:szCs w:val="21"/>
                <w:lang w:bidi="ar"/>
              </w:rPr>
              <w:t>苯并</w:t>
            </w:r>
            <w:r>
              <w:rPr>
                <w:color w:val="auto"/>
                <w:kern w:val="0"/>
                <w:szCs w:val="21"/>
                <w:lang w:bidi="ar"/>
              </w:rPr>
              <w:t>[a]</w:t>
            </w:r>
            <w:r>
              <w:rPr>
                <w:rFonts w:hint="eastAsia" w:ascii="宋体" w:hAnsi="宋体" w:cs="宋体"/>
                <w:color w:val="auto"/>
                <w:kern w:val="0"/>
                <w:szCs w:val="21"/>
                <w:lang w:bidi="ar"/>
              </w:rPr>
              <w:t>芘的测定</w:t>
            </w:r>
            <w:r>
              <w:rPr>
                <w:color w:val="auto"/>
                <w:kern w:val="0"/>
                <w:szCs w:val="21"/>
                <w:lang w:bidi="ar"/>
              </w:rPr>
              <w:t xml:space="preserve"> </w:t>
            </w:r>
            <w:r>
              <w:rPr>
                <w:rFonts w:hint="eastAsia" w:ascii="宋体" w:hAnsi="宋体" w:cs="宋体"/>
                <w:color w:val="auto"/>
                <w:kern w:val="0"/>
                <w:szCs w:val="21"/>
                <w:lang w:bidi="ar"/>
              </w:rPr>
              <w:t>高效液相色谱法》</w:t>
            </w:r>
          </w:p>
        </w:tc>
        <w:tc>
          <w:tcPr>
            <w:tcW w:w="2529" w:type="dxa"/>
            <w:vAlign w:val="center"/>
          </w:tcPr>
          <w:p>
            <w:pPr>
              <w:widowControl/>
              <w:jc w:val="center"/>
              <w:textAlignment w:val="center"/>
              <w:rPr>
                <w:color w:val="auto"/>
                <w:kern w:val="0"/>
                <w:szCs w:val="21"/>
              </w:rPr>
            </w:pPr>
            <w:r>
              <w:rPr>
                <w:color w:val="auto"/>
                <w:kern w:val="0"/>
                <w:szCs w:val="21"/>
                <w:lang w:bidi="ar"/>
              </w:rPr>
              <w:t>HJ 956-2018</w:t>
            </w:r>
          </w:p>
        </w:tc>
        <w:tc>
          <w:tcPr>
            <w:tcW w:w="1825" w:type="dxa"/>
            <w:vAlign w:val="center"/>
          </w:tcPr>
          <w:p>
            <w:pPr>
              <w:widowControl/>
              <w:jc w:val="center"/>
              <w:textAlignment w:val="center"/>
              <w:rPr>
                <w:color w:val="auto"/>
                <w:kern w:val="0"/>
                <w:szCs w:val="21"/>
              </w:rPr>
            </w:pPr>
            <w:r>
              <w:rPr>
                <w:color w:val="auto"/>
                <w:kern w:val="0"/>
                <w:szCs w:val="21"/>
                <w:lang w:bidi="ar"/>
              </w:rPr>
              <w:t>高效液相色谱仪 LC-16</w:t>
            </w:r>
          </w:p>
        </w:tc>
        <w:tc>
          <w:tcPr>
            <w:tcW w:w="1552" w:type="dxa"/>
            <w:vAlign w:val="center"/>
          </w:tcPr>
          <w:p>
            <w:pPr>
              <w:widowControl/>
              <w:jc w:val="center"/>
              <w:textAlignment w:val="center"/>
              <w:rPr>
                <w:color w:val="auto"/>
                <w:kern w:val="0"/>
                <w:szCs w:val="21"/>
              </w:rPr>
            </w:pPr>
            <w:r>
              <w:rPr>
                <w:color w:val="auto"/>
                <w:kern w:val="0"/>
                <w:szCs w:val="21"/>
                <w:lang w:bidi="ar"/>
              </w:rPr>
              <w:t xml:space="preserve"> 0.1ng/m</w:t>
            </w:r>
            <w:r>
              <w:rPr>
                <w:color w:val="auto"/>
                <w:kern w:val="0"/>
                <w:szCs w:val="21"/>
                <w:vertAlign w:val="superscript"/>
                <w:lang w:bidi="ar"/>
              </w:rPr>
              <w:t>3</w:t>
            </w:r>
          </w:p>
        </w:tc>
      </w:tr>
    </w:tbl>
    <w:p>
      <w:pPr>
        <w:spacing w:line="360" w:lineRule="auto"/>
        <w:ind w:firstLine="482" w:firstLineChars="200"/>
        <w:rPr>
          <w:b/>
          <w:color w:val="auto"/>
          <w:sz w:val="24"/>
        </w:rPr>
      </w:pPr>
      <w:r>
        <w:rPr>
          <w:b/>
          <w:color w:val="auto"/>
          <w:sz w:val="24"/>
        </w:rPr>
        <w:t>二、评价标准</w:t>
      </w:r>
    </w:p>
    <w:p>
      <w:pPr>
        <w:autoSpaceDE w:val="0"/>
        <w:autoSpaceDN w:val="0"/>
        <w:adjustRightInd w:val="0"/>
        <w:spacing w:line="360" w:lineRule="auto"/>
        <w:ind w:firstLine="480" w:firstLineChars="200"/>
        <w:textAlignment w:val="baseline"/>
        <w:rPr>
          <w:color w:val="auto"/>
          <w:kern w:val="0"/>
          <w:sz w:val="24"/>
          <w:szCs w:val="20"/>
        </w:rPr>
      </w:pPr>
      <w:r>
        <w:rPr>
          <w:color w:val="auto"/>
          <w:kern w:val="0"/>
          <w:sz w:val="24"/>
          <w:szCs w:val="20"/>
        </w:rPr>
        <w:t>项目所在地环境空气功能区划为二类区，</w:t>
      </w:r>
      <w:r>
        <w:rPr>
          <w:color w:val="auto"/>
          <w:sz w:val="24"/>
          <w:szCs w:val="20"/>
        </w:rPr>
        <w:t>执行《环境空气质量标准》（GB3095-2012）</w:t>
      </w:r>
      <w:r>
        <w:rPr>
          <w:color w:val="auto"/>
          <w:sz w:val="24"/>
        </w:rPr>
        <w:t>及其修改单（2018年9月1日起实施）</w:t>
      </w:r>
      <w:r>
        <w:rPr>
          <w:color w:val="auto"/>
          <w:sz w:val="24"/>
          <w:szCs w:val="20"/>
        </w:rPr>
        <w:t>二级</w:t>
      </w:r>
      <w:r>
        <w:rPr>
          <w:color w:val="auto"/>
          <w:sz w:val="24"/>
        </w:rPr>
        <w:t>浓度限值要求</w:t>
      </w:r>
      <w:r>
        <w:rPr>
          <w:color w:val="auto"/>
          <w:sz w:val="24"/>
          <w:szCs w:val="20"/>
        </w:rPr>
        <w:t>，</w:t>
      </w:r>
      <w:r>
        <w:rPr>
          <w:color w:val="auto"/>
          <w:sz w:val="24"/>
        </w:rPr>
        <w:t>有关污染物及其浓度限值详见表2.6-9。</w:t>
      </w:r>
    </w:p>
    <w:p>
      <w:pPr>
        <w:spacing w:line="360" w:lineRule="auto"/>
        <w:ind w:firstLine="482" w:firstLineChars="200"/>
        <w:rPr>
          <w:b/>
          <w:color w:val="auto"/>
          <w:sz w:val="24"/>
        </w:rPr>
      </w:pPr>
      <w:r>
        <w:rPr>
          <w:b/>
          <w:color w:val="auto"/>
          <w:sz w:val="24"/>
        </w:rPr>
        <w:t>三、评价方法</w:t>
      </w:r>
    </w:p>
    <w:p>
      <w:pPr>
        <w:spacing w:line="360" w:lineRule="auto"/>
        <w:ind w:firstLine="480" w:firstLineChars="200"/>
        <w:rPr>
          <w:color w:val="auto"/>
          <w:sz w:val="24"/>
        </w:rPr>
      </w:pPr>
      <w:r>
        <w:rPr>
          <w:color w:val="auto"/>
          <w:sz w:val="24"/>
        </w:rPr>
        <w:t>采用单因子指数法进行评价。</w:t>
      </w:r>
    </w:p>
    <w:p>
      <w:pPr>
        <w:spacing w:line="360" w:lineRule="auto"/>
        <w:ind w:firstLine="480" w:firstLineChars="200"/>
        <w:rPr>
          <w:color w:val="auto"/>
          <w:sz w:val="24"/>
        </w:rPr>
      </w:pPr>
      <w:r>
        <w:rPr>
          <w:color w:val="auto"/>
          <w:sz w:val="24"/>
        </w:rPr>
        <w:t>单因子指数法计算公式为：</w:t>
      </w:r>
    </w:p>
    <w:p>
      <w:pPr>
        <w:spacing w:line="360" w:lineRule="auto"/>
        <w:jc w:val="center"/>
        <w:rPr>
          <w:color w:val="auto"/>
          <w:sz w:val="24"/>
        </w:rPr>
      </w:pPr>
      <w:r>
        <w:rPr>
          <w:color w:val="auto"/>
          <w:sz w:val="24"/>
        </w:rPr>
        <w:t>I</w:t>
      </w:r>
      <w:r>
        <w:rPr>
          <w:color w:val="auto"/>
          <w:sz w:val="24"/>
          <w:vertAlign w:val="subscript"/>
        </w:rPr>
        <w:t>i</w:t>
      </w:r>
      <w:r>
        <w:rPr>
          <w:color w:val="auto"/>
          <w:sz w:val="24"/>
        </w:rPr>
        <w:t>=C</w:t>
      </w:r>
      <w:r>
        <w:rPr>
          <w:color w:val="auto"/>
          <w:sz w:val="24"/>
          <w:vertAlign w:val="subscript"/>
        </w:rPr>
        <w:t>i</w:t>
      </w:r>
      <w:r>
        <w:rPr>
          <w:color w:val="auto"/>
          <w:sz w:val="24"/>
        </w:rPr>
        <w:t>/C</w:t>
      </w:r>
      <w:r>
        <w:rPr>
          <w:color w:val="auto"/>
          <w:sz w:val="24"/>
          <w:vertAlign w:val="subscript"/>
        </w:rPr>
        <w:t>oi</w:t>
      </w:r>
    </w:p>
    <w:p>
      <w:pPr>
        <w:spacing w:line="360" w:lineRule="auto"/>
        <w:ind w:firstLine="480" w:firstLineChars="200"/>
        <w:rPr>
          <w:color w:val="auto"/>
          <w:sz w:val="24"/>
        </w:rPr>
      </w:pPr>
      <w:r>
        <w:rPr>
          <w:color w:val="auto"/>
          <w:sz w:val="24"/>
        </w:rPr>
        <w:t>式中：I</w:t>
      </w:r>
      <w:r>
        <w:rPr>
          <w:color w:val="auto"/>
          <w:sz w:val="24"/>
          <w:vertAlign w:val="subscript"/>
        </w:rPr>
        <w:t>i</w:t>
      </w:r>
      <w:r>
        <w:rPr>
          <w:color w:val="auto"/>
          <w:sz w:val="24"/>
        </w:rPr>
        <w:t>—第i种污染物的污染指数；</w:t>
      </w:r>
    </w:p>
    <w:p>
      <w:pPr>
        <w:spacing w:line="360" w:lineRule="auto"/>
        <w:ind w:firstLine="1200" w:firstLineChars="500"/>
        <w:rPr>
          <w:color w:val="auto"/>
          <w:sz w:val="24"/>
        </w:rPr>
      </w:pPr>
      <w:r>
        <w:rPr>
          <w:color w:val="auto"/>
          <w:sz w:val="24"/>
        </w:rPr>
        <w:t>C</w:t>
      </w:r>
      <w:r>
        <w:rPr>
          <w:color w:val="auto"/>
          <w:sz w:val="24"/>
          <w:vertAlign w:val="subscript"/>
        </w:rPr>
        <w:t>i</w:t>
      </w:r>
      <w:r>
        <w:rPr>
          <w:color w:val="auto"/>
          <w:sz w:val="24"/>
        </w:rPr>
        <w:t>—第i种污染物的实测浓度或均值浓度，mg/m</w:t>
      </w:r>
      <w:r>
        <w:rPr>
          <w:color w:val="auto"/>
          <w:sz w:val="24"/>
          <w:vertAlign w:val="superscript"/>
        </w:rPr>
        <w:t>3</w:t>
      </w:r>
      <w:r>
        <w:rPr>
          <w:color w:val="auto"/>
          <w:sz w:val="24"/>
        </w:rPr>
        <w:t>；</w:t>
      </w:r>
    </w:p>
    <w:p>
      <w:pPr>
        <w:spacing w:line="360" w:lineRule="auto"/>
        <w:ind w:firstLine="1200" w:firstLineChars="500"/>
        <w:rPr>
          <w:color w:val="auto"/>
          <w:sz w:val="24"/>
        </w:rPr>
      </w:pPr>
      <w:r>
        <w:rPr>
          <w:color w:val="auto"/>
          <w:sz w:val="24"/>
        </w:rPr>
        <w:t>C</w:t>
      </w:r>
      <w:r>
        <w:rPr>
          <w:color w:val="auto"/>
          <w:sz w:val="24"/>
          <w:vertAlign w:val="subscript"/>
        </w:rPr>
        <w:t>oi</w:t>
      </w:r>
      <w:r>
        <w:rPr>
          <w:color w:val="auto"/>
          <w:sz w:val="24"/>
        </w:rPr>
        <w:t>—第i种污染物的评价标准，mg/m</w:t>
      </w:r>
      <w:r>
        <w:rPr>
          <w:color w:val="auto"/>
          <w:sz w:val="24"/>
          <w:vertAlign w:val="superscript"/>
        </w:rPr>
        <w:t>3</w:t>
      </w:r>
      <w:r>
        <w:rPr>
          <w:color w:val="auto"/>
          <w:sz w:val="24"/>
        </w:rPr>
        <w:t>。</w:t>
      </w:r>
    </w:p>
    <w:p>
      <w:pPr>
        <w:spacing w:line="360" w:lineRule="auto"/>
        <w:ind w:firstLine="482" w:firstLineChars="200"/>
        <w:rPr>
          <w:b/>
          <w:color w:val="auto"/>
          <w:sz w:val="24"/>
        </w:rPr>
      </w:pPr>
      <w:r>
        <w:rPr>
          <w:b/>
          <w:color w:val="auto"/>
          <w:sz w:val="24"/>
        </w:rPr>
        <w:t>四、现状监测结果</w:t>
      </w:r>
    </w:p>
    <w:p>
      <w:pPr>
        <w:adjustRightInd w:val="0"/>
        <w:snapToGrid w:val="0"/>
        <w:spacing w:before="159" w:beforeLines="50" w:line="360" w:lineRule="auto"/>
        <w:ind w:firstLine="480" w:firstLineChars="200"/>
        <w:jc w:val="left"/>
        <w:rPr>
          <w:color w:val="auto"/>
          <w:sz w:val="24"/>
        </w:rPr>
      </w:pPr>
      <w:r>
        <w:rPr>
          <w:color w:val="auto"/>
          <w:sz w:val="24"/>
        </w:rPr>
        <w:t>大气环境现状监测结果见表4.6-4~表4.6-5。</w:t>
      </w:r>
    </w:p>
    <w:p>
      <w:pPr>
        <w:snapToGrid w:val="0"/>
        <w:spacing w:line="360" w:lineRule="auto"/>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spacing w:before="159" w:beforeLines="50" w:line="360" w:lineRule="auto"/>
        <w:jc w:val="center"/>
        <w:rPr>
          <w:b/>
          <w:color w:val="auto"/>
          <w:szCs w:val="21"/>
        </w:rPr>
      </w:pPr>
      <w:bookmarkStart w:id="555" w:name="_Toc12959319"/>
      <w:r>
        <w:rPr>
          <w:b/>
          <w:color w:val="auto"/>
          <w:szCs w:val="21"/>
        </w:rPr>
        <w:t>表</w:t>
      </w:r>
      <w:r>
        <w:rPr>
          <w:rFonts w:hint="eastAsia"/>
          <w:b/>
          <w:color w:val="auto"/>
          <w:szCs w:val="21"/>
        </w:rPr>
        <w:t>5</w:t>
      </w:r>
      <w:r>
        <w:rPr>
          <w:b/>
          <w:color w:val="auto"/>
          <w:szCs w:val="21"/>
        </w:rPr>
        <w:t>.6-4 其他污染物环境质量现状监测结果</w:t>
      </w:r>
    </w:p>
    <w:tbl>
      <w:tblPr>
        <w:tblStyle w:val="23"/>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
        <w:gridCol w:w="650"/>
        <w:gridCol w:w="910"/>
        <w:gridCol w:w="1440"/>
        <w:gridCol w:w="1260"/>
        <w:gridCol w:w="1400"/>
        <w:gridCol w:w="1380"/>
        <w:gridCol w:w="1050"/>
        <w:gridCol w:w="1180"/>
        <w:gridCol w:w="780"/>
        <w:gridCol w:w="980"/>
        <w:gridCol w:w="900"/>
        <w:gridCol w:w="541"/>
        <w:gridCol w:w="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78" w:type="dxa"/>
            <w:vMerge w:val="restart"/>
            <w:vAlign w:val="center"/>
          </w:tcPr>
          <w:p>
            <w:pPr>
              <w:widowControl/>
              <w:jc w:val="center"/>
              <w:rPr>
                <w:color w:val="auto"/>
                <w:kern w:val="0"/>
                <w:szCs w:val="21"/>
              </w:rPr>
            </w:pPr>
            <w:r>
              <w:rPr>
                <w:color w:val="auto"/>
                <w:kern w:val="0"/>
                <w:szCs w:val="21"/>
              </w:rPr>
              <w:t>监测点位</w:t>
            </w:r>
          </w:p>
        </w:tc>
        <w:tc>
          <w:tcPr>
            <w:tcW w:w="1560" w:type="dxa"/>
            <w:gridSpan w:val="2"/>
            <w:vMerge w:val="restart"/>
            <w:vAlign w:val="center"/>
          </w:tcPr>
          <w:p>
            <w:pPr>
              <w:widowControl/>
              <w:jc w:val="center"/>
              <w:rPr>
                <w:color w:val="auto"/>
                <w:kern w:val="0"/>
                <w:szCs w:val="21"/>
              </w:rPr>
            </w:pPr>
            <w:r>
              <w:rPr>
                <w:color w:val="auto"/>
                <w:kern w:val="0"/>
                <w:szCs w:val="21"/>
              </w:rPr>
              <w:t>采样日期及时间段</w:t>
            </w:r>
          </w:p>
        </w:tc>
        <w:tc>
          <w:tcPr>
            <w:tcW w:w="7710" w:type="dxa"/>
            <w:gridSpan w:val="6"/>
            <w:vAlign w:val="center"/>
          </w:tcPr>
          <w:p>
            <w:pPr>
              <w:widowControl/>
              <w:jc w:val="center"/>
              <w:rPr>
                <w:color w:val="auto"/>
                <w:kern w:val="0"/>
                <w:szCs w:val="21"/>
              </w:rPr>
            </w:pPr>
            <w:r>
              <w:rPr>
                <w:color w:val="auto"/>
                <w:kern w:val="0"/>
                <w:szCs w:val="21"/>
              </w:rPr>
              <w:t>监测结果（1小时平均）</w:t>
            </w:r>
          </w:p>
        </w:tc>
        <w:tc>
          <w:tcPr>
            <w:tcW w:w="3972" w:type="dxa"/>
            <w:gridSpan w:val="5"/>
            <w:vAlign w:val="center"/>
          </w:tcPr>
          <w:p>
            <w:pPr>
              <w:widowControl/>
              <w:jc w:val="center"/>
              <w:rPr>
                <w:color w:val="auto"/>
                <w:kern w:val="0"/>
                <w:szCs w:val="21"/>
              </w:rPr>
            </w:pPr>
            <w:r>
              <w:rPr>
                <w:color w:val="auto"/>
                <w:kern w:val="0"/>
                <w:szCs w:val="21"/>
              </w:rPr>
              <w:t>气象参数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978" w:type="dxa"/>
            <w:vMerge w:val="continue"/>
            <w:vAlign w:val="center"/>
          </w:tcPr>
          <w:p>
            <w:pPr>
              <w:widowControl/>
              <w:jc w:val="left"/>
              <w:rPr>
                <w:color w:val="auto"/>
                <w:kern w:val="0"/>
                <w:szCs w:val="21"/>
              </w:rPr>
            </w:pPr>
          </w:p>
        </w:tc>
        <w:tc>
          <w:tcPr>
            <w:tcW w:w="1560" w:type="dxa"/>
            <w:gridSpan w:val="2"/>
            <w:vMerge w:val="continue"/>
            <w:vAlign w:val="center"/>
          </w:tcPr>
          <w:p>
            <w:pPr>
              <w:widowControl/>
              <w:jc w:val="left"/>
              <w:rPr>
                <w:color w:val="auto"/>
                <w:kern w:val="0"/>
                <w:szCs w:val="21"/>
              </w:rPr>
            </w:pPr>
          </w:p>
        </w:tc>
        <w:tc>
          <w:tcPr>
            <w:tcW w:w="1440" w:type="dxa"/>
            <w:vAlign w:val="center"/>
          </w:tcPr>
          <w:p>
            <w:pPr>
              <w:widowControl/>
              <w:jc w:val="center"/>
              <w:rPr>
                <w:color w:val="auto"/>
                <w:kern w:val="0"/>
                <w:szCs w:val="21"/>
              </w:rPr>
            </w:pPr>
            <w:r>
              <w:rPr>
                <w:rFonts w:hint="eastAsia"/>
                <w:color w:val="auto"/>
                <w:kern w:val="0"/>
                <w:szCs w:val="21"/>
              </w:rPr>
              <w:t>非甲烷总烃</w:t>
            </w:r>
          </w:p>
          <w:p>
            <w:pPr>
              <w:widowControl/>
              <w:jc w:val="center"/>
              <w:rPr>
                <w:color w:val="auto"/>
                <w:kern w:val="0"/>
                <w:szCs w:val="21"/>
              </w:rPr>
            </w:pPr>
            <w:r>
              <w:rPr>
                <w:rFonts w:hint="eastAsia"/>
                <w:color w:val="auto"/>
                <w:kern w:val="0"/>
                <w:szCs w:val="21"/>
              </w:rPr>
              <w:t>（1h平均值）</w:t>
            </w:r>
          </w:p>
        </w:tc>
        <w:tc>
          <w:tcPr>
            <w:tcW w:w="1260" w:type="dxa"/>
            <w:vAlign w:val="center"/>
          </w:tcPr>
          <w:p>
            <w:pPr>
              <w:widowControl/>
              <w:jc w:val="center"/>
              <w:rPr>
                <w:color w:val="auto"/>
                <w:kern w:val="0"/>
                <w:szCs w:val="21"/>
              </w:rPr>
            </w:pPr>
            <w:r>
              <w:rPr>
                <w:rFonts w:hint="eastAsia"/>
                <w:color w:val="auto"/>
                <w:kern w:val="0"/>
                <w:szCs w:val="21"/>
              </w:rPr>
              <w:t>苯</w:t>
            </w:r>
          </w:p>
          <w:p>
            <w:pPr>
              <w:widowControl/>
              <w:jc w:val="center"/>
              <w:rPr>
                <w:color w:val="auto"/>
                <w:kern w:val="0"/>
                <w:szCs w:val="21"/>
              </w:rPr>
            </w:pPr>
            <w:r>
              <w:rPr>
                <w:rFonts w:hint="eastAsia"/>
                <w:color w:val="auto"/>
                <w:kern w:val="0"/>
                <w:szCs w:val="21"/>
              </w:rPr>
              <w:t>(1h平均值)</w:t>
            </w:r>
          </w:p>
        </w:tc>
        <w:tc>
          <w:tcPr>
            <w:tcW w:w="1400" w:type="dxa"/>
            <w:vAlign w:val="center"/>
          </w:tcPr>
          <w:p>
            <w:pPr>
              <w:adjustRightInd w:val="0"/>
              <w:snapToGrid w:val="0"/>
              <w:jc w:val="center"/>
              <w:rPr>
                <w:color w:val="auto"/>
                <w:kern w:val="0"/>
                <w:szCs w:val="21"/>
              </w:rPr>
            </w:pPr>
            <w:r>
              <w:rPr>
                <w:rFonts w:hint="eastAsia"/>
                <w:color w:val="auto"/>
                <w:kern w:val="0"/>
                <w:szCs w:val="21"/>
              </w:rPr>
              <w:t>二甲苯</w:t>
            </w:r>
          </w:p>
          <w:p>
            <w:pPr>
              <w:widowControl/>
              <w:jc w:val="center"/>
              <w:rPr>
                <w:color w:val="auto"/>
                <w:kern w:val="0"/>
                <w:szCs w:val="21"/>
              </w:rPr>
            </w:pPr>
            <w:r>
              <w:rPr>
                <w:rFonts w:hint="eastAsia"/>
                <w:color w:val="auto"/>
                <w:kern w:val="0"/>
                <w:szCs w:val="21"/>
              </w:rPr>
              <w:t>(1h平均值)</w:t>
            </w:r>
          </w:p>
        </w:tc>
        <w:tc>
          <w:tcPr>
            <w:tcW w:w="1380" w:type="dxa"/>
            <w:vAlign w:val="center"/>
          </w:tcPr>
          <w:p>
            <w:pPr>
              <w:adjustRightInd w:val="0"/>
              <w:snapToGrid w:val="0"/>
              <w:jc w:val="center"/>
              <w:rPr>
                <w:color w:val="auto"/>
                <w:kern w:val="0"/>
                <w:szCs w:val="21"/>
              </w:rPr>
            </w:pPr>
            <w:r>
              <w:rPr>
                <w:rFonts w:hint="eastAsia"/>
                <w:color w:val="auto"/>
                <w:kern w:val="0"/>
                <w:szCs w:val="21"/>
              </w:rPr>
              <w:t>TVOC</w:t>
            </w:r>
          </w:p>
          <w:p>
            <w:pPr>
              <w:widowControl/>
              <w:jc w:val="center"/>
              <w:rPr>
                <w:color w:val="auto"/>
                <w:kern w:val="0"/>
                <w:szCs w:val="21"/>
              </w:rPr>
            </w:pPr>
            <w:r>
              <w:rPr>
                <w:rFonts w:hint="eastAsia"/>
                <w:color w:val="auto"/>
                <w:kern w:val="0"/>
                <w:szCs w:val="21"/>
              </w:rPr>
              <w:t>(8h平均值)</w:t>
            </w:r>
          </w:p>
        </w:tc>
        <w:tc>
          <w:tcPr>
            <w:tcW w:w="1050" w:type="dxa"/>
            <w:vAlign w:val="center"/>
          </w:tcPr>
          <w:p>
            <w:pPr>
              <w:widowControl/>
              <w:jc w:val="center"/>
              <w:rPr>
                <w:color w:val="auto"/>
                <w:kern w:val="0"/>
                <w:szCs w:val="21"/>
              </w:rPr>
            </w:pPr>
            <w:r>
              <w:rPr>
                <w:rFonts w:hint="eastAsia"/>
                <w:color w:val="auto"/>
                <w:kern w:val="0"/>
                <w:szCs w:val="21"/>
              </w:rPr>
              <w:t>TSP</w:t>
            </w:r>
          </w:p>
          <w:p>
            <w:pPr>
              <w:widowControl/>
              <w:jc w:val="center"/>
              <w:rPr>
                <w:color w:val="auto"/>
                <w:kern w:val="0"/>
                <w:szCs w:val="21"/>
              </w:rPr>
            </w:pPr>
            <w:r>
              <w:rPr>
                <w:rFonts w:hint="eastAsia"/>
                <w:color w:val="auto"/>
                <w:kern w:val="0"/>
                <w:szCs w:val="21"/>
              </w:rPr>
              <w:t>(日均值)</w:t>
            </w:r>
          </w:p>
        </w:tc>
        <w:tc>
          <w:tcPr>
            <w:tcW w:w="1180" w:type="dxa"/>
            <w:vAlign w:val="center"/>
          </w:tcPr>
          <w:p>
            <w:pPr>
              <w:widowControl/>
              <w:jc w:val="center"/>
              <w:rPr>
                <w:color w:val="auto"/>
                <w:kern w:val="0"/>
                <w:szCs w:val="21"/>
              </w:rPr>
            </w:pPr>
            <w:r>
              <w:rPr>
                <w:color w:val="auto"/>
                <w:szCs w:val="21"/>
              </w:rPr>
              <w:t>苯并[a]芘</w:t>
            </w:r>
            <w:r>
              <w:rPr>
                <w:rFonts w:hint="eastAsia"/>
                <w:color w:val="auto"/>
                <w:szCs w:val="21"/>
              </w:rPr>
              <w:t>（</w:t>
            </w:r>
            <w:r>
              <w:rPr>
                <w:rFonts w:hint="eastAsia"/>
                <w:color w:val="auto"/>
                <w:kern w:val="0"/>
                <w:szCs w:val="21"/>
              </w:rPr>
              <w:t>日均值</w:t>
            </w:r>
            <w:r>
              <w:rPr>
                <w:rFonts w:hint="eastAsia"/>
                <w:color w:val="auto"/>
                <w:szCs w:val="21"/>
              </w:rPr>
              <w:t>）</w:t>
            </w:r>
          </w:p>
        </w:tc>
        <w:tc>
          <w:tcPr>
            <w:tcW w:w="780" w:type="dxa"/>
            <w:vAlign w:val="center"/>
          </w:tcPr>
          <w:p>
            <w:pPr>
              <w:widowControl/>
              <w:jc w:val="center"/>
              <w:rPr>
                <w:color w:val="auto"/>
                <w:kern w:val="0"/>
                <w:szCs w:val="21"/>
              </w:rPr>
            </w:pPr>
            <w:r>
              <w:rPr>
                <w:color w:val="auto"/>
                <w:kern w:val="0"/>
                <w:szCs w:val="21"/>
              </w:rPr>
              <w:t>温度(℃)</w:t>
            </w:r>
          </w:p>
        </w:tc>
        <w:tc>
          <w:tcPr>
            <w:tcW w:w="980" w:type="dxa"/>
            <w:vAlign w:val="center"/>
          </w:tcPr>
          <w:p>
            <w:pPr>
              <w:widowControl/>
              <w:jc w:val="center"/>
              <w:rPr>
                <w:color w:val="auto"/>
                <w:kern w:val="0"/>
                <w:szCs w:val="21"/>
              </w:rPr>
            </w:pPr>
            <w:r>
              <w:rPr>
                <w:color w:val="auto"/>
                <w:kern w:val="0"/>
                <w:szCs w:val="21"/>
              </w:rPr>
              <w:t>大气压（kPa）</w:t>
            </w:r>
          </w:p>
        </w:tc>
        <w:tc>
          <w:tcPr>
            <w:tcW w:w="900" w:type="dxa"/>
            <w:vAlign w:val="center"/>
          </w:tcPr>
          <w:p>
            <w:pPr>
              <w:widowControl/>
              <w:jc w:val="center"/>
              <w:rPr>
                <w:color w:val="auto"/>
                <w:kern w:val="0"/>
                <w:szCs w:val="21"/>
              </w:rPr>
            </w:pPr>
            <w:r>
              <w:rPr>
                <w:color w:val="auto"/>
                <w:kern w:val="0"/>
                <w:szCs w:val="21"/>
              </w:rPr>
              <w:t>风速（m/s）</w:t>
            </w:r>
          </w:p>
        </w:tc>
        <w:tc>
          <w:tcPr>
            <w:tcW w:w="541" w:type="dxa"/>
            <w:vAlign w:val="center"/>
          </w:tcPr>
          <w:p>
            <w:pPr>
              <w:widowControl/>
              <w:jc w:val="center"/>
              <w:rPr>
                <w:color w:val="auto"/>
                <w:kern w:val="0"/>
                <w:szCs w:val="21"/>
              </w:rPr>
            </w:pPr>
            <w:r>
              <w:rPr>
                <w:color w:val="auto"/>
                <w:kern w:val="0"/>
                <w:szCs w:val="21"/>
              </w:rPr>
              <w:t>风向</w:t>
            </w:r>
          </w:p>
        </w:tc>
        <w:tc>
          <w:tcPr>
            <w:tcW w:w="771" w:type="dxa"/>
            <w:vAlign w:val="center"/>
          </w:tcPr>
          <w:p>
            <w:pPr>
              <w:widowControl/>
              <w:jc w:val="center"/>
              <w:rPr>
                <w:color w:val="auto"/>
                <w:kern w:val="0"/>
                <w:szCs w:val="21"/>
              </w:rPr>
            </w:pPr>
            <w:r>
              <w:rPr>
                <w:color w:val="auto"/>
                <w:kern w:val="0"/>
                <w:szCs w:val="21"/>
              </w:rPr>
              <w:t>天气状况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restart"/>
            <w:vAlign w:val="center"/>
          </w:tcPr>
          <w:p>
            <w:pPr>
              <w:jc w:val="center"/>
              <w:rPr>
                <w:color w:val="auto"/>
                <w:szCs w:val="21"/>
              </w:rPr>
            </w:pPr>
            <w:r>
              <w:rPr>
                <w:color w:val="auto"/>
                <w:szCs w:val="21"/>
              </w:rPr>
              <w:t>A1（厂址）</w:t>
            </w:r>
          </w:p>
          <w:p>
            <w:pPr>
              <w:widowControl/>
              <w:jc w:val="center"/>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5.18</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spacing w:line="360" w:lineRule="auto"/>
              <w:jc w:val="center"/>
              <w:textAlignment w:val="center"/>
              <w:rPr>
                <w:color w:val="auto"/>
                <w:szCs w:val="21"/>
              </w:rPr>
            </w:pPr>
            <w:r>
              <w:rPr>
                <w:rFonts w:hint="eastAsia"/>
                <w:color w:val="auto"/>
                <w:szCs w:val="21"/>
              </w:rPr>
              <w:t>0.62</w:t>
            </w:r>
          </w:p>
        </w:tc>
        <w:tc>
          <w:tcPr>
            <w:tcW w:w="1260" w:type="dxa"/>
            <w:vAlign w:val="center"/>
          </w:tcPr>
          <w:p>
            <w:pPr>
              <w:widowControl/>
              <w:jc w:val="center"/>
              <w:textAlignment w:val="center"/>
              <w:rPr>
                <w:color w:val="auto"/>
                <w:szCs w:val="21"/>
              </w:rPr>
            </w:pPr>
            <w:r>
              <w:rPr>
                <w:rFonts w:hint="eastAsia"/>
                <w:color w:val="auto"/>
                <w:szCs w:val="21"/>
              </w:rPr>
              <w:t>3.0</w:t>
            </w:r>
          </w:p>
        </w:tc>
        <w:tc>
          <w:tcPr>
            <w:tcW w:w="1400" w:type="dxa"/>
            <w:vAlign w:val="center"/>
          </w:tcPr>
          <w:p>
            <w:pPr>
              <w:widowControl/>
              <w:jc w:val="center"/>
              <w:textAlignment w:val="center"/>
              <w:rPr>
                <w:color w:val="auto"/>
                <w:szCs w:val="21"/>
              </w:rPr>
            </w:pPr>
            <w:r>
              <w:rPr>
                <w:rFonts w:hint="eastAsia"/>
                <w:color w:val="auto"/>
                <w:szCs w:val="21"/>
              </w:rPr>
              <w:t>148.8</w:t>
            </w:r>
          </w:p>
        </w:tc>
        <w:tc>
          <w:tcPr>
            <w:tcW w:w="1380" w:type="dxa"/>
            <w:vMerge w:val="restart"/>
            <w:vAlign w:val="center"/>
          </w:tcPr>
          <w:p>
            <w:pPr>
              <w:widowControl/>
              <w:jc w:val="center"/>
              <w:textAlignment w:val="center"/>
              <w:rPr>
                <w:color w:val="auto"/>
                <w:kern w:val="0"/>
                <w:szCs w:val="21"/>
              </w:rPr>
            </w:pPr>
            <w:r>
              <w:rPr>
                <w:color w:val="auto"/>
                <w:kern w:val="0"/>
                <w:szCs w:val="21"/>
                <w:lang w:bidi="ar"/>
              </w:rPr>
              <w:t>226.5</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165</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0.0003</w:t>
            </w:r>
          </w:p>
        </w:tc>
        <w:tc>
          <w:tcPr>
            <w:tcW w:w="780" w:type="dxa"/>
            <w:vAlign w:val="center"/>
          </w:tcPr>
          <w:p>
            <w:pPr>
              <w:widowControl/>
              <w:spacing w:line="360" w:lineRule="auto"/>
              <w:jc w:val="center"/>
              <w:rPr>
                <w:color w:val="auto"/>
                <w:kern w:val="0"/>
                <w:szCs w:val="21"/>
              </w:rPr>
            </w:pPr>
            <w:r>
              <w:rPr>
                <w:rFonts w:hint="eastAsia"/>
                <w:color w:val="auto"/>
                <w:kern w:val="0"/>
                <w:szCs w:val="21"/>
              </w:rPr>
              <w:t>23.5</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rPr>
                <w:color w:val="auto"/>
                <w:kern w:val="0"/>
                <w:szCs w:val="21"/>
              </w:rPr>
            </w:pPr>
            <w:r>
              <w:rPr>
                <w:rFonts w:hint="eastAsia"/>
                <w:color w:val="auto"/>
                <w:kern w:val="0"/>
                <w:szCs w:val="21"/>
              </w:rPr>
              <w:t>南</w:t>
            </w:r>
          </w:p>
        </w:tc>
        <w:tc>
          <w:tcPr>
            <w:tcW w:w="771" w:type="dxa"/>
            <w:vMerge w:val="restart"/>
            <w:vAlign w:val="center"/>
          </w:tcPr>
          <w:p>
            <w:pPr>
              <w:widowControl/>
              <w:jc w:val="center"/>
              <w:rPr>
                <w:color w:val="auto"/>
                <w:kern w:val="0"/>
                <w:szCs w:val="21"/>
              </w:rPr>
            </w:pPr>
            <w:r>
              <w:rPr>
                <w:rFonts w:hint="eastAsia"/>
                <w:color w:val="auto"/>
                <w:kern w:val="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spacing w:line="360" w:lineRule="auto"/>
              <w:jc w:val="center"/>
              <w:textAlignment w:val="center"/>
              <w:rPr>
                <w:color w:val="auto"/>
                <w:szCs w:val="21"/>
              </w:rPr>
            </w:pPr>
            <w:r>
              <w:rPr>
                <w:rFonts w:hint="eastAsia"/>
                <w:color w:val="auto"/>
                <w:szCs w:val="21"/>
              </w:rPr>
              <w:t>0.63</w:t>
            </w:r>
          </w:p>
        </w:tc>
        <w:tc>
          <w:tcPr>
            <w:tcW w:w="1260" w:type="dxa"/>
            <w:vAlign w:val="center"/>
          </w:tcPr>
          <w:p>
            <w:pPr>
              <w:widowControl/>
              <w:jc w:val="center"/>
              <w:textAlignment w:val="center"/>
              <w:rPr>
                <w:color w:val="auto"/>
                <w:szCs w:val="21"/>
              </w:rPr>
            </w:pPr>
            <w:r>
              <w:rPr>
                <w:rFonts w:hint="eastAsia"/>
                <w:color w:val="auto"/>
                <w:szCs w:val="21"/>
              </w:rPr>
              <w:t>3.4</w:t>
            </w:r>
          </w:p>
        </w:tc>
        <w:tc>
          <w:tcPr>
            <w:tcW w:w="1400" w:type="dxa"/>
            <w:vAlign w:val="center"/>
          </w:tcPr>
          <w:p>
            <w:pPr>
              <w:widowControl/>
              <w:jc w:val="center"/>
              <w:textAlignment w:val="center"/>
              <w:rPr>
                <w:color w:val="auto"/>
                <w:szCs w:val="21"/>
              </w:rPr>
            </w:pPr>
            <w:r>
              <w:rPr>
                <w:rFonts w:hint="eastAsia"/>
                <w:color w:val="auto"/>
                <w:szCs w:val="21"/>
              </w:rPr>
              <w:t>195.7</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28.6</w:t>
            </w:r>
          </w:p>
        </w:tc>
        <w:tc>
          <w:tcPr>
            <w:tcW w:w="980" w:type="dxa"/>
            <w:vAlign w:val="center"/>
          </w:tcPr>
          <w:p>
            <w:pPr>
              <w:widowControl/>
              <w:spacing w:line="360" w:lineRule="auto"/>
              <w:jc w:val="center"/>
              <w:rPr>
                <w:color w:val="auto"/>
                <w:kern w:val="0"/>
                <w:szCs w:val="21"/>
              </w:rPr>
            </w:pPr>
            <w:r>
              <w:rPr>
                <w:rFonts w:hint="eastAsia"/>
                <w:color w:val="auto"/>
                <w:kern w:val="0"/>
                <w:szCs w:val="21"/>
              </w:rPr>
              <w:t>100.6</w:t>
            </w:r>
          </w:p>
        </w:tc>
        <w:tc>
          <w:tcPr>
            <w:tcW w:w="900" w:type="dxa"/>
            <w:vAlign w:val="center"/>
          </w:tcPr>
          <w:p>
            <w:pPr>
              <w:widowControl/>
              <w:spacing w:line="360" w:lineRule="auto"/>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spacing w:line="360" w:lineRule="auto"/>
              <w:jc w:val="center"/>
              <w:textAlignment w:val="center"/>
              <w:rPr>
                <w:color w:val="auto"/>
                <w:szCs w:val="21"/>
              </w:rPr>
            </w:pPr>
            <w:r>
              <w:rPr>
                <w:rFonts w:hint="eastAsia"/>
                <w:color w:val="auto"/>
                <w:szCs w:val="21"/>
              </w:rPr>
              <w:t>0.62</w:t>
            </w:r>
          </w:p>
        </w:tc>
        <w:tc>
          <w:tcPr>
            <w:tcW w:w="1260" w:type="dxa"/>
            <w:vAlign w:val="center"/>
          </w:tcPr>
          <w:p>
            <w:pPr>
              <w:widowControl/>
              <w:jc w:val="center"/>
              <w:textAlignment w:val="center"/>
              <w:rPr>
                <w:color w:val="auto"/>
                <w:szCs w:val="21"/>
              </w:rPr>
            </w:pPr>
            <w:r>
              <w:rPr>
                <w:rFonts w:hint="eastAsia"/>
                <w:color w:val="auto"/>
                <w:szCs w:val="21"/>
              </w:rPr>
              <w:t>3.0</w:t>
            </w:r>
          </w:p>
        </w:tc>
        <w:tc>
          <w:tcPr>
            <w:tcW w:w="1400" w:type="dxa"/>
            <w:vAlign w:val="center"/>
          </w:tcPr>
          <w:p>
            <w:pPr>
              <w:widowControl/>
              <w:jc w:val="center"/>
              <w:textAlignment w:val="center"/>
              <w:rPr>
                <w:color w:val="auto"/>
                <w:szCs w:val="21"/>
              </w:rPr>
            </w:pPr>
            <w:r>
              <w:rPr>
                <w:rFonts w:hint="eastAsia"/>
                <w:color w:val="auto"/>
                <w:szCs w:val="21"/>
              </w:rPr>
              <w:t>159.6</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100.4</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0.66</w:t>
            </w:r>
          </w:p>
        </w:tc>
        <w:tc>
          <w:tcPr>
            <w:tcW w:w="1260" w:type="dxa"/>
            <w:vAlign w:val="center"/>
          </w:tcPr>
          <w:p>
            <w:pPr>
              <w:widowControl/>
              <w:jc w:val="center"/>
              <w:textAlignment w:val="center"/>
              <w:rPr>
                <w:color w:val="auto"/>
                <w:szCs w:val="21"/>
              </w:rPr>
            </w:pPr>
            <w:r>
              <w:rPr>
                <w:rFonts w:hint="eastAsia"/>
                <w:color w:val="auto"/>
                <w:szCs w:val="21"/>
              </w:rPr>
              <w:t>2.8</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156.0</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5.19</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0.65 </w:t>
            </w:r>
          </w:p>
        </w:tc>
        <w:tc>
          <w:tcPr>
            <w:tcW w:w="1260" w:type="dxa"/>
            <w:vAlign w:val="center"/>
          </w:tcPr>
          <w:p>
            <w:pPr>
              <w:widowControl/>
              <w:jc w:val="center"/>
              <w:textAlignment w:val="center"/>
              <w:rPr>
                <w:color w:val="auto"/>
                <w:szCs w:val="21"/>
              </w:rPr>
            </w:pPr>
            <w:r>
              <w:rPr>
                <w:rFonts w:hint="eastAsia"/>
                <w:color w:val="auto"/>
                <w:szCs w:val="21"/>
              </w:rPr>
              <w:t>2.2</w:t>
            </w:r>
          </w:p>
        </w:tc>
        <w:tc>
          <w:tcPr>
            <w:tcW w:w="1400" w:type="dxa"/>
            <w:vAlign w:val="center"/>
          </w:tcPr>
          <w:p>
            <w:pPr>
              <w:widowControl/>
              <w:jc w:val="center"/>
              <w:textAlignment w:val="center"/>
              <w:rPr>
                <w:color w:val="auto"/>
                <w:szCs w:val="21"/>
              </w:rPr>
            </w:pPr>
            <w:r>
              <w:rPr>
                <w:rFonts w:hint="eastAsia"/>
                <w:color w:val="auto"/>
                <w:szCs w:val="21"/>
              </w:rPr>
              <w:t>17.0</w:t>
            </w:r>
          </w:p>
        </w:tc>
        <w:tc>
          <w:tcPr>
            <w:tcW w:w="1380" w:type="dxa"/>
            <w:vMerge w:val="restart"/>
            <w:vAlign w:val="center"/>
          </w:tcPr>
          <w:p>
            <w:pPr>
              <w:widowControl/>
              <w:jc w:val="center"/>
              <w:textAlignment w:val="center"/>
              <w:rPr>
                <w:color w:val="auto"/>
                <w:kern w:val="0"/>
                <w:szCs w:val="21"/>
              </w:rPr>
            </w:pPr>
            <w:r>
              <w:rPr>
                <w:color w:val="auto"/>
                <w:kern w:val="0"/>
                <w:szCs w:val="21"/>
                <w:lang w:bidi="ar"/>
              </w:rPr>
              <w:t>195.8</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172</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0.0007</w:t>
            </w:r>
          </w:p>
        </w:tc>
        <w:tc>
          <w:tcPr>
            <w:tcW w:w="780" w:type="dxa"/>
            <w:vAlign w:val="center"/>
          </w:tcPr>
          <w:p>
            <w:pPr>
              <w:widowControl/>
              <w:spacing w:line="360" w:lineRule="auto"/>
              <w:jc w:val="center"/>
              <w:rPr>
                <w:color w:val="auto"/>
                <w:kern w:val="0"/>
                <w:szCs w:val="21"/>
              </w:rPr>
            </w:pPr>
            <w:r>
              <w:rPr>
                <w:rFonts w:hint="eastAsia"/>
                <w:color w:val="auto"/>
                <w:kern w:val="0"/>
                <w:szCs w:val="21"/>
              </w:rPr>
              <w:t>23.3</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rPr>
                <w:color w:val="auto"/>
                <w:kern w:val="0"/>
                <w:szCs w:val="21"/>
              </w:rPr>
            </w:pPr>
            <w:r>
              <w:rPr>
                <w:rFonts w:hint="eastAsia"/>
                <w:color w:val="auto"/>
                <w:kern w:val="0"/>
                <w:szCs w:val="21"/>
              </w:rPr>
              <w:t>南</w:t>
            </w:r>
          </w:p>
        </w:tc>
        <w:tc>
          <w:tcPr>
            <w:tcW w:w="771" w:type="dxa"/>
            <w:vMerge w:val="restart"/>
            <w:vAlign w:val="center"/>
          </w:tcPr>
          <w:p>
            <w:pPr>
              <w:widowControl/>
              <w:jc w:val="center"/>
              <w:rPr>
                <w:color w:val="auto"/>
                <w:kern w:val="0"/>
                <w:szCs w:val="21"/>
              </w:rPr>
            </w:pPr>
            <w:r>
              <w:rPr>
                <w:rFonts w:hint="eastAsia"/>
                <w:color w:val="auto"/>
                <w:kern w:val="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0.54 </w:t>
            </w:r>
          </w:p>
        </w:tc>
        <w:tc>
          <w:tcPr>
            <w:tcW w:w="1260" w:type="dxa"/>
            <w:vAlign w:val="center"/>
          </w:tcPr>
          <w:p>
            <w:pPr>
              <w:widowControl/>
              <w:jc w:val="center"/>
              <w:textAlignment w:val="center"/>
              <w:rPr>
                <w:color w:val="auto"/>
                <w:szCs w:val="21"/>
              </w:rPr>
            </w:pPr>
            <w:r>
              <w:rPr>
                <w:rFonts w:hint="eastAsia"/>
                <w:color w:val="auto"/>
                <w:szCs w:val="21"/>
              </w:rPr>
              <w:t>2.7</w:t>
            </w:r>
          </w:p>
        </w:tc>
        <w:tc>
          <w:tcPr>
            <w:tcW w:w="1400" w:type="dxa"/>
            <w:vAlign w:val="center"/>
          </w:tcPr>
          <w:p>
            <w:pPr>
              <w:widowControl/>
              <w:jc w:val="center"/>
              <w:textAlignment w:val="center"/>
              <w:rPr>
                <w:color w:val="auto"/>
                <w:szCs w:val="21"/>
              </w:rPr>
            </w:pPr>
            <w:r>
              <w:rPr>
                <w:rFonts w:hint="eastAsia"/>
                <w:color w:val="auto"/>
                <w:szCs w:val="21"/>
              </w:rPr>
              <w:t>23.1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30.5</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0.54 </w:t>
            </w:r>
          </w:p>
        </w:tc>
        <w:tc>
          <w:tcPr>
            <w:tcW w:w="1260" w:type="dxa"/>
            <w:vAlign w:val="center"/>
          </w:tcPr>
          <w:p>
            <w:pPr>
              <w:widowControl/>
              <w:jc w:val="center"/>
              <w:textAlignment w:val="center"/>
              <w:rPr>
                <w:color w:val="auto"/>
                <w:szCs w:val="21"/>
              </w:rPr>
            </w:pPr>
            <w:r>
              <w:rPr>
                <w:rFonts w:hint="eastAsia"/>
                <w:color w:val="auto"/>
                <w:szCs w:val="21"/>
              </w:rPr>
              <w:t>1.4</w:t>
            </w:r>
          </w:p>
        </w:tc>
        <w:tc>
          <w:tcPr>
            <w:tcW w:w="1400" w:type="dxa"/>
            <w:vAlign w:val="center"/>
          </w:tcPr>
          <w:p>
            <w:pPr>
              <w:widowControl/>
              <w:jc w:val="center"/>
              <w:textAlignment w:val="center"/>
              <w:rPr>
                <w:color w:val="auto"/>
                <w:szCs w:val="21"/>
              </w:rPr>
            </w:pPr>
            <w:r>
              <w:rPr>
                <w:rFonts w:hint="eastAsia"/>
                <w:color w:val="auto"/>
                <w:szCs w:val="21"/>
              </w:rPr>
              <w:t>18.8</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100.6</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0.60</w:t>
            </w:r>
          </w:p>
        </w:tc>
        <w:tc>
          <w:tcPr>
            <w:tcW w:w="1260" w:type="dxa"/>
            <w:vAlign w:val="center"/>
          </w:tcPr>
          <w:p>
            <w:pPr>
              <w:widowControl/>
              <w:jc w:val="center"/>
              <w:textAlignment w:val="center"/>
              <w:rPr>
                <w:color w:val="auto"/>
                <w:szCs w:val="21"/>
              </w:rPr>
            </w:pPr>
            <w:r>
              <w:rPr>
                <w:rFonts w:hint="eastAsia"/>
                <w:color w:val="auto"/>
                <w:szCs w:val="21"/>
              </w:rPr>
              <w:t>2.4</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23.1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5.20</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0.66 </w:t>
            </w:r>
          </w:p>
        </w:tc>
        <w:tc>
          <w:tcPr>
            <w:tcW w:w="1260" w:type="dxa"/>
            <w:vAlign w:val="center"/>
          </w:tcPr>
          <w:p>
            <w:pPr>
              <w:widowControl/>
              <w:jc w:val="center"/>
              <w:textAlignment w:val="center"/>
              <w:rPr>
                <w:color w:val="auto"/>
                <w:szCs w:val="21"/>
              </w:rPr>
            </w:pPr>
            <w:r>
              <w:rPr>
                <w:rFonts w:hint="eastAsia"/>
                <w:color w:val="auto"/>
                <w:szCs w:val="21"/>
              </w:rPr>
              <w:t>5.4</w:t>
            </w:r>
          </w:p>
        </w:tc>
        <w:tc>
          <w:tcPr>
            <w:tcW w:w="1400" w:type="dxa"/>
            <w:vAlign w:val="center"/>
          </w:tcPr>
          <w:p>
            <w:pPr>
              <w:widowControl/>
              <w:jc w:val="center"/>
              <w:textAlignment w:val="center"/>
              <w:rPr>
                <w:color w:val="auto"/>
                <w:szCs w:val="21"/>
              </w:rPr>
            </w:pPr>
            <w:r>
              <w:rPr>
                <w:rFonts w:hint="eastAsia"/>
                <w:color w:val="auto"/>
                <w:szCs w:val="21"/>
              </w:rPr>
              <w:t>30.3</w:t>
            </w:r>
          </w:p>
        </w:tc>
        <w:tc>
          <w:tcPr>
            <w:tcW w:w="1380" w:type="dxa"/>
            <w:vMerge w:val="restart"/>
            <w:vAlign w:val="center"/>
          </w:tcPr>
          <w:p>
            <w:pPr>
              <w:widowControl/>
              <w:jc w:val="center"/>
              <w:textAlignment w:val="center"/>
              <w:rPr>
                <w:color w:val="auto"/>
                <w:kern w:val="0"/>
                <w:szCs w:val="21"/>
              </w:rPr>
            </w:pPr>
            <w:r>
              <w:rPr>
                <w:color w:val="auto"/>
                <w:kern w:val="0"/>
                <w:szCs w:val="21"/>
                <w:lang w:bidi="ar"/>
              </w:rPr>
              <w:t>199.3</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222</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0.0005</w:t>
            </w:r>
          </w:p>
        </w:tc>
        <w:tc>
          <w:tcPr>
            <w:tcW w:w="780" w:type="dxa"/>
            <w:vAlign w:val="center"/>
          </w:tcPr>
          <w:p>
            <w:pPr>
              <w:widowControl/>
              <w:spacing w:line="360" w:lineRule="auto"/>
              <w:jc w:val="center"/>
              <w:rPr>
                <w:color w:val="auto"/>
                <w:kern w:val="0"/>
                <w:szCs w:val="21"/>
              </w:rPr>
            </w:pPr>
            <w:r>
              <w:rPr>
                <w:rFonts w:hint="eastAsia"/>
                <w:color w:val="auto"/>
                <w:kern w:val="0"/>
                <w:szCs w:val="21"/>
              </w:rPr>
              <w:t>22.4</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rPr>
                <w:color w:val="auto"/>
                <w:kern w:val="0"/>
                <w:szCs w:val="21"/>
              </w:rPr>
            </w:pPr>
            <w:r>
              <w:rPr>
                <w:rFonts w:hint="eastAsia"/>
                <w:color w:val="auto"/>
                <w:kern w:val="0"/>
                <w:szCs w:val="21"/>
              </w:rPr>
              <w:t>东南</w:t>
            </w:r>
          </w:p>
        </w:tc>
        <w:tc>
          <w:tcPr>
            <w:tcW w:w="771" w:type="dxa"/>
            <w:vMerge w:val="restart"/>
            <w:vAlign w:val="center"/>
          </w:tcPr>
          <w:p>
            <w:pPr>
              <w:widowControl/>
              <w:jc w:val="center"/>
              <w:rPr>
                <w:color w:val="auto"/>
                <w:kern w:val="0"/>
                <w:szCs w:val="21"/>
              </w:rPr>
            </w:pPr>
            <w:r>
              <w:rPr>
                <w:rFonts w:hint="eastAsia"/>
                <w:color w:val="auto"/>
                <w:kern w:val="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0.53 </w:t>
            </w:r>
          </w:p>
        </w:tc>
        <w:tc>
          <w:tcPr>
            <w:tcW w:w="1260" w:type="dxa"/>
            <w:vAlign w:val="center"/>
          </w:tcPr>
          <w:p>
            <w:pPr>
              <w:widowControl/>
              <w:jc w:val="center"/>
              <w:textAlignment w:val="center"/>
              <w:rPr>
                <w:color w:val="auto"/>
                <w:szCs w:val="21"/>
              </w:rPr>
            </w:pPr>
            <w:r>
              <w:rPr>
                <w:rFonts w:hint="eastAsia"/>
                <w:color w:val="auto"/>
                <w:szCs w:val="21"/>
              </w:rPr>
              <w:t>1.4</w:t>
            </w:r>
          </w:p>
        </w:tc>
        <w:tc>
          <w:tcPr>
            <w:tcW w:w="1400" w:type="dxa"/>
            <w:vAlign w:val="center"/>
          </w:tcPr>
          <w:p>
            <w:pPr>
              <w:widowControl/>
              <w:jc w:val="center"/>
              <w:textAlignment w:val="center"/>
              <w:rPr>
                <w:color w:val="auto"/>
                <w:szCs w:val="21"/>
              </w:rPr>
            </w:pPr>
            <w:r>
              <w:rPr>
                <w:rFonts w:hint="eastAsia"/>
                <w:color w:val="auto"/>
                <w:szCs w:val="21"/>
              </w:rPr>
              <w:t>16.4</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31.4</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0.55 </w:t>
            </w:r>
          </w:p>
        </w:tc>
        <w:tc>
          <w:tcPr>
            <w:tcW w:w="1260" w:type="dxa"/>
            <w:vAlign w:val="center"/>
          </w:tcPr>
          <w:p>
            <w:pPr>
              <w:widowControl/>
              <w:jc w:val="center"/>
              <w:textAlignment w:val="center"/>
              <w:rPr>
                <w:color w:val="auto"/>
                <w:szCs w:val="21"/>
              </w:rPr>
            </w:pPr>
            <w:r>
              <w:rPr>
                <w:rFonts w:hint="eastAsia"/>
                <w:color w:val="auto"/>
                <w:szCs w:val="21"/>
              </w:rPr>
              <w:t>1.5</w:t>
            </w:r>
          </w:p>
        </w:tc>
        <w:tc>
          <w:tcPr>
            <w:tcW w:w="1400" w:type="dxa"/>
            <w:vAlign w:val="center"/>
          </w:tcPr>
          <w:p>
            <w:pPr>
              <w:widowControl/>
              <w:jc w:val="center"/>
              <w:textAlignment w:val="center"/>
              <w:rPr>
                <w:color w:val="auto"/>
              </w:rPr>
            </w:pPr>
            <w:r>
              <w:rPr>
                <w:rFonts w:hint="eastAsia"/>
                <w:color w:val="auto"/>
              </w:rPr>
              <w:t>18.0</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0.53</w:t>
            </w:r>
          </w:p>
        </w:tc>
        <w:tc>
          <w:tcPr>
            <w:tcW w:w="1260" w:type="dxa"/>
            <w:vAlign w:val="center"/>
          </w:tcPr>
          <w:p>
            <w:pPr>
              <w:widowControl/>
              <w:jc w:val="center"/>
              <w:textAlignment w:val="center"/>
              <w:rPr>
                <w:color w:val="auto"/>
                <w:szCs w:val="21"/>
              </w:rPr>
            </w:pPr>
            <w:r>
              <w:rPr>
                <w:rFonts w:hint="eastAsia"/>
                <w:color w:val="auto"/>
                <w:szCs w:val="21"/>
              </w:rPr>
              <w:t>1.5</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16.9</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5.21</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0.62 </w:t>
            </w:r>
          </w:p>
        </w:tc>
        <w:tc>
          <w:tcPr>
            <w:tcW w:w="1260" w:type="dxa"/>
            <w:vAlign w:val="center"/>
          </w:tcPr>
          <w:p>
            <w:pPr>
              <w:widowControl/>
              <w:jc w:val="center"/>
              <w:textAlignment w:val="center"/>
              <w:rPr>
                <w:color w:val="auto"/>
                <w:szCs w:val="21"/>
              </w:rPr>
            </w:pPr>
            <w:r>
              <w:rPr>
                <w:rFonts w:hint="eastAsia"/>
                <w:color w:val="auto"/>
                <w:szCs w:val="21"/>
              </w:rPr>
              <w:t>1.6</w:t>
            </w:r>
          </w:p>
        </w:tc>
        <w:tc>
          <w:tcPr>
            <w:tcW w:w="1400" w:type="dxa"/>
            <w:vAlign w:val="center"/>
          </w:tcPr>
          <w:p>
            <w:pPr>
              <w:widowControl/>
              <w:jc w:val="center"/>
              <w:textAlignment w:val="center"/>
              <w:rPr>
                <w:color w:val="auto"/>
                <w:szCs w:val="21"/>
              </w:rPr>
            </w:pPr>
            <w:r>
              <w:rPr>
                <w:rFonts w:hint="eastAsia"/>
                <w:color w:val="auto"/>
                <w:szCs w:val="21"/>
              </w:rPr>
              <w:t>17.0</w:t>
            </w:r>
          </w:p>
        </w:tc>
        <w:tc>
          <w:tcPr>
            <w:tcW w:w="1380" w:type="dxa"/>
            <w:vMerge w:val="restart"/>
            <w:vAlign w:val="center"/>
          </w:tcPr>
          <w:p>
            <w:pPr>
              <w:widowControl/>
              <w:jc w:val="center"/>
              <w:textAlignment w:val="center"/>
              <w:rPr>
                <w:color w:val="auto"/>
                <w:kern w:val="0"/>
                <w:szCs w:val="21"/>
              </w:rPr>
            </w:pPr>
            <w:r>
              <w:rPr>
                <w:color w:val="auto"/>
                <w:kern w:val="0"/>
                <w:szCs w:val="21"/>
                <w:lang w:bidi="ar"/>
              </w:rPr>
              <w:t>190.7</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196</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0.0005</w:t>
            </w:r>
          </w:p>
        </w:tc>
        <w:tc>
          <w:tcPr>
            <w:tcW w:w="780" w:type="dxa"/>
            <w:vAlign w:val="center"/>
          </w:tcPr>
          <w:p>
            <w:pPr>
              <w:widowControl/>
              <w:spacing w:line="360" w:lineRule="auto"/>
              <w:jc w:val="center"/>
              <w:rPr>
                <w:color w:val="auto"/>
                <w:kern w:val="0"/>
                <w:szCs w:val="21"/>
              </w:rPr>
            </w:pPr>
            <w:r>
              <w:rPr>
                <w:rFonts w:hint="eastAsia"/>
                <w:color w:val="auto"/>
                <w:kern w:val="0"/>
                <w:szCs w:val="21"/>
              </w:rPr>
              <w:t>23.4</w:t>
            </w:r>
          </w:p>
        </w:tc>
        <w:tc>
          <w:tcPr>
            <w:tcW w:w="980" w:type="dxa"/>
            <w:vAlign w:val="center"/>
          </w:tcPr>
          <w:p>
            <w:pPr>
              <w:widowControl/>
              <w:spacing w:line="360" w:lineRule="auto"/>
              <w:jc w:val="center"/>
              <w:rPr>
                <w:color w:val="auto"/>
                <w:kern w:val="0"/>
                <w:szCs w:val="21"/>
              </w:rPr>
            </w:pPr>
            <w:r>
              <w:rPr>
                <w:rFonts w:hint="eastAsia"/>
                <w:color w:val="auto"/>
                <w:kern w:val="0"/>
                <w:szCs w:val="21"/>
              </w:rPr>
              <w:t>101.2</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rPr>
                <w:color w:val="auto"/>
                <w:kern w:val="0"/>
                <w:szCs w:val="21"/>
              </w:rPr>
            </w:pPr>
            <w:r>
              <w:rPr>
                <w:rFonts w:hint="eastAsia"/>
                <w:color w:val="auto"/>
                <w:kern w:val="0"/>
                <w:szCs w:val="21"/>
              </w:rPr>
              <w:t>东南</w:t>
            </w:r>
          </w:p>
        </w:tc>
        <w:tc>
          <w:tcPr>
            <w:tcW w:w="771" w:type="dxa"/>
            <w:vMerge w:val="restart"/>
            <w:vAlign w:val="center"/>
          </w:tcPr>
          <w:p>
            <w:pPr>
              <w:widowControl/>
              <w:jc w:val="center"/>
              <w:rPr>
                <w:color w:val="auto"/>
                <w:kern w:val="0"/>
                <w:szCs w:val="21"/>
              </w:rPr>
            </w:pPr>
            <w:r>
              <w:rPr>
                <w:rFonts w:hint="eastAsia"/>
                <w:color w:val="auto"/>
                <w:kern w:val="0"/>
                <w:szCs w:val="21"/>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spacing w:line="360" w:lineRule="auto"/>
              <w:jc w:val="center"/>
              <w:textAlignment w:val="center"/>
              <w:rPr>
                <w:color w:val="auto"/>
                <w:szCs w:val="21"/>
              </w:rPr>
            </w:pPr>
            <w:r>
              <w:rPr>
                <w:rFonts w:hint="eastAsia"/>
                <w:color w:val="auto"/>
                <w:szCs w:val="21"/>
              </w:rPr>
              <w:t>0.57</w:t>
            </w:r>
          </w:p>
        </w:tc>
        <w:tc>
          <w:tcPr>
            <w:tcW w:w="1260" w:type="dxa"/>
            <w:vAlign w:val="center"/>
          </w:tcPr>
          <w:p>
            <w:pPr>
              <w:widowControl/>
              <w:jc w:val="center"/>
              <w:textAlignment w:val="center"/>
              <w:rPr>
                <w:color w:val="auto"/>
                <w:szCs w:val="21"/>
              </w:rPr>
            </w:pPr>
            <w:r>
              <w:rPr>
                <w:rFonts w:hint="eastAsia"/>
                <w:color w:val="auto"/>
                <w:szCs w:val="21"/>
              </w:rPr>
              <w:t>1.5</w:t>
            </w:r>
          </w:p>
        </w:tc>
        <w:tc>
          <w:tcPr>
            <w:tcW w:w="1400" w:type="dxa"/>
            <w:vAlign w:val="center"/>
          </w:tcPr>
          <w:p>
            <w:pPr>
              <w:widowControl/>
              <w:jc w:val="center"/>
              <w:textAlignment w:val="center"/>
              <w:rPr>
                <w:color w:val="auto"/>
                <w:szCs w:val="21"/>
              </w:rPr>
            </w:pPr>
            <w:r>
              <w:rPr>
                <w:rFonts w:hint="eastAsia"/>
                <w:color w:val="auto"/>
                <w:szCs w:val="21"/>
              </w:rPr>
              <w:t>14.3</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28.4</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0.50 </w:t>
            </w:r>
          </w:p>
        </w:tc>
        <w:tc>
          <w:tcPr>
            <w:tcW w:w="1260" w:type="dxa"/>
            <w:vAlign w:val="center"/>
          </w:tcPr>
          <w:p>
            <w:pPr>
              <w:widowControl/>
              <w:jc w:val="center"/>
              <w:textAlignment w:val="center"/>
              <w:rPr>
                <w:color w:val="auto"/>
                <w:szCs w:val="21"/>
              </w:rPr>
            </w:pPr>
            <w:r>
              <w:rPr>
                <w:rFonts w:hint="eastAsia"/>
                <w:color w:val="auto"/>
                <w:szCs w:val="21"/>
              </w:rPr>
              <w:t>1.8</w:t>
            </w:r>
          </w:p>
        </w:tc>
        <w:tc>
          <w:tcPr>
            <w:tcW w:w="1400" w:type="dxa"/>
            <w:vAlign w:val="center"/>
          </w:tcPr>
          <w:p>
            <w:pPr>
              <w:widowControl/>
              <w:jc w:val="center"/>
              <w:textAlignment w:val="center"/>
              <w:rPr>
                <w:color w:val="auto"/>
                <w:szCs w:val="21"/>
              </w:rPr>
            </w:pPr>
            <w:r>
              <w:rPr>
                <w:rFonts w:hint="eastAsia"/>
                <w:color w:val="auto"/>
                <w:szCs w:val="21"/>
              </w:rPr>
              <w:t>15.1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0.58 </w:t>
            </w:r>
          </w:p>
        </w:tc>
        <w:tc>
          <w:tcPr>
            <w:tcW w:w="1260" w:type="dxa"/>
            <w:vAlign w:val="center"/>
          </w:tcPr>
          <w:p>
            <w:pPr>
              <w:widowControl/>
              <w:jc w:val="center"/>
              <w:textAlignment w:val="center"/>
              <w:rPr>
                <w:color w:val="auto"/>
                <w:szCs w:val="21"/>
              </w:rPr>
            </w:pPr>
            <w:r>
              <w:rPr>
                <w:rFonts w:hint="eastAsia"/>
                <w:color w:val="auto"/>
                <w:szCs w:val="21"/>
              </w:rPr>
              <w:t>1.6</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16.3</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25.7</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5.22</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0.59 </w:t>
            </w:r>
          </w:p>
        </w:tc>
        <w:tc>
          <w:tcPr>
            <w:tcW w:w="1260" w:type="dxa"/>
            <w:vAlign w:val="center"/>
          </w:tcPr>
          <w:p>
            <w:pPr>
              <w:widowControl/>
              <w:jc w:val="center"/>
              <w:textAlignment w:val="center"/>
              <w:rPr>
                <w:color w:val="auto"/>
                <w:szCs w:val="21"/>
              </w:rPr>
            </w:pPr>
            <w:r>
              <w:rPr>
                <w:rFonts w:hint="eastAsia"/>
                <w:color w:val="auto"/>
                <w:szCs w:val="21"/>
              </w:rPr>
              <w:t>2.6</w:t>
            </w:r>
          </w:p>
        </w:tc>
        <w:tc>
          <w:tcPr>
            <w:tcW w:w="1400" w:type="dxa"/>
            <w:vAlign w:val="center"/>
          </w:tcPr>
          <w:p>
            <w:pPr>
              <w:widowControl/>
              <w:jc w:val="center"/>
              <w:textAlignment w:val="center"/>
              <w:rPr>
                <w:color w:val="auto"/>
                <w:szCs w:val="21"/>
              </w:rPr>
            </w:pPr>
            <w:r>
              <w:rPr>
                <w:rFonts w:hint="eastAsia"/>
                <w:color w:val="auto"/>
                <w:szCs w:val="21"/>
              </w:rPr>
              <w:t>34.4</w:t>
            </w:r>
          </w:p>
        </w:tc>
        <w:tc>
          <w:tcPr>
            <w:tcW w:w="1380" w:type="dxa"/>
            <w:vMerge w:val="restart"/>
            <w:vAlign w:val="center"/>
          </w:tcPr>
          <w:p>
            <w:pPr>
              <w:widowControl/>
              <w:jc w:val="center"/>
              <w:textAlignment w:val="center"/>
              <w:rPr>
                <w:color w:val="auto"/>
                <w:kern w:val="0"/>
                <w:szCs w:val="21"/>
              </w:rPr>
            </w:pPr>
            <w:r>
              <w:rPr>
                <w:color w:val="auto"/>
                <w:kern w:val="0"/>
                <w:szCs w:val="21"/>
                <w:lang w:bidi="ar"/>
              </w:rPr>
              <w:t>195.4</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188</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0.0009</w:t>
            </w:r>
          </w:p>
        </w:tc>
        <w:tc>
          <w:tcPr>
            <w:tcW w:w="780" w:type="dxa"/>
            <w:vAlign w:val="center"/>
          </w:tcPr>
          <w:p>
            <w:pPr>
              <w:widowControl/>
              <w:spacing w:line="360" w:lineRule="auto"/>
              <w:jc w:val="center"/>
              <w:rPr>
                <w:color w:val="auto"/>
                <w:kern w:val="0"/>
                <w:szCs w:val="21"/>
              </w:rPr>
            </w:pPr>
            <w:r>
              <w:rPr>
                <w:rFonts w:hint="eastAsia"/>
                <w:color w:val="auto"/>
                <w:kern w:val="0"/>
                <w:szCs w:val="21"/>
              </w:rPr>
              <w:t>23.1</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restart"/>
            <w:vAlign w:val="center"/>
          </w:tcPr>
          <w:p>
            <w:pPr>
              <w:widowControl/>
              <w:jc w:val="center"/>
              <w:rPr>
                <w:color w:val="auto"/>
                <w:kern w:val="0"/>
                <w:szCs w:val="21"/>
              </w:rPr>
            </w:pPr>
            <w:r>
              <w:rPr>
                <w:rFonts w:hint="eastAsia"/>
                <w:color w:val="auto"/>
                <w:kern w:val="0"/>
                <w:szCs w:val="21"/>
              </w:rPr>
              <w:t>南</w:t>
            </w:r>
          </w:p>
        </w:tc>
        <w:tc>
          <w:tcPr>
            <w:tcW w:w="771" w:type="dxa"/>
            <w:vMerge w:val="restart"/>
            <w:vAlign w:val="center"/>
          </w:tcPr>
          <w:p>
            <w:pPr>
              <w:widowControl/>
              <w:jc w:val="center"/>
              <w:rPr>
                <w:color w:val="auto"/>
                <w:kern w:val="0"/>
                <w:szCs w:val="21"/>
              </w:rPr>
            </w:pPr>
            <w:r>
              <w:rPr>
                <w:rFonts w:hint="eastAsia"/>
                <w:color w:val="auto"/>
                <w:kern w:val="0"/>
                <w:szCs w:val="21"/>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0.62 </w:t>
            </w:r>
          </w:p>
        </w:tc>
        <w:tc>
          <w:tcPr>
            <w:tcW w:w="1260" w:type="dxa"/>
            <w:vAlign w:val="center"/>
          </w:tcPr>
          <w:p>
            <w:pPr>
              <w:widowControl/>
              <w:jc w:val="center"/>
              <w:textAlignment w:val="center"/>
              <w:rPr>
                <w:color w:val="auto"/>
                <w:szCs w:val="21"/>
              </w:rPr>
            </w:pPr>
            <w:r>
              <w:rPr>
                <w:rFonts w:hint="eastAsia"/>
                <w:color w:val="auto"/>
                <w:szCs w:val="21"/>
              </w:rPr>
              <w:t>1.6</w:t>
            </w:r>
          </w:p>
        </w:tc>
        <w:tc>
          <w:tcPr>
            <w:tcW w:w="1400" w:type="dxa"/>
            <w:vAlign w:val="center"/>
          </w:tcPr>
          <w:p>
            <w:pPr>
              <w:widowControl/>
              <w:jc w:val="center"/>
              <w:textAlignment w:val="center"/>
              <w:rPr>
                <w:color w:val="auto"/>
                <w:szCs w:val="21"/>
              </w:rPr>
            </w:pPr>
            <w:r>
              <w:rPr>
                <w:rFonts w:hint="eastAsia"/>
                <w:color w:val="auto"/>
                <w:szCs w:val="21"/>
              </w:rPr>
              <w:t>64.6</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29.7</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0.54 </w:t>
            </w:r>
          </w:p>
        </w:tc>
        <w:tc>
          <w:tcPr>
            <w:tcW w:w="1260" w:type="dxa"/>
            <w:vAlign w:val="center"/>
          </w:tcPr>
          <w:p>
            <w:pPr>
              <w:widowControl/>
              <w:jc w:val="center"/>
              <w:textAlignment w:val="center"/>
              <w:rPr>
                <w:color w:val="auto"/>
                <w:szCs w:val="21"/>
              </w:rPr>
            </w:pPr>
            <w:r>
              <w:rPr>
                <w:rFonts w:hint="eastAsia"/>
                <w:color w:val="auto"/>
                <w:szCs w:val="21"/>
              </w:rPr>
              <w:t>5.0</w:t>
            </w:r>
          </w:p>
        </w:tc>
        <w:tc>
          <w:tcPr>
            <w:tcW w:w="1400" w:type="dxa"/>
            <w:vAlign w:val="center"/>
          </w:tcPr>
          <w:p>
            <w:pPr>
              <w:widowControl/>
              <w:jc w:val="center"/>
              <w:textAlignment w:val="center"/>
              <w:rPr>
                <w:color w:val="auto"/>
                <w:szCs w:val="21"/>
              </w:rPr>
            </w:pPr>
            <w:r>
              <w:rPr>
                <w:rFonts w:hint="eastAsia"/>
                <w:color w:val="auto"/>
                <w:szCs w:val="21"/>
              </w:rPr>
              <w:t>104.1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32.5</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0.59</w:t>
            </w:r>
          </w:p>
        </w:tc>
        <w:tc>
          <w:tcPr>
            <w:tcW w:w="1260" w:type="dxa"/>
            <w:vAlign w:val="center"/>
          </w:tcPr>
          <w:p>
            <w:pPr>
              <w:widowControl/>
              <w:jc w:val="center"/>
              <w:textAlignment w:val="center"/>
              <w:rPr>
                <w:color w:val="auto"/>
                <w:szCs w:val="21"/>
              </w:rPr>
            </w:pPr>
            <w:r>
              <w:rPr>
                <w:rFonts w:hint="eastAsia"/>
                <w:color w:val="auto"/>
                <w:szCs w:val="21"/>
              </w:rPr>
              <w:t>2.1</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46.0</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25.3</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5.23</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0.61 </w:t>
            </w:r>
          </w:p>
        </w:tc>
        <w:tc>
          <w:tcPr>
            <w:tcW w:w="1260" w:type="dxa"/>
            <w:vAlign w:val="center"/>
          </w:tcPr>
          <w:p>
            <w:pPr>
              <w:widowControl/>
              <w:jc w:val="center"/>
              <w:textAlignment w:val="center"/>
              <w:rPr>
                <w:color w:val="auto"/>
                <w:szCs w:val="21"/>
              </w:rPr>
            </w:pPr>
            <w:r>
              <w:rPr>
                <w:rFonts w:hint="eastAsia"/>
                <w:color w:val="auto"/>
                <w:szCs w:val="21"/>
              </w:rPr>
              <w:t>1.8</w:t>
            </w:r>
          </w:p>
        </w:tc>
        <w:tc>
          <w:tcPr>
            <w:tcW w:w="1400" w:type="dxa"/>
            <w:vAlign w:val="center"/>
          </w:tcPr>
          <w:p>
            <w:pPr>
              <w:widowControl/>
              <w:jc w:val="center"/>
              <w:textAlignment w:val="center"/>
              <w:rPr>
                <w:color w:val="auto"/>
                <w:szCs w:val="21"/>
              </w:rPr>
            </w:pPr>
            <w:r>
              <w:rPr>
                <w:rFonts w:hint="eastAsia"/>
                <w:color w:val="auto"/>
                <w:szCs w:val="21"/>
              </w:rPr>
              <w:t>33.6</w:t>
            </w:r>
          </w:p>
        </w:tc>
        <w:tc>
          <w:tcPr>
            <w:tcW w:w="1380" w:type="dxa"/>
            <w:vMerge w:val="restart"/>
            <w:vAlign w:val="center"/>
          </w:tcPr>
          <w:p>
            <w:pPr>
              <w:widowControl/>
              <w:jc w:val="center"/>
              <w:textAlignment w:val="center"/>
              <w:rPr>
                <w:color w:val="auto"/>
                <w:kern w:val="0"/>
                <w:szCs w:val="21"/>
              </w:rPr>
            </w:pPr>
            <w:r>
              <w:rPr>
                <w:color w:val="auto"/>
                <w:kern w:val="0"/>
                <w:szCs w:val="21"/>
                <w:lang w:bidi="ar"/>
              </w:rPr>
              <w:t>228.6</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205</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0.0009</w:t>
            </w:r>
          </w:p>
        </w:tc>
        <w:tc>
          <w:tcPr>
            <w:tcW w:w="780" w:type="dxa"/>
            <w:vAlign w:val="center"/>
          </w:tcPr>
          <w:p>
            <w:pPr>
              <w:widowControl/>
              <w:spacing w:line="360" w:lineRule="auto"/>
              <w:jc w:val="center"/>
              <w:rPr>
                <w:color w:val="auto"/>
                <w:kern w:val="0"/>
                <w:szCs w:val="21"/>
              </w:rPr>
            </w:pPr>
            <w:r>
              <w:rPr>
                <w:rFonts w:hint="eastAsia"/>
                <w:color w:val="auto"/>
                <w:kern w:val="0"/>
                <w:szCs w:val="21"/>
              </w:rPr>
              <w:t>23.7</w:t>
            </w:r>
          </w:p>
        </w:tc>
        <w:tc>
          <w:tcPr>
            <w:tcW w:w="980" w:type="dxa"/>
            <w:vAlign w:val="center"/>
          </w:tcPr>
          <w:p>
            <w:pPr>
              <w:widowControl/>
              <w:spacing w:line="360" w:lineRule="auto"/>
              <w:jc w:val="center"/>
              <w:rPr>
                <w:color w:val="auto"/>
                <w:kern w:val="0"/>
                <w:szCs w:val="21"/>
              </w:rPr>
            </w:pPr>
            <w:r>
              <w:rPr>
                <w:rFonts w:hint="eastAsia"/>
                <w:color w:val="auto"/>
                <w:kern w:val="0"/>
                <w:szCs w:val="21"/>
              </w:rPr>
              <w:t>101.2</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rPr>
                <w:color w:val="auto"/>
                <w:kern w:val="0"/>
                <w:szCs w:val="21"/>
              </w:rPr>
            </w:pPr>
            <w:r>
              <w:rPr>
                <w:rFonts w:hint="eastAsia"/>
                <w:color w:val="auto"/>
                <w:kern w:val="0"/>
                <w:szCs w:val="21"/>
              </w:rPr>
              <w:t>西南</w:t>
            </w:r>
          </w:p>
        </w:tc>
        <w:tc>
          <w:tcPr>
            <w:tcW w:w="771" w:type="dxa"/>
            <w:vMerge w:val="restart"/>
            <w:vAlign w:val="center"/>
          </w:tcPr>
          <w:p>
            <w:pPr>
              <w:widowControl/>
              <w:jc w:val="center"/>
              <w:rPr>
                <w:color w:val="auto"/>
                <w:kern w:val="0"/>
                <w:szCs w:val="21"/>
              </w:rPr>
            </w:pPr>
            <w:r>
              <w:rPr>
                <w:rFonts w:hint="eastAsia"/>
                <w:color w:val="auto"/>
                <w:kern w:val="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0.54 </w:t>
            </w:r>
          </w:p>
        </w:tc>
        <w:tc>
          <w:tcPr>
            <w:tcW w:w="1260" w:type="dxa"/>
            <w:vAlign w:val="center"/>
          </w:tcPr>
          <w:p>
            <w:pPr>
              <w:widowControl/>
              <w:jc w:val="center"/>
              <w:textAlignment w:val="center"/>
              <w:rPr>
                <w:color w:val="auto"/>
                <w:szCs w:val="21"/>
              </w:rPr>
            </w:pPr>
            <w:r>
              <w:rPr>
                <w:rFonts w:hint="eastAsia"/>
                <w:color w:val="auto"/>
                <w:szCs w:val="21"/>
              </w:rPr>
              <w:t>4.9</w:t>
            </w:r>
          </w:p>
        </w:tc>
        <w:tc>
          <w:tcPr>
            <w:tcW w:w="1400" w:type="dxa"/>
            <w:vAlign w:val="center"/>
          </w:tcPr>
          <w:p>
            <w:pPr>
              <w:widowControl/>
              <w:jc w:val="center"/>
              <w:textAlignment w:val="center"/>
              <w:rPr>
                <w:color w:val="auto"/>
                <w:szCs w:val="21"/>
              </w:rPr>
            </w:pPr>
            <w:r>
              <w:rPr>
                <w:rFonts w:hint="eastAsia"/>
                <w:color w:val="auto"/>
                <w:szCs w:val="21"/>
              </w:rPr>
              <w:t>98.5</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30.8</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2.0</w:t>
            </w:r>
          </w:p>
        </w:tc>
        <w:tc>
          <w:tcPr>
            <w:tcW w:w="1400" w:type="dxa"/>
            <w:vAlign w:val="center"/>
          </w:tcPr>
          <w:p>
            <w:pPr>
              <w:widowControl/>
              <w:jc w:val="center"/>
              <w:textAlignment w:val="center"/>
              <w:rPr>
                <w:color w:val="auto"/>
                <w:szCs w:val="21"/>
              </w:rPr>
            </w:pPr>
            <w:r>
              <w:rPr>
                <w:rFonts w:hint="eastAsia"/>
                <w:color w:val="auto"/>
                <w:szCs w:val="21"/>
              </w:rPr>
              <w:t>47.1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32.8</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0.58</w:t>
            </w:r>
          </w:p>
        </w:tc>
        <w:tc>
          <w:tcPr>
            <w:tcW w:w="1260" w:type="dxa"/>
            <w:vAlign w:val="center"/>
          </w:tcPr>
          <w:p>
            <w:pPr>
              <w:widowControl/>
              <w:jc w:val="center"/>
              <w:textAlignment w:val="center"/>
              <w:rPr>
                <w:color w:val="auto"/>
                <w:szCs w:val="21"/>
              </w:rPr>
            </w:pPr>
            <w:r>
              <w:rPr>
                <w:rFonts w:hint="eastAsia"/>
                <w:color w:val="auto"/>
                <w:szCs w:val="21"/>
              </w:rPr>
              <w:t>2.2</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65.6</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textAlignment w:val="center"/>
              <w:rPr>
                <w:color w:val="auto"/>
                <w:kern w:val="0"/>
                <w:szCs w:val="21"/>
                <w:lang w:bidi="ar"/>
              </w:rPr>
            </w:pPr>
          </w:p>
        </w:tc>
        <w:tc>
          <w:tcPr>
            <w:tcW w:w="1180" w:type="dxa"/>
            <w:vMerge w:val="continue"/>
            <w:vAlign w:val="center"/>
          </w:tcPr>
          <w:p>
            <w:pPr>
              <w:widowControl/>
              <w:jc w:val="center"/>
              <w:textAlignment w:val="center"/>
              <w:rPr>
                <w:color w:val="auto"/>
                <w:kern w:val="0"/>
                <w:szCs w:val="21"/>
                <w:lang w:bidi="ar"/>
              </w:rPr>
            </w:pPr>
          </w:p>
        </w:tc>
        <w:tc>
          <w:tcPr>
            <w:tcW w:w="780" w:type="dxa"/>
            <w:vAlign w:val="center"/>
          </w:tcPr>
          <w:p>
            <w:pPr>
              <w:widowControl/>
              <w:spacing w:line="360" w:lineRule="auto"/>
              <w:jc w:val="center"/>
              <w:rPr>
                <w:color w:val="auto"/>
                <w:kern w:val="0"/>
                <w:szCs w:val="21"/>
              </w:rPr>
            </w:pPr>
            <w:r>
              <w:rPr>
                <w:rFonts w:hint="eastAsia"/>
                <w:color w:val="auto"/>
                <w:kern w:val="0"/>
                <w:szCs w:val="21"/>
              </w:rPr>
              <w:t>25.9</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5.24</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0.54 </w:t>
            </w:r>
          </w:p>
        </w:tc>
        <w:tc>
          <w:tcPr>
            <w:tcW w:w="1260" w:type="dxa"/>
            <w:vAlign w:val="center"/>
          </w:tcPr>
          <w:p>
            <w:pPr>
              <w:widowControl/>
              <w:jc w:val="center"/>
              <w:textAlignment w:val="center"/>
              <w:rPr>
                <w:color w:val="auto"/>
                <w:szCs w:val="21"/>
              </w:rPr>
            </w:pPr>
            <w:r>
              <w:rPr>
                <w:rFonts w:hint="eastAsia"/>
                <w:color w:val="auto"/>
                <w:szCs w:val="21"/>
              </w:rPr>
              <w:t>5.1</w:t>
            </w:r>
          </w:p>
        </w:tc>
        <w:tc>
          <w:tcPr>
            <w:tcW w:w="1400" w:type="dxa"/>
            <w:vAlign w:val="center"/>
          </w:tcPr>
          <w:p>
            <w:pPr>
              <w:widowControl/>
              <w:jc w:val="center"/>
              <w:textAlignment w:val="center"/>
              <w:rPr>
                <w:color w:val="auto"/>
                <w:szCs w:val="21"/>
              </w:rPr>
            </w:pPr>
            <w:r>
              <w:rPr>
                <w:rFonts w:hint="eastAsia"/>
                <w:color w:val="auto"/>
                <w:szCs w:val="21"/>
              </w:rPr>
              <w:t>137.4</w:t>
            </w:r>
          </w:p>
        </w:tc>
        <w:tc>
          <w:tcPr>
            <w:tcW w:w="1380" w:type="dxa"/>
            <w:vMerge w:val="restart"/>
            <w:vAlign w:val="center"/>
          </w:tcPr>
          <w:p>
            <w:pPr>
              <w:widowControl/>
              <w:jc w:val="center"/>
              <w:textAlignment w:val="center"/>
              <w:rPr>
                <w:color w:val="auto"/>
                <w:kern w:val="0"/>
                <w:szCs w:val="21"/>
              </w:rPr>
            </w:pPr>
            <w:r>
              <w:rPr>
                <w:color w:val="auto"/>
                <w:kern w:val="0"/>
                <w:szCs w:val="21"/>
                <w:lang w:bidi="ar"/>
              </w:rPr>
              <w:t>243.7</w:t>
            </w:r>
          </w:p>
        </w:tc>
        <w:tc>
          <w:tcPr>
            <w:tcW w:w="105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209</w:t>
            </w:r>
          </w:p>
        </w:tc>
        <w:tc>
          <w:tcPr>
            <w:tcW w:w="1180" w:type="dxa"/>
            <w:vMerge w:val="restart"/>
            <w:vAlign w:val="center"/>
          </w:tcPr>
          <w:p>
            <w:pPr>
              <w:widowControl/>
              <w:jc w:val="center"/>
              <w:textAlignment w:val="center"/>
              <w:rPr>
                <w:color w:val="auto"/>
                <w:kern w:val="0"/>
                <w:szCs w:val="21"/>
                <w:lang w:bidi="ar"/>
              </w:rPr>
            </w:pPr>
            <w:r>
              <w:rPr>
                <w:rFonts w:hint="eastAsia"/>
                <w:color w:val="auto"/>
                <w:kern w:val="0"/>
                <w:szCs w:val="21"/>
                <w:lang w:bidi="ar"/>
              </w:rPr>
              <w:t>0.0006</w:t>
            </w:r>
          </w:p>
        </w:tc>
        <w:tc>
          <w:tcPr>
            <w:tcW w:w="780" w:type="dxa"/>
            <w:vAlign w:val="center"/>
          </w:tcPr>
          <w:p>
            <w:pPr>
              <w:widowControl/>
              <w:jc w:val="center"/>
              <w:rPr>
                <w:color w:val="auto"/>
                <w:kern w:val="0"/>
                <w:szCs w:val="21"/>
              </w:rPr>
            </w:pPr>
            <w:r>
              <w:rPr>
                <w:rFonts w:hint="eastAsia"/>
                <w:color w:val="auto"/>
                <w:kern w:val="0"/>
                <w:szCs w:val="21"/>
              </w:rPr>
              <w:t>23.4</w:t>
            </w:r>
          </w:p>
        </w:tc>
        <w:tc>
          <w:tcPr>
            <w:tcW w:w="980" w:type="dxa"/>
            <w:vAlign w:val="center"/>
          </w:tcPr>
          <w:p>
            <w:pPr>
              <w:widowControl/>
              <w:jc w:val="center"/>
              <w:rPr>
                <w:color w:val="auto"/>
                <w:kern w:val="0"/>
                <w:szCs w:val="21"/>
              </w:rPr>
            </w:pPr>
            <w:r>
              <w:rPr>
                <w:rFonts w:hint="eastAsia"/>
                <w:color w:val="auto"/>
                <w:kern w:val="0"/>
                <w:szCs w:val="21"/>
              </w:rPr>
              <w:t>101.3</w:t>
            </w:r>
          </w:p>
        </w:tc>
        <w:tc>
          <w:tcPr>
            <w:tcW w:w="900" w:type="dxa"/>
            <w:vAlign w:val="center"/>
          </w:tcPr>
          <w:p>
            <w:pPr>
              <w:widowControl/>
              <w:jc w:val="center"/>
              <w:rPr>
                <w:color w:val="auto"/>
                <w:kern w:val="0"/>
                <w:szCs w:val="21"/>
              </w:rPr>
            </w:pPr>
            <w:r>
              <w:rPr>
                <w:rFonts w:hint="eastAsia"/>
                <w:color w:val="auto"/>
                <w:kern w:val="0"/>
                <w:szCs w:val="21"/>
              </w:rPr>
              <w:t>1.6</w:t>
            </w:r>
          </w:p>
        </w:tc>
        <w:tc>
          <w:tcPr>
            <w:tcW w:w="541" w:type="dxa"/>
            <w:vMerge w:val="restart"/>
            <w:vAlign w:val="center"/>
          </w:tcPr>
          <w:p>
            <w:pPr>
              <w:widowControl/>
              <w:jc w:val="center"/>
              <w:rPr>
                <w:color w:val="auto"/>
                <w:kern w:val="0"/>
                <w:szCs w:val="21"/>
              </w:rPr>
            </w:pPr>
            <w:r>
              <w:rPr>
                <w:rFonts w:hint="eastAsia"/>
                <w:color w:val="auto"/>
                <w:kern w:val="0"/>
                <w:szCs w:val="21"/>
              </w:rPr>
              <w:t>东南</w:t>
            </w:r>
          </w:p>
        </w:tc>
        <w:tc>
          <w:tcPr>
            <w:tcW w:w="771" w:type="dxa"/>
            <w:vMerge w:val="restart"/>
            <w:vAlign w:val="center"/>
          </w:tcPr>
          <w:p>
            <w:pPr>
              <w:widowControl/>
              <w:jc w:val="center"/>
              <w:rPr>
                <w:color w:val="auto"/>
                <w:kern w:val="0"/>
                <w:szCs w:val="21"/>
              </w:rPr>
            </w:pPr>
            <w:r>
              <w:rPr>
                <w:rFonts w:hint="eastAsia"/>
                <w:color w:val="auto"/>
                <w:kern w:val="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0.65 </w:t>
            </w:r>
          </w:p>
        </w:tc>
        <w:tc>
          <w:tcPr>
            <w:tcW w:w="1260" w:type="dxa"/>
            <w:vAlign w:val="center"/>
          </w:tcPr>
          <w:p>
            <w:pPr>
              <w:widowControl/>
              <w:jc w:val="center"/>
              <w:textAlignment w:val="center"/>
              <w:rPr>
                <w:color w:val="auto"/>
                <w:szCs w:val="21"/>
              </w:rPr>
            </w:pPr>
            <w:r>
              <w:rPr>
                <w:rFonts w:hint="eastAsia"/>
                <w:color w:val="auto"/>
                <w:szCs w:val="21"/>
              </w:rPr>
              <w:t>2.6</w:t>
            </w:r>
          </w:p>
        </w:tc>
        <w:tc>
          <w:tcPr>
            <w:tcW w:w="1400" w:type="dxa"/>
            <w:vAlign w:val="center"/>
          </w:tcPr>
          <w:p>
            <w:pPr>
              <w:widowControl/>
              <w:jc w:val="center"/>
              <w:textAlignment w:val="center"/>
              <w:rPr>
                <w:color w:val="auto"/>
                <w:szCs w:val="21"/>
              </w:rPr>
            </w:pPr>
            <w:r>
              <w:rPr>
                <w:rFonts w:hint="eastAsia"/>
                <w:color w:val="auto"/>
                <w:szCs w:val="21"/>
              </w:rPr>
              <w:t>55.6</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31.2</w:t>
            </w:r>
          </w:p>
        </w:tc>
        <w:tc>
          <w:tcPr>
            <w:tcW w:w="980" w:type="dxa"/>
            <w:vAlign w:val="center"/>
          </w:tcPr>
          <w:p>
            <w:pPr>
              <w:widowControl/>
              <w:jc w:val="center"/>
              <w:rPr>
                <w:color w:val="auto"/>
                <w:kern w:val="0"/>
                <w:szCs w:val="21"/>
              </w:rPr>
            </w:pPr>
            <w:r>
              <w:rPr>
                <w:rFonts w:hint="eastAsia"/>
                <w:color w:val="auto"/>
                <w:kern w:val="0"/>
                <w:szCs w:val="21"/>
              </w:rPr>
              <w:t>100.8</w:t>
            </w:r>
          </w:p>
        </w:tc>
        <w:tc>
          <w:tcPr>
            <w:tcW w:w="900" w:type="dxa"/>
            <w:vAlign w:val="center"/>
          </w:tcPr>
          <w:p>
            <w:pPr>
              <w:widowControl/>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2.8</w:t>
            </w:r>
          </w:p>
        </w:tc>
        <w:tc>
          <w:tcPr>
            <w:tcW w:w="1400" w:type="dxa"/>
            <w:vAlign w:val="center"/>
          </w:tcPr>
          <w:p>
            <w:pPr>
              <w:widowControl/>
              <w:jc w:val="center"/>
              <w:textAlignment w:val="center"/>
              <w:rPr>
                <w:color w:val="auto"/>
                <w:szCs w:val="21"/>
              </w:rPr>
            </w:pPr>
            <w:r>
              <w:rPr>
                <w:rFonts w:hint="eastAsia"/>
                <w:color w:val="auto"/>
                <w:szCs w:val="21"/>
              </w:rPr>
              <w:t>70.0</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32.1</w:t>
            </w:r>
          </w:p>
        </w:tc>
        <w:tc>
          <w:tcPr>
            <w:tcW w:w="980" w:type="dxa"/>
            <w:vAlign w:val="center"/>
          </w:tcPr>
          <w:p>
            <w:pPr>
              <w:widowControl/>
              <w:jc w:val="center"/>
              <w:rPr>
                <w:color w:val="auto"/>
                <w:kern w:val="0"/>
                <w:szCs w:val="21"/>
              </w:rPr>
            </w:pPr>
            <w:r>
              <w:rPr>
                <w:rFonts w:hint="eastAsia"/>
                <w:color w:val="auto"/>
                <w:kern w:val="0"/>
                <w:szCs w:val="21"/>
              </w:rPr>
              <w:t>100.5</w:t>
            </w:r>
          </w:p>
        </w:tc>
        <w:tc>
          <w:tcPr>
            <w:tcW w:w="900" w:type="dxa"/>
            <w:vAlign w:val="center"/>
          </w:tcPr>
          <w:p>
            <w:pPr>
              <w:widowControl/>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7"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rFonts w:hint="eastAsia"/>
                <w:color w:val="auto"/>
                <w:szCs w:val="21"/>
              </w:rPr>
              <w:t>0.58</w:t>
            </w:r>
          </w:p>
        </w:tc>
        <w:tc>
          <w:tcPr>
            <w:tcW w:w="1260" w:type="dxa"/>
            <w:vAlign w:val="center"/>
          </w:tcPr>
          <w:p>
            <w:pPr>
              <w:widowControl/>
              <w:jc w:val="center"/>
              <w:textAlignment w:val="center"/>
              <w:rPr>
                <w:color w:val="auto"/>
                <w:szCs w:val="21"/>
              </w:rPr>
            </w:pPr>
            <w:r>
              <w:rPr>
                <w:rFonts w:hint="eastAsia"/>
                <w:color w:val="auto"/>
                <w:szCs w:val="21"/>
              </w:rPr>
              <w:t>2.9</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105.3</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25.4</w:t>
            </w:r>
          </w:p>
        </w:tc>
        <w:tc>
          <w:tcPr>
            <w:tcW w:w="980" w:type="dxa"/>
            <w:vAlign w:val="center"/>
          </w:tcPr>
          <w:p>
            <w:pPr>
              <w:widowControl/>
              <w:jc w:val="center"/>
              <w:rPr>
                <w:color w:val="auto"/>
                <w:kern w:val="0"/>
                <w:szCs w:val="21"/>
              </w:rPr>
            </w:pPr>
            <w:r>
              <w:rPr>
                <w:rFonts w:hint="eastAsia"/>
                <w:color w:val="auto"/>
                <w:kern w:val="0"/>
                <w:szCs w:val="21"/>
              </w:rPr>
              <w:t>100.9</w:t>
            </w:r>
          </w:p>
        </w:tc>
        <w:tc>
          <w:tcPr>
            <w:tcW w:w="900" w:type="dxa"/>
            <w:vAlign w:val="center"/>
          </w:tcPr>
          <w:p>
            <w:pPr>
              <w:widowControl/>
              <w:jc w:val="center"/>
              <w:rPr>
                <w:color w:val="auto"/>
                <w:kern w:val="0"/>
                <w:szCs w:val="21"/>
              </w:rPr>
            </w:pPr>
            <w:r>
              <w:rPr>
                <w:rFonts w:hint="eastAsia"/>
                <w:color w:val="auto"/>
                <w:kern w:val="0"/>
                <w:szCs w:val="21"/>
              </w:rPr>
              <w:t>1.6</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restart"/>
            <w:vAlign w:val="center"/>
          </w:tcPr>
          <w:p>
            <w:pPr>
              <w:jc w:val="center"/>
              <w:rPr>
                <w:color w:val="auto"/>
                <w:szCs w:val="21"/>
              </w:rPr>
            </w:pPr>
          </w:p>
          <w:p>
            <w:pPr>
              <w:widowControl/>
              <w:jc w:val="center"/>
              <w:rPr>
                <w:color w:val="auto"/>
                <w:kern w:val="0"/>
                <w:szCs w:val="21"/>
              </w:rPr>
            </w:pPr>
            <w:r>
              <w:rPr>
                <w:color w:val="auto"/>
                <w:szCs w:val="21"/>
              </w:rPr>
              <w:t>A2（沙步村）</w:t>
            </w:r>
          </w:p>
        </w:tc>
        <w:tc>
          <w:tcPr>
            <w:tcW w:w="650" w:type="dxa"/>
            <w:vMerge w:val="restart"/>
            <w:vAlign w:val="center"/>
          </w:tcPr>
          <w:p>
            <w:pPr>
              <w:widowControl/>
              <w:jc w:val="center"/>
              <w:rPr>
                <w:color w:val="auto"/>
                <w:kern w:val="0"/>
                <w:szCs w:val="21"/>
              </w:rPr>
            </w:pPr>
            <w:r>
              <w:rPr>
                <w:rFonts w:hint="eastAsia"/>
                <w:color w:val="auto"/>
                <w:kern w:val="0"/>
                <w:szCs w:val="21"/>
              </w:rPr>
              <w:t>5.18</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spacing w:line="360" w:lineRule="auto"/>
              <w:jc w:val="center"/>
              <w:textAlignment w:val="center"/>
              <w:rPr>
                <w:color w:val="auto"/>
                <w:szCs w:val="21"/>
              </w:rPr>
            </w:pPr>
            <w:r>
              <w:rPr>
                <w:color w:val="auto"/>
                <w:szCs w:val="21"/>
              </w:rPr>
              <w:t>0.60</w:t>
            </w:r>
          </w:p>
        </w:tc>
        <w:tc>
          <w:tcPr>
            <w:tcW w:w="1260" w:type="dxa"/>
            <w:vAlign w:val="center"/>
          </w:tcPr>
          <w:p>
            <w:pPr>
              <w:widowControl/>
              <w:jc w:val="center"/>
              <w:textAlignment w:val="center"/>
              <w:rPr>
                <w:color w:val="auto"/>
                <w:szCs w:val="21"/>
              </w:rPr>
            </w:pPr>
            <w:r>
              <w:rPr>
                <w:rFonts w:hint="eastAsia"/>
                <w:color w:val="auto"/>
                <w:szCs w:val="21"/>
              </w:rPr>
              <w:t>3.5</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154.0</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150.7</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212</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0.0007</w:t>
            </w:r>
          </w:p>
        </w:tc>
        <w:tc>
          <w:tcPr>
            <w:tcW w:w="780" w:type="dxa"/>
            <w:vAlign w:val="center"/>
          </w:tcPr>
          <w:p>
            <w:pPr>
              <w:widowControl/>
              <w:spacing w:line="360" w:lineRule="auto"/>
              <w:jc w:val="center"/>
              <w:rPr>
                <w:color w:val="auto"/>
                <w:kern w:val="0"/>
                <w:szCs w:val="21"/>
              </w:rPr>
            </w:pPr>
            <w:r>
              <w:rPr>
                <w:rFonts w:hint="eastAsia"/>
                <w:color w:val="auto"/>
                <w:kern w:val="0"/>
                <w:szCs w:val="21"/>
              </w:rPr>
              <w:t>23.5</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spacing w:line="360" w:lineRule="auto"/>
              <w:jc w:val="center"/>
              <w:textAlignment w:val="center"/>
              <w:rPr>
                <w:color w:val="auto"/>
                <w:szCs w:val="21"/>
              </w:rPr>
            </w:pPr>
            <w:r>
              <w:rPr>
                <w:color w:val="auto"/>
                <w:szCs w:val="21"/>
              </w:rPr>
              <w:t>0.60</w:t>
            </w:r>
          </w:p>
        </w:tc>
        <w:tc>
          <w:tcPr>
            <w:tcW w:w="1260" w:type="dxa"/>
            <w:vAlign w:val="center"/>
          </w:tcPr>
          <w:p>
            <w:pPr>
              <w:widowControl/>
              <w:jc w:val="center"/>
              <w:textAlignment w:val="center"/>
              <w:rPr>
                <w:color w:val="auto"/>
                <w:szCs w:val="21"/>
              </w:rPr>
            </w:pPr>
            <w:r>
              <w:rPr>
                <w:rFonts w:hint="eastAsia"/>
                <w:color w:val="auto"/>
                <w:szCs w:val="21"/>
              </w:rPr>
              <w:t>3.8</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20.5</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28.6</w:t>
            </w:r>
          </w:p>
        </w:tc>
        <w:tc>
          <w:tcPr>
            <w:tcW w:w="980" w:type="dxa"/>
            <w:vAlign w:val="center"/>
          </w:tcPr>
          <w:p>
            <w:pPr>
              <w:widowControl/>
              <w:spacing w:line="360" w:lineRule="auto"/>
              <w:jc w:val="center"/>
              <w:rPr>
                <w:color w:val="auto"/>
                <w:kern w:val="0"/>
                <w:szCs w:val="21"/>
              </w:rPr>
            </w:pPr>
            <w:r>
              <w:rPr>
                <w:rFonts w:hint="eastAsia"/>
                <w:color w:val="auto"/>
                <w:kern w:val="0"/>
                <w:szCs w:val="21"/>
              </w:rPr>
              <w:t>100.6</w:t>
            </w:r>
          </w:p>
        </w:tc>
        <w:tc>
          <w:tcPr>
            <w:tcW w:w="900" w:type="dxa"/>
            <w:vAlign w:val="center"/>
          </w:tcPr>
          <w:p>
            <w:pPr>
              <w:widowControl/>
              <w:spacing w:line="360" w:lineRule="auto"/>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spacing w:line="360" w:lineRule="auto"/>
              <w:jc w:val="center"/>
              <w:textAlignment w:val="center"/>
              <w:rPr>
                <w:color w:val="auto"/>
                <w:szCs w:val="21"/>
              </w:rPr>
            </w:pPr>
            <w:r>
              <w:rPr>
                <w:color w:val="auto"/>
                <w:szCs w:val="21"/>
              </w:rPr>
              <w:t>0.55</w:t>
            </w:r>
          </w:p>
        </w:tc>
        <w:tc>
          <w:tcPr>
            <w:tcW w:w="1260" w:type="dxa"/>
            <w:vAlign w:val="center"/>
          </w:tcPr>
          <w:p>
            <w:pPr>
              <w:widowControl/>
              <w:jc w:val="center"/>
              <w:textAlignment w:val="center"/>
              <w:rPr>
                <w:color w:val="auto"/>
                <w:szCs w:val="21"/>
              </w:rPr>
            </w:pPr>
            <w:r>
              <w:rPr>
                <w:rFonts w:hint="eastAsia"/>
                <w:color w:val="auto"/>
                <w:szCs w:val="21"/>
              </w:rPr>
              <w:t>3.6</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25.7</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100.4</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spacing w:line="360" w:lineRule="auto"/>
              <w:jc w:val="center"/>
              <w:textAlignment w:val="center"/>
              <w:rPr>
                <w:color w:val="auto"/>
                <w:szCs w:val="21"/>
              </w:rPr>
            </w:pPr>
            <w:r>
              <w:rPr>
                <w:color w:val="auto"/>
                <w:szCs w:val="21"/>
              </w:rPr>
              <w:t>0.52</w:t>
            </w:r>
          </w:p>
        </w:tc>
        <w:tc>
          <w:tcPr>
            <w:tcW w:w="1260" w:type="dxa"/>
            <w:vAlign w:val="center"/>
          </w:tcPr>
          <w:p>
            <w:pPr>
              <w:widowControl/>
              <w:jc w:val="center"/>
              <w:textAlignment w:val="center"/>
              <w:rPr>
                <w:color w:val="auto"/>
                <w:szCs w:val="21"/>
              </w:rPr>
            </w:pPr>
            <w:r>
              <w:rPr>
                <w:rFonts w:hint="eastAsia"/>
                <w:color w:val="auto"/>
                <w:szCs w:val="21"/>
              </w:rPr>
              <w:t>4.1</w:t>
            </w:r>
          </w:p>
        </w:tc>
        <w:tc>
          <w:tcPr>
            <w:tcW w:w="1400" w:type="dxa"/>
            <w:vAlign w:val="center"/>
          </w:tcPr>
          <w:p>
            <w:pPr>
              <w:widowControl/>
              <w:jc w:val="center"/>
              <w:textAlignment w:val="center"/>
              <w:rPr>
                <w:color w:val="auto"/>
                <w:szCs w:val="21"/>
              </w:rPr>
            </w:pPr>
            <w:r>
              <w:rPr>
                <w:rFonts w:hint="eastAsia"/>
                <w:color w:val="auto"/>
                <w:szCs w:val="21"/>
              </w:rPr>
              <w:t>27.2</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5.19</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0.55 </w:t>
            </w:r>
          </w:p>
        </w:tc>
        <w:tc>
          <w:tcPr>
            <w:tcW w:w="1260" w:type="dxa"/>
            <w:vAlign w:val="center"/>
          </w:tcPr>
          <w:p>
            <w:pPr>
              <w:widowControl/>
              <w:jc w:val="center"/>
              <w:textAlignment w:val="center"/>
              <w:rPr>
                <w:color w:val="auto"/>
                <w:szCs w:val="21"/>
              </w:rPr>
            </w:pPr>
            <w:r>
              <w:rPr>
                <w:rFonts w:hint="eastAsia"/>
                <w:color w:val="auto"/>
                <w:szCs w:val="21"/>
              </w:rPr>
              <w:t>12.3</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24.6</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154.7</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186</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0.0006</w:t>
            </w:r>
          </w:p>
        </w:tc>
        <w:tc>
          <w:tcPr>
            <w:tcW w:w="780" w:type="dxa"/>
            <w:vAlign w:val="center"/>
          </w:tcPr>
          <w:p>
            <w:pPr>
              <w:widowControl/>
              <w:spacing w:line="360" w:lineRule="auto"/>
              <w:jc w:val="center"/>
              <w:rPr>
                <w:color w:val="auto"/>
                <w:kern w:val="0"/>
                <w:szCs w:val="21"/>
              </w:rPr>
            </w:pPr>
            <w:r>
              <w:rPr>
                <w:rFonts w:hint="eastAsia"/>
                <w:color w:val="auto"/>
                <w:kern w:val="0"/>
                <w:szCs w:val="21"/>
              </w:rPr>
              <w:t>23.3</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0.55 </w:t>
            </w:r>
          </w:p>
        </w:tc>
        <w:tc>
          <w:tcPr>
            <w:tcW w:w="1260" w:type="dxa"/>
            <w:vAlign w:val="center"/>
          </w:tcPr>
          <w:p>
            <w:pPr>
              <w:widowControl/>
              <w:jc w:val="center"/>
              <w:textAlignment w:val="center"/>
              <w:rPr>
                <w:color w:val="auto"/>
                <w:szCs w:val="21"/>
              </w:rPr>
            </w:pPr>
            <w:r>
              <w:rPr>
                <w:rFonts w:hint="eastAsia"/>
                <w:color w:val="auto"/>
                <w:szCs w:val="21"/>
              </w:rPr>
              <w:t>11.9</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186.7</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30.5</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0.56 </w:t>
            </w:r>
          </w:p>
        </w:tc>
        <w:tc>
          <w:tcPr>
            <w:tcW w:w="1260" w:type="dxa"/>
            <w:vAlign w:val="center"/>
          </w:tcPr>
          <w:p>
            <w:pPr>
              <w:widowControl/>
              <w:jc w:val="center"/>
              <w:textAlignment w:val="center"/>
              <w:rPr>
                <w:color w:val="auto"/>
                <w:szCs w:val="21"/>
              </w:rPr>
            </w:pPr>
            <w:r>
              <w:rPr>
                <w:rFonts w:hint="eastAsia"/>
                <w:color w:val="auto"/>
                <w:szCs w:val="21"/>
              </w:rPr>
              <w:t>1.5</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105.5</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100.6</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0.56 </w:t>
            </w:r>
          </w:p>
        </w:tc>
        <w:tc>
          <w:tcPr>
            <w:tcW w:w="1260" w:type="dxa"/>
            <w:vAlign w:val="center"/>
          </w:tcPr>
          <w:p>
            <w:pPr>
              <w:widowControl/>
              <w:jc w:val="center"/>
              <w:textAlignment w:val="center"/>
              <w:rPr>
                <w:color w:val="auto"/>
                <w:szCs w:val="21"/>
              </w:rPr>
            </w:pPr>
            <w:r>
              <w:rPr>
                <w:rFonts w:hint="eastAsia"/>
                <w:color w:val="auto"/>
                <w:szCs w:val="21"/>
              </w:rPr>
              <w:t>6.3</w:t>
            </w:r>
          </w:p>
        </w:tc>
        <w:tc>
          <w:tcPr>
            <w:tcW w:w="1400" w:type="dxa"/>
            <w:vAlign w:val="center"/>
          </w:tcPr>
          <w:p>
            <w:pPr>
              <w:widowControl/>
              <w:jc w:val="center"/>
              <w:textAlignment w:val="center"/>
              <w:rPr>
                <w:color w:val="auto"/>
                <w:szCs w:val="21"/>
              </w:rPr>
            </w:pPr>
            <w:r>
              <w:rPr>
                <w:rFonts w:hint="eastAsia"/>
                <w:color w:val="auto"/>
                <w:szCs w:val="21"/>
              </w:rPr>
              <w:t>28.1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5.20</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0.59 </w:t>
            </w:r>
          </w:p>
        </w:tc>
        <w:tc>
          <w:tcPr>
            <w:tcW w:w="1260" w:type="dxa"/>
            <w:vAlign w:val="center"/>
          </w:tcPr>
          <w:p>
            <w:pPr>
              <w:widowControl/>
              <w:jc w:val="center"/>
              <w:textAlignment w:val="center"/>
              <w:rPr>
                <w:color w:val="auto"/>
                <w:szCs w:val="21"/>
              </w:rPr>
            </w:pPr>
            <w:r>
              <w:rPr>
                <w:rFonts w:hint="eastAsia"/>
                <w:color w:val="auto"/>
                <w:szCs w:val="21"/>
              </w:rPr>
              <w:t>5.8</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12.6</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360.5</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198</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0.0005</w:t>
            </w:r>
          </w:p>
        </w:tc>
        <w:tc>
          <w:tcPr>
            <w:tcW w:w="780" w:type="dxa"/>
            <w:vAlign w:val="center"/>
          </w:tcPr>
          <w:p>
            <w:pPr>
              <w:widowControl/>
              <w:spacing w:line="360" w:lineRule="auto"/>
              <w:jc w:val="center"/>
              <w:rPr>
                <w:color w:val="auto"/>
                <w:kern w:val="0"/>
                <w:szCs w:val="21"/>
              </w:rPr>
            </w:pPr>
            <w:r>
              <w:rPr>
                <w:rFonts w:hint="eastAsia"/>
                <w:color w:val="auto"/>
                <w:kern w:val="0"/>
                <w:szCs w:val="21"/>
              </w:rPr>
              <w:t>22.4</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东南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0.57 </w:t>
            </w:r>
          </w:p>
        </w:tc>
        <w:tc>
          <w:tcPr>
            <w:tcW w:w="1260" w:type="dxa"/>
            <w:vAlign w:val="center"/>
          </w:tcPr>
          <w:p>
            <w:pPr>
              <w:widowControl/>
              <w:jc w:val="center"/>
              <w:textAlignment w:val="center"/>
              <w:rPr>
                <w:color w:val="auto"/>
                <w:szCs w:val="21"/>
              </w:rPr>
            </w:pPr>
            <w:r>
              <w:rPr>
                <w:rFonts w:hint="eastAsia"/>
                <w:color w:val="auto"/>
                <w:szCs w:val="21"/>
              </w:rPr>
              <w:t>1.4</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19.7</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31.4</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0.61 </w:t>
            </w:r>
          </w:p>
        </w:tc>
        <w:tc>
          <w:tcPr>
            <w:tcW w:w="1260" w:type="dxa"/>
            <w:vAlign w:val="center"/>
          </w:tcPr>
          <w:p>
            <w:pPr>
              <w:widowControl/>
              <w:jc w:val="center"/>
              <w:textAlignment w:val="center"/>
              <w:rPr>
                <w:color w:val="auto"/>
                <w:szCs w:val="21"/>
              </w:rPr>
            </w:pPr>
            <w:r>
              <w:rPr>
                <w:rFonts w:hint="eastAsia"/>
                <w:color w:val="auto"/>
                <w:szCs w:val="21"/>
              </w:rPr>
              <w:t>3.5</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12.3</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rFonts w:hint="eastAsia"/>
                <w:color w:val="auto"/>
                <w:szCs w:val="21"/>
              </w:rPr>
              <w:t>0.59</w:t>
            </w:r>
          </w:p>
        </w:tc>
        <w:tc>
          <w:tcPr>
            <w:tcW w:w="1260" w:type="dxa"/>
            <w:vAlign w:val="center"/>
          </w:tcPr>
          <w:p>
            <w:pPr>
              <w:widowControl/>
              <w:jc w:val="center"/>
              <w:textAlignment w:val="center"/>
              <w:rPr>
                <w:color w:val="auto"/>
                <w:szCs w:val="21"/>
              </w:rPr>
            </w:pPr>
            <w:r>
              <w:rPr>
                <w:rFonts w:hint="eastAsia"/>
                <w:color w:val="auto"/>
                <w:szCs w:val="21"/>
              </w:rPr>
              <w:t>2.0</w:t>
            </w:r>
          </w:p>
        </w:tc>
        <w:tc>
          <w:tcPr>
            <w:tcW w:w="1400" w:type="dxa"/>
            <w:vAlign w:val="center"/>
          </w:tcPr>
          <w:p>
            <w:pPr>
              <w:widowControl/>
              <w:jc w:val="center"/>
              <w:textAlignment w:val="center"/>
              <w:rPr>
                <w:color w:val="auto"/>
                <w:szCs w:val="21"/>
              </w:rPr>
            </w:pPr>
            <w:r>
              <w:rPr>
                <w:rFonts w:hint="eastAsia"/>
                <w:color w:val="auto"/>
                <w:szCs w:val="21"/>
              </w:rPr>
              <w:t>17.1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25.4</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5.21</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2.7</w:t>
            </w:r>
          </w:p>
        </w:tc>
        <w:tc>
          <w:tcPr>
            <w:tcW w:w="1400" w:type="dxa"/>
            <w:vAlign w:val="center"/>
          </w:tcPr>
          <w:p>
            <w:pPr>
              <w:widowControl/>
              <w:jc w:val="center"/>
              <w:textAlignment w:val="center"/>
              <w:rPr>
                <w:color w:val="auto"/>
                <w:kern w:val="0"/>
                <w:szCs w:val="21"/>
              </w:rPr>
            </w:pPr>
            <w:r>
              <w:rPr>
                <w:rFonts w:hint="eastAsia"/>
                <w:color w:val="auto"/>
                <w:kern w:val="0"/>
                <w:szCs w:val="21"/>
                <w:lang w:bidi="ar"/>
              </w:rPr>
              <w:t>13.2</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250.7</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182</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0.0005</w:t>
            </w:r>
          </w:p>
        </w:tc>
        <w:tc>
          <w:tcPr>
            <w:tcW w:w="780" w:type="dxa"/>
            <w:vAlign w:val="center"/>
          </w:tcPr>
          <w:p>
            <w:pPr>
              <w:widowControl/>
              <w:spacing w:line="360" w:lineRule="auto"/>
              <w:jc w:val="center"/>
              <w:rPr>
                <w:color w:val="auto"/>
                <w:kern w:val="0"/>
                <w:szCs w:val="21"/>
              </w:rPr>
            </w:pPr>
            <w:r>
              <w:rPr>
                <w:rFonts w:hint="eastAsia"/>
                <w:color w:val="auto"/>
                <w:kern w:val="0"/>
                <w:szCs w:val="21"/>
              </w:rPr>
              <w:t>23.4</w:t>
            </w:r>
          </w:p>
        </w:tc>
        <w:tc>
          <w:tcPr>
            <w:tcW w:w="980" w:type="dxa"/>
            <w:vAlign w:val="center"/>
          </w:tcPr>
          <w:p>
            <w:pPr>
              <w:widowControl/>
              <w:spacing w:line="360" w:lineRule="auto"/>
              <w:jc w:val="center"/>
              <w:rPr>
                <w:color w:val="auto"/>
                <w:kern w:val="0"/>
                <w:szCs w:val="21"/>
              </w:rPr>
            </w:pPr>
            <w:r>
              <w:rPr>
                <w:rFonts w:hint="eastAsia"/>
                <w:color w:val="auto"/>
                <w:kern w:val="0"/>
                <w:szCs w:val="21"/>
              </w:rPr>
              <w:t>101.2</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东南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0.66 </w:t>
            </w:r>
          </w:p>
        </w:tc>
        <w:tc>
          <w:tcPr>
            <w:tcW w:w="1260" w:type="dxa"/>
            <w:vAlign w:val="center"/>
          </w:tcPr>
          <w:p>
            <w:pPr>
              <w:widowControl/>
              <w:jc w:val="center"/>
              <w:textAlignment w:val="center"/>
              <w:rPr>
                <w:color w:val="auto"/>
                <w:szCs w:val="21"/>
              </w:rPr>
            </w:pPr>
            <w:r>
              <w:rPr>
                <w:rFonts w:hint="eastAsia"/>
                <w:color w:val="auto"/>
                <w:szCs w:val="21"/>
              </w:rPr>
              <w:t>2.7</w:t>
            </w:r>
          </w:p>
        </w:tc>
        <w:tc>
          <w:tcPr>
            <w:tcW w:w="1400" w:type="dxa"/>
            <w:vAlign w:val="center"/>
          </w:tcPr>
          <w:p>
            <w:pPr>
              <w:widowControl/>
              <w:jc w:val="center"/>
              <w:textAlignment w:val="center"/>
              <w:rPr>
                <w:color w:val="auto"/>
                <w:kern w:val="0"/>
                <w:szCs w:val="21"/>
              </w:rPr>
            </w:pPr>
            <w:r>
              <w:rPr>
                <w:rFonts w:hint="eastAsia"/>
                <w:color w:val="auto"/>
                <w:kern w:val="0"/>
                <w:szCs w:val="21"/>
                <w:lang w:bidi="ar"/>
              </w:rPr>
              <w:t>18.4</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28.4</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2.5</w:t>
            </w:r>
          </w:p>
        </w:tc>
        <w:tc>
          <w:tcPr>
            <w:tcW w:w="1400" w:type="dxa"/>
            <w:vAlign w:val="center"/>
          </w:tcPr>
          <w:p>
            <w:pPr>
              <w:widowControl/>
              <w:jc w:val="center"/>
              <w:textAlignment w:val="center"/>
              <w:rPr>
                <w:color w:val="auto"/>
                <w:kern w:val="0"/>
                <w:szCs w:val="21"/>
              </w:rPr>
            </w:pPr>
            <w:r>
              <w:rPr>
                <w:rFonts w:hint="eastAsia"/>
                <w:color w:val="auto"/>
                <w:kern w:val="0"/>
                <w:szCs w:val="21"/>
                <w:lang w:bidi="ar"/>
              </w:rPr>
              <w:t>17.9</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32.6</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0.56 </w:t>
            </w:r>
          </w:p>
        </w:tc>
        <w:tc>
          <w:tcPr>
            <w:tcW w:w="1260" w:type="dxa"/>
            <w:vAlign w:val="center"/>
          </w:tcPr>
          <w:p>
            <w:pPr>
              <w:widowControl/>
              <w:jc w:val="center"/>
              <w:textAlignment w:val="center"/>
              <w:rPr>
                <w:color w:val="auto"/>
                <w:szCs w:val="21"/>
              </w:rPr>
            </w:pPr>
            <w:r>
              <w:rPr>
                <w:rFonts w:hint="eastAsia"/>
                <w:color w:val="auto"/>
                <w:szCs w:val="21"/>
              </w:rPr>
              <w:t>2.0</w:t>
            </w:r>
          </w:p>
        </w:tc>
        <w:tc>
          <w:tcPr>
            <w:tcW w:w="1400" w:type="dxa"/>
            <w:vAlign w:val="center"/>
          </w:tcPr>
          <w:p>
            <w:pPr>
              <w:widowControl/>
              <w:jc w:val="center"/>
              <w:textAlignment w:val="center"/>
              <w:rPr>
                <w:color w:val="auto"/>
                <w:kern w:val="0"/>
                <w:szCs w:val="21"/>
              </w:rPr>
            </w:pPr>
            <w:r>
              <w:rPr>
                <w:rFonts w:hint="eastAsia"/>
                <w:color w:val="auto"/>
                <w:szCs w:val="21"/>
              </w:rPr>
              <w:t>14.2</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25.7</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5.22</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2.1</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37.4</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264.8</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199</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0.0005</w:t>
            </w:r>
          </w:p>
        </w:tc>
        <w:tc>
          <w:tcPr>
            <w:tcW w:w="780" w:type="dxa"/>
            <w:vAlign w:val="center"/>
          </w:tcPr>
          <w:p>
            <w:pPr>
              <w:widowControl/>
              <w:spacing w:line="360" w:lineRule="auto"/>
              <w:jc w:val="center"/>
              <w:rPr>
                <w:color w:val="auto"/>
                <w:kern w:val="0"/>
                <w:szCs w:val="21"/>
              </w:rPr>
            </w:pPr>
            <w:r>
              <w:rPr>
                <w:rFonts w:hint="eastAsia"/>
                <w:color w:val="auto"/>
                <w:kern w:val="0"/>
                <w:szCs w:val="21"/>
              </w:rPr>
              <w:t>23.1</w:t>
            </w:r>
          </w:p>
        </w:tc>
        <w:tc>
          <w:tcPr>
            <w:tcW w:w="980" w:type="dxa"/>
            <w:vAlign w:val="center"/>
          </w:tcPr>
          <w:p>
            <w:pPr>
              <w:widowControl/>
              <w:spacing w:line="360" w:lineRule="auto"/>
              <w:jc w:val="center"/>
              <w:rPr>
                <w:color w:val="auto"/>
                <w:kern w:val="0"/>
                <w:szCs w:val="21"/>
              </w:rPr>
            </w:pPr>
            <w:r>
              <w:rPr>
                <w:rFonts w:hint="eastAsia"/>
                <w:color w:val="auto"/>
                <w:kern w:val="0"/>
                <w:szCs w:val="21"/>
              </w:rPr>
              <w:t>101.1</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0.57 </w:t>
            </w:r>
          </w:p>
        </w:tc>
        <w:tc>
          <w:tcPr>
            <w:tcW w:w="1260" w:type="dxa"/>
            <w:vAlign w:val="center"/>
          </w:tcPr>
          <w:p>
            <w:pPr>
              <w:widowControl/>
              <w:jc w:val="center"/>
              <w:textAlignment w:val="center"/>
              <w:rPr>
                <w:color w:val="auto"/>
                <w:szCs w:val="21"/>
              </w:rPr>
            </w:pPr>
            <w:r>
              <w:rPr>
                <w:rFonts w:hint="eastAsia"/>
                <w:color w:val="auto"/>
                <w:szCs w:val="21"/>
              </w:rPr>
              <w:t>2.9</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29.1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29.7</w:t>
            </w:r>
          </w:p>
        </w:tc>
        <w:tc>
          <w:tcPr>
            <w:tcW w:w="980" w:type="dxa"/>
            <w:vAlign w:val="center"/>
          </w:tcPr>
          <w:p>
            <w:pPr>
              <w:widowControl/>
              <w:spacing w:line="360" w:lineRule="auto"/>
              <w:jc w:val="center"/>
              <w:rPr>
                <w:color w:val="auto"/>
                <w:kern w:val="0"/>
                <w:szCs w:val="21"/>
              </w:rPr>
            </w:pPr>
            <w:r>
              <w:rPr>
                <w:rFonts w:hint="eastAsia"/>
                <w:color w:val="auto"/>
                <w:kern w:val="0"/>
                <w:szCs w:val="21"/>
              </w:rPr>
              <w:t>100.7</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0.60 </w:t>
            </w:r>
          </w:p>
        </w:tc>
        <w:tc>
          <w:tcPr>
            <w:tcW w:w="1260" w:type="dxa"/>
            <w:vAlign w:val="center"/>
          </w:tcPr>
          <w:p>
            <w:pPr>
              <w:widowControl/>
              <w:jc w:val="center"/>
              <w:textAlignment w:val="center"/>
              <w:rPr>
                <w:color w:val="auto"/>
                <w:szCs w:val="21"/>
              </w:rPr>
            </w:pPr>
            <w:r>
              <w:rPr>
                <w:rFonts w:hint="eastAsia"/>
                <w:color w:val="auto"/>
                <w:szCs w:val="21"/>
              </w:rPr>
              <w:t>2.0</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44.3</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32.5</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0.61 </w:t>
            </w:r>
          </w:p>
        </w:tc>
        <w:tc>
          <w:tcPr>
            <w:tcW w:w="1260" w:type="dxa"/>
            <w:vAlign w:val="center"/>
          </w:tcPr>
          <w:p>
            <w:pPr>
              <w:widowControl/>
              <w:jc w:val="center"/>
              <w:textAlignment w:val="center"/>
              <w:rPr>
                <w:color w:val="auto"/>
                <w:szCs w:val="21"/>
              </w:rPr>
            </w:pPr>
            <w:r>
              <w:rPr>
                <w:rFonts w:hint="eastAsia"/>
                <w:color w:val="auto"/>
                <w:szCs w:val="21"/>
              </w:rPr>
              <w:t>1.9</w:t>
            </w:r>
          </w:p>
        </w:tc>
        <w:tc>
          <w:tcPr>
            <w:tcW w:w="1400" w:type="dxa"/>
            <w:vAlign w:val="center"/>
          </w:tcPr>
          <w:p>
            <w:pPr>
              <w:widowControl/>
              <w:jc w:val="center"/>
              <w:textAlignment w:val="center"/>
              <w:rPr>
                <w:color w:val="auto"/>
                <w:szCs w:val="21"/>
              </w:rPr>
            </w:pPr>
            <w:r>
              <w:rPr>
                <w:rFonts w:hint="eastAsia"/>
                <w:color w:val="auto"/>
                <w:szCs w:val="21"/>
              </w:rPr>
              <w:t>38.2</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25.3</w:t>
            </w:r>
          </w:p>
        </w:tc>
        <w:tc>
          <w:tcPr>
            <w:tcW w:w="980" w:type="dxa"/>
            <w:vAlign w:val="center"/>
          </w:tcPr>
          <w:p>
            <w:pPr>
              <w:widowControl/>
              <w:spacing w:line="360" w:lineRule="auto"/>
              <w:jc w:val="center"/>
              <w:rPr>
                <w:color w:val="auto"/>
                <w:kern w:val="0"/>
                <w:szCs w:val="21"/>
              </w:rPr>
            </w:pPr>
            <w:r>
              <w:rPr>
                <w:rFonts w:hint="eastAsia"/>
                <w:color w:val="auto"/>
                <w:kern w:val="0"/>
                <w:szCs w:val="21"/>
              </w:rPr>
              <w:t>100.9</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5.23</w:t>
            </w:r>
          </w:p>
          <w:p>
            <w:pPr>
              <w:widowControl/>
              <w:jc w:val="center"/>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0.63 </w:t>
            </w:r>
          </w:p>
        </w:tc>
        <w:tc>
          <w:tcPr>
            <w:tcW w:w="1260" w:type="dxa"/>
            <w:vAlign w:val="center"/>
          </w:tcPr>
          <w:p>
            <w:pPr>
              <w:widowControl/>
              <w:jc w:val="center"/>
              <w:textAlignment w:val="center"/>
              <w:rPr>
                <w:color w:val="auto"/>
                <w:szCs w:val="21"/>
              </w:rPr>
            </w:pPr>
            <w:r>
              <w:rPr>
                <w:rFonts w:hint="eastAsia"/>
                <w:color w:val="auto"/>
                <w:szCs w:val="21"/>
              </w:rPr>
              <w:t>5.5</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135.4</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229.2</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203</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0.0006</w:t>
            </w:r>
          </w:p>
        </w:tc>
        <w:tc>
          <w:tcPr>
            <w:tcW w:w="780" w:type="dxa"/>
            <w:vAlign w:val="center"/>
          </w:tcPr>
          <w:p>
            <w:pPr>
              <w:widowControl/>
              <w:spacing w:line="360" w:lineRule="auto"/>
              <w:jc w:val="center"/>
              <w:rPr>
                <w:color w:val="auto"/>
                <w:kern w:val="0"/>
                <w:szCs w:val="21"/>
              </w:rPr>
            </w:pPr>
            <w:r>
              <w:rPr>
                <w:rFonts w:hint="eastAsia"/>
                <w:color w:val="auto"/>
                <w:kern w:val="0"/>
                <w:szCs w:val="21"/>
              </w:rPr>
              <w:t>23.7</w:t>
            </w:r>
          </w:p>
        </w:tc>
        <w:tc>
          <w:tcPr>
            <w:tcW w:w="980" w:type="dxa"/>
            <w:vAlign w:val="center"/>
          </w:tcPr>
          <w:p>
            <w:pPr>
              <w:widowControl/>
              <w:spacing w:line="360" w:lineRule="auto"/>
              <w:jc w:val="center"/>
              <w:rPr>
                <w:color w:val="auto"/>
                <w:kern w:val="0"/>
                <w:szCs w:val="21"/>
              </w:rPr>
            </w:pPr>
            <w:r>
              <w:rPr>
                <w:rFonts w:hint="eastAsia"/>
                <w:color w:val="auto"/>
                <w:kern w:val="0"/>
                <w:szCs w:val="21"/>
              </w:rPr>
              <w:t>101.2</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西南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0.63 </w:t>
            </w:r>
          </w:p>
        </w:tc>
        <w:tc>
          <w:tcPr>
            <w:tcW w:w="1260" w:type="dxa"/>
            <w:vAlign w:val="center"/>
          </w:tcPr>
          <w:p>
            <w:pPr>
              <w:widowControl/>
              <w:jc w:val="center"/>
              <w:textAlignment w:val="center"/>
              <w:rPr>
                <w:color w:val="auto"/>
                <w:szCs w:val="21"/>
              </w:rPr>
            </w:pPr>
            <w:r>
              <w:rPr>
                <w:rFonts w:hint="eastAsia"/>
                <w:color w:val="auto"/>
                <w:szCs w:val="21"/>
              </w:rPr>
              <w:t>2.1</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70.9</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30.8</w:t>
            </w:r>
          </w:p>
        </w:tc>
        <w:tc>
          <w:tcPr>
            <w:tcW w:w="980" w:type="dxa"/>
            <w:vAlign w:val="center"/>
          </w:tcPr>
          <w:p>
            <w:pPr>
              <w:widowControl/>
              <w:spacing w:line="360" w:lineRule="auto"/>
              <w:jc w:val="center"/>
              <w:rPr>
                <w:color w:val="auto"/>
                <w:kern w:val="0"/>
                <w:szCs w:val="21"/>
              </w:rPr>
            </w:pPr>
            <w:r>
              <w:rPr>
                <w:rFonts w:hint="eastAsia"/>
                <w:color w:val="auto"/>
                <w:kern w:val="0"/>
                <w:szCs w:val="21"/>
              </w:rPr>
              <w:t>100.8</w:t>
            </w:r>
          </w:p>
        </w:tc>
        <w:tc>
          <w:tcPr>
            <w:tcW w:w="900" w:type="dxa"/>
            <w:vAlign w:val="center"/>
          </w:tcPr>
          <w:p>
            <w:pPr>
              <w:widowControl/>
              <w:spacing w:line="360" w:lineRule="auto"/>
              <w:jc w:val="center"/>
              <w:rPr>
                <w:color w:val="auto"/>
                <w:kern w:val="0"/>
                <w:szCs w:val="21"/>
              </w:rPr>
            </w:pPr>
            <w:r>
              <w:rPr>
                <w:rFonts w:hint="eastAsia"/>
                <w:color w:val="auto"/>
                <w:kern w:val="0"/>
                <w:szCs w:val="21"/>
              </w:rPr>
              <w:t>1.3</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0.64 </w:t>
            </w:r>
          </w:p>
        </w:tc>
        <w:tc>
          <w:tcPr>
            <w:tcW w:w="1260" w:type="dxa"/>
            <w:vAlign w:val="center"/>
          </w:tcPr>
          <w:p>
            <w:pPr>
              <w:widowControl/>
              <w:jc w:val="center"/>
              <w:textAlignment w:val="center"/>
              <w:rPr>
                <w:color w:val="auto"/>
                <w:szCs w:val="21"/>
              </w:rPr>
            </w:pPr>
            <w:r>
              <w:rPr>
                <w:rFonts w:hint="eastAsia"/>
                <w:color w:val="auto"/>
                <w:szCs w:val="21"/>
              </w:rPr>
              <w:t>5.1</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134.9</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32.8</w:t>
            </w:r>
          </w:p>
        </w:tc>
        <w:tc>
          <w:tcPr>
            <w:tcW w:w="980" w:type="dxa"/>
            <w:vAlign w:val="center"/>
          </w:tcPr>
          <w:p>
            <w:pPr>
              <w:widowControl/>
              <w:spacing w:line="360" w:lineRule="auto"/>
              <w:jc w:val="center"/>
              <w:rPr>
                <w:color w:val="auto"/>
                <w:kern w:val="0"/>
                <w:szCs w:val="21"/>
              </w:rPr>
            </w:pPr>
            <w:r>
              <w:rPr>
                <w:rFonts w:hint="eastAsia"/>
                <w:color w:val="auto"/>
                <w:kern w:val="0"/>
                <w:szCs w:val="21"/>
              </w:rPr>
              <w:t>100.5</w:t>
            </w:r>
          </w:p>
        </w:tc>
        <w:tc>
          <w:tcPr>
            <w:tcW w:w="900" w:type="dxa"/>
            <w:vAlign w:val="center"/>
          </w:tcPr>
          <w:p>
            <w:pPr>
              <w:widowControl/>
              <w:spacing w:line="360" w:lineRule="auto"/>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0.65 </w:t>
            </w:r>
          </w:p>
        </w:tc>
        <w:tc>
          <w:tcPr>
            <w:tcW w:w="1260" w:type="dxa"/>
            <w:vAlign w:val="center"/>
          </w:tcPr>
          <w:p>
            <w:pPr>
              <w:widowControl/>
              <w:jc w:val="center"/>
              <w:textAlignment w:val="center"/>
              <w:rPr>
                <w:color w:val="auto"/>
                <w:szCs w:val="21"/>
              </w:rPr>
            </w:pPr>
            <w:r>
              <w:rPr>
                <w:rFonts w:hint="eastAsia"/>
                <w:color w:val="auto"/>
                <w:szCs w:val="21"/>
              </w:rPr>
              <w:t>2.4</w:t>
            </w:r>
          </w:p>
        </w:tc>
        <w:tc>
          <w:tcPr>
            <w:tcW w:w="1400" w:type="dxa"/>
            <w:vAlign w:val="center"/>
          </w:tcPr>
          <w:p>
            <w:pPr>
              <w:widowControl/>
              <w:jc w:val="center"/>
              <w:textAlignment w:val="center"/>
              <w:rPr>
                <w:color w:val="auto"/>
                <w:szCs w:val="21"/>
              </w:rPr>
            </w:pPr>
            <w:r>
              <w:rPr>
                <w:rFonts w:hint="eastAsia"/>
                <w:color w:val="auto"/>
                <w:szCs w:val="21"/>
              </w:rPr>
              <w:t>68.1</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spacing w:line="360" w:lineRule="auto"/>
              <w:jc w:val="center"/>
              <w:rPr>
                <w:color w:val="auto"/>
                <w:kern w:val="0"/>
                <w:szCs w:val="21"/>
              </w:rPr>
            </w:pPr>
            <w:r>
              <w:rPr>
                <w:rFonts w:hint="eastAsia"/>
                <w:color w:val="auto"/>
                <w:kern w:val="0"/>
                <w:szCs w:val="21"/>
              </w:rPr>
              <w:t>25.9</w:t>
            </w:r>
          </w:p>
        </w:tc>
        <w:tc>
          <w:tcPr>
            <w:tcW w:w="980" w:type="dxa"/>
            <w:vAlign w:val="center"/>
          </w:tcPr>
          <w:p>
            <w:pPr>
              <w:widowControl/>
              <w:spacing w:line="360" w:lineRule="auto"/>
              <w:jc w:val="center"/>
              <w:rPr>
                <w:color w:val="auto"/>
                <w:kern w:val="0"/>
                <w:szCs w:val="21"/>
              </w:rPr>
            </w:pPr>
            <w:r>
              <w:rPr>
                <w:rFonts w:hint="eastAsia"/>
                <w:color w:val="auto"/>
                <w:kern w:val="0"/>
                <w:szCs w:val="21"/>
              </w:rPr>
              <w:t>101.0</w:t>
            </w:r>
          </w:p>
        </w:tc>
        <w:tc>
          <w:tcPr>
            <w:tcW w:w="900" w:type="dxa"/>
            <w:vAlign w:val="center"/>
          </w:tcPr>
          <w:p>
            <w:pPr>
              <w:widowControl/>
              <w:spacing w:line="360" w:lineRule="auto"/>
              <w:jc w:val="center"/>
              <w:rPr>
                <w:color w:val="auto"/>
                <w:kern w:val="0"/>
                <w:szCs w:val="21"/>
              </w:rPr>
            </w:pPr>
            <w:r>
              <w:rPr>
                <w:rFonts w:hint="eastAsia"/>
                <w:color w:val="auto"/>
                <w:kern w:val="0"/>
                <w:szCs w:val="21"/>
              </w:rPr>
              <w:t>1.5</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978" w:type="dxa"/>
            <w:vMerge w:val="continue"/>
            <w:vAlign w:val="center"/>
          </w:tcPr>
          <w:p>
            <w:pPr>
              <w:widowControl/>
              <w:jc w:val="left"/>
              <w:rPr>
                <w:color w:val="auto"/>
                <w:kern w:val="0"/>
                <w:szCs w:val="21"/>
              </w:rPr>
            </w:pPr>
          </w:p>
        </w:tc>
        <w:tc>
          <w:tcPr>
            <w:tcW w:w="650" w:type="dxa"/>
            <w:vMerge w:val="restart"/>
            <w:vAlign w:val="center"/>
          </w:tcPr>
          <w:p>
            <w:pPr>
              <w:widowControl/>
              <w:jc w:val="center"/>
              <w:rPr>
                <w:color w:val="auto"/>
                <w:kern w:val="0"/>
                <w:szCs w:val="21"/>
              </w:rPr>
            </w:pPr>
            <w:r>
              <w:rPr>
                <w:rFonts w:hint="eastAsia"/>
                <w:color w:val="auto"/>
                <w:kern w:val="0"/>
                <w:szCs w:val="21"/>
              </w:rPr>
              <w:t>5.24</w:t>
            </w:r>
          </w:p>
        </w:tc>
        <w:tc>
          <w:tcPr>
            <w:tcW w:w="910" w:type="dxa"/>
            <w:vAlign w:val="center"/>
          </w:tcPr>
          <w:p>
            <w:pPr>
              <w:widowControl/>
              <w:jc w:val="center"/>
              <w:rPr>
                <w:color w:val="auto"/>
                <w:kern w:val="0"/>
                <w:szCs w:val="21"/>
              </w:rPr>
            </w:pPr>
            <w:r>
              <w:rPr>
                <w:rFonts w:hint="eastAsia"/>
                <w:color w:val="auto"/>
                <w:kern w:val="0"/>
                <w:szCs w:val="21"/>
              </w:rPr>
              <w:t>2:00</w:t>
            </w:r>
          </w:p>
        </w:tc>
        <w:tc>
          <w:tcPr>
            <w:tcW w:w="1440" w:type="dxa"/>
            <w:vAlign w:val="center"/>
          </w:tcPr>
          <w:p>
            <w:pPr>
              <w:widowControl/>
              <w:jc w:val="center"/>
              <w:textAlignment w:val="center"/>
              <w:rPr>
                <w:color w:val="auto"/>
                <w:szCs w:val="21"/>
              </w:rPr>
            </w:pPr>
            <w:r>
              <w:rPr>
                <w:color w:val="auto"/>
                <w:kern w:val="0"/>
                <w:szCs w:val="21"/>
                <w:lang w:bidi="ar"/>
              </w:rPr>
              <w:t xml:space="preserve">0.66 </w:t>
            </w:r>
          </w:p>
        </w:tc>
        <w:tc>
          <w:tcPr>
            <w:tcW w:w="1260" w:type="dxa"/>
            <w:vAlign w:val="center"/>
          </w:tcPr>
          <w:p>
            <w:pPr>
              <w:widowControl/>
              <w:jc w:val="center"/>
              <w:textAlignment w:val="center"/>
              <w:rPr>
                <w:color w:val="auto"/>
                <w:szCs w:val="21"/>
              </w:rPr>
            </w:pPr>
            <w:r>
              <w:rPr>
                <w:rFonts w:hint="eastAsia"/>
                <w:color w:val="auto"/>
                <w:szCs w:val="21"/>
              </w:rPr>
              <w:t>5.2</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128.6</w:t>
            </w:r>
          </w:p>
        </w:tc>
        <w:tc>
          <w:tcPr>
            <w:tcW w:w="13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227.9</w:t>
            </w:r>
          </w:p>
        </w:tc>
        <w:tc>
          <w:tcPr>
            <w:tcW w:w="105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209</w:t>
            </w:r>
          </w:p>
        </w:tc>
        <w:tc>
          <w:tcPr>
            <w:tcW w:w="1180"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0.0007</w:t>
            </w:r>
          </w:p>
        </w:tc>
        <w:tc>
          <w:tcPr>
            <w:tcW w:w="780" w:type="dxa"/>
            <w:vAlign w:val="center"/>
          </w:tcPr>
          <w:p>
            <w:pPr>
              <w:widowControl/>
              <w:jc w:val="center"/>
              <w:rPr>
                <w:color w:val="auto"/>
                <w:kern w:val="0"/>
                <w:szCs w:val="21"/>
              </w:rPr>
            </w:pPr>
            <w:r>
              <w:rPr>
                <w:rFonts w:hint="eastAsia"/>
                <w:color w:val="auto"/>
                <w:kern w:val="0"/>
                <w:szCs w:val="21"/>
              </w:rPr>
              <w:t>23.4</w:t>
            </w:r>
          </w:p>
        </w:tc>
        <w:tc>
          <w:tcPr>
            <w:tcW w:w="980" w:type="dxa"/>
            <w:vAlign w:val="center"/>
          </w:tcPr>
          <w:p>
            <w:pPr>
              <w:widowControl/>
              <w:jc w:val="center"/>
              <w:rPr>
                <w:color w:val="auto"/>
                <w:kern w:val="0"/>
                <w:szCs w:val="21"/>
              </w:rPr>
            </w:pPr>
            <w:r>
              <w:rPr>
                <w:rFonts w:hint="eastAsia"/>
                <w:color w:val="auto"/>
                <w:kern w:val="0"/>
                <w:szCs w:val="21"/>
              </w:rPr>
              <w:t>101.3</w:t>
            </w:r>
          </w:p>
        </w:tc>
        <w:tc>
          <w:tcPr>
            <w:tcW w:w="900" w:type="dxa"/>
            <w:vAlign w:val="center"/>
          </w:tcPr>
          <w:p>
            <w:pPr>
              <w:widowControl/>
              <w:jc w:val="center"/>
              <w:rPr>
                <w:color w:val="auto"/>
                <w:kern w:val="0"/>
                <w:szCs w:val="21"/>
              </w:rPr>
            </w:pPr>
            <w:r>
              <w:rPr>
                <w:rFonts w:hint="eastAsia"/>
                <w:color w:val="auto"/>
                <w:kern w:val="0"/>
                <w:szCs w:val="21"/>
              </w:rPr>
              <w:t>1.6</w:t>
            </w:r>
          </w:p>
        </w:tc>
        <w:tc>
          <w:tcPr>
            <w:tcW w:w="54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东南</w:t>
            </w:r>
          </w:p>
        </w:tc>
        <w:tc>
          <w:tcPr>
            <w:tcW w:w="771" w:type="dxa"/>
            <w:vMerge w:val="restart"/>
            <w:vAlign w:val="center"/>
          </w:tcPr>
          <w:p>
            <w:pPr>
              <w:widowControl/>
              <w:jc w:val="center"/>
              <w:textAlignment w:val="center"/>
              <w:rPr>
                <w:color w:val="auto"/>
                <w:kern w:val="0"/>
                <w:szCs w:val="21"/>
              </w:rPr>
            </w:pPr>
            <w:r>
              <w:rPr>
                <w:rFonts w:hint="eastAsia" w:ascii="宋体" w:hAnsi="宋体" w:cs="宋体"/>
                <w:color w:val="auto"/>
                <w:kern w:val="0"/>
                <w:szCs w:val="21"/>
                <w:lang w:bidi="ar"/>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8:00</w:t>
            </w:r>
          </w:p>
        </w:tc>
        <w:tc>
          <w:tcPr>
            <w:tcW w:w="1440" w:type="dxa"/>
            <w:vAlign w:val="center"/>
          </w:tcPr>
          <w:p>
            <w:pPr>
              <w:widowControl/>
              <w:jc w:val="center"/>
              <w:textAlignment w:val="center"/>
              <w:rPr>
                <w:color w:val="auto"/>
                <w:szCs w:val="21"/>
              </w:rPr>
            </w:pPr>
            <w:r>
              <w:rPr>
                <w:color w:val="auto"/>
                <w:kern w:val="0"/>
                <w:szCs w:val="21"/>
                <w:lang w:bidi="ar"/>
              </w:rPr>
              <w:t xml:space="preserve">0.56 </w:t>
            </w:r>
          </w:p>
        </w:tc>
        <w:tc>
          <w:tcPr>
            <w:tcW w:w="1260" w:type="dxa"/>
            <w:vAlign w:val="center"/>
          </w:tcPr>
          <w:p>
            <w:pPr>
              <w:widowControl/>
              <w:jc w:val="center"/>
              <w:textAlignment w:val="center"/>
              <w:rPr>
                <w:color w:val="auto"/>
                <w:szCs w:val="21"/>
              </w:rPr>
            </w:pPr>
            <w:r>
              <w:rPr>
                <w:rFonts w:hint="eastAsia"/>
                <w:color w:val="auto"/>
                <w:szCs w:val="21"/>
              </w:rPr>
              <w:t>2.7</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74.8</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31.2</w:t>
            </w:r>
          </w:p>
        </w:tc>
        <w:tc>
          <w:tcPr>
            <w:tcW w:w="980" w:type="dxa"/>
            <w:vAlign w:val="center"/>
          </w:tcPr>
          <w:p>
            <w:pPr>
              <w:widowControl/>
              <w:jc w:val="center"/>
              <w:rPr>
                <w:color w:val="auto"/>
                <w:kern w:val="0"/>
                <w:szCs w:val="21"/>
              </w:rPr>
            </w:pPr>
            <w:r>
              <w:rPr>
                <w:rFonts w:hint="eastAsia"/>
                <w:color w:val="auto"/>
                <w:kern w:val="0"/>
                <w:szCs w:val="21"/>
              </w:rPr>
              <w:t>100.8</w:t>
            </w:r>
          </w:p>
        </w:tc>
        <w:tc>
          <w:tcPr>
            <w:tcW w:w="900" w:type="dxa"/>
            <w:vAlign w:val="center"/>
          </w:tcPr>
          <w:p>
            <w:pPr>
              <w:widowControl/>
              <w:jc w:val="center"/>
              <w:rPr>
                <w:color w:val="auto"/>
                <w:kern w:val="0"/>
                <w:szCs w:val="21"/>
              </w:rPr>
            </w:pPr>
            <w:r>
              <w:rPr>
                <w:rFonts w:hint="eastAsia"/>
                <w:color w:val="auto"/>
                <w:kern w:val="0"/>
                <w:szCs w:val="21"/>
              </w:rPr>
              <w:t>1.2</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14:00</w:t>
            </w:r>
          </w:p>
        </w:tc>
        <w:tc>
          <w:tcPr>
            <w:tcW w:w="1440" w:type="dxa"/>
            <w:vAlign w:val="center"/>
          </w:tcPr>
          <w:p>
            <w:pPr>
              <w:widowControl/>
              <w:jc w:val="center"/>
              <w:textAlignment w:val="center"/>
              <w:rPr>
                <w:color w:val="auto"/>
                <w:szCs w:val="21"/>
              </w:rPr>
            </w:pPr>
            <w:r>
              <w:rPr>
                <w:color w:val="auto"/>
                <w:kern w:val="0"/>
                <w:szCs w:val="21"/>
                <w:lang w:bidi="ar"/>
              </w:rPr>
              <w:t xml:space="preserve">0.62 </w:t>
            </w:r>
          </w:p>
        </w:tc>
        <w:tc>
          <w:tcPr>
            <w:tcW w:w="1260" w:type="dxa"/>
            <w:vAlign w:val="center"/>
          </w:tcPr>
          <w:p>
            <w:pPr>
              <w:widowControl/>
              <w:jc w:val="center"/>
              <w:textAlignment w:val="center"/>
              <w:rPr>
                <w:color w:val="auto"/>
                <w:szCs w:val="21"/>
              </w:rPr>
            </w:pPr>
            <w:r>
              <w:rPr>
                <w:rFonts w:hint="eastAsia"/>
                <w:color w:val="auto"/>
                <w:szCs w:val="21"/>
              </w:rPr>
              <w:t>2.6</w:t>
            </w:r>
          </w:p>
        </w:tc>
        <w:tc>
          <w:tcPr>
            <w:tcW w:w="1400" w:type="dxa"/>
            <w:vAlign w:val="center"/>
          </w:tcPr>
          <w:p>
            <w:pPr>
              <w:widowControl/>
              <w:jc w:val="center"/>
              <w:textAlignment w:val="center"/>
              <w:rPr>
                <w:color w:val="auto"/>
                <w:kern w:val="0"/>
                <w:szCs w:val="21"/>
                <w:lang w:bidi="ar"/>
              </w:rPr>
            </w:pPr>
            <w:r>
              <w:rPr>
                <w:rFonts w:hint="eastAsia"/>
                <w:color w:val="auto"/>
                <w:kern w:val="0"/>
                <w:szCs w:val="21"/>
                <w:lang w:bidi="ar"/>
              </w:rPr>
              <w:t>87.4</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32.1</w:t>
            </w:r>
          </w:p>
        </w:tc>
        <w:tc>
          <w:tcPr>
            <w:tcW w:w="980" w:type="dxa"/>
            <w:vAlign w:val="center"/>
          </w:tcPr>
          <w:p>
            <w:pPr>
              <w:widowControl/>
              <w:jc w:val="center"/>
              <w:rPr>
                <w:color w:val="auto"/>
                <w:kern w:val="0"/>
                <w:szCs w:val="21"/>
              </w:rPr>
            </w:pPr>
            <w:r>
              <w:rPr>
                <w:rFonts w:hint="eastAsia"/>
                <w:color w:val="auto"/>
                <w:kern w:val="0"/>
                <w:szCs w:val="21"/>
              </w:rPr>
              <w:t>100.5</w:t>
            </w:r>
          </w:p>
        </w:tc>
        <w:tc>
          <w:tcPr>
            <w:tcW w:w="900" w:type="dxa"/>
            <w:vAlign w:val="center"/>
          </w:tcPr>
          <w:p>
            <w:pPr>
              <w:widowControl/>
              <w:jc w:val="center"/>
              <w:rPr>
                <w:color w:val="auto"/>
                <w:kern w:val="0"/>
                <w:szCs w:val="21"/>
              </w:rPr>
            </w:pPr>
            <w:r>
              <w:rPr>
                <w:rFonts w:hint="eastAsia"/>
                <w:color w:val="auto"/>
                <w:kern w:val="0"/>
                <w:szCs w:val="21"/>
              </w:rPr>
              <w:t>1.4</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8" w:type="dxa"/>
            <w:vMerge w:val="continue"/>
            <w:vAlign w:val="center"/>
          </w:tcPr>
          <w:p>
            <w:pPr>
              <w:widowControl/>
              <w:jc w:val="left"/>
              <w:rPr>
                <w:color w:val="auto"/>
                <w:kern w:val="0"/>
                <w:szCs w:val="21"/>
              </w:rPr>
            </w:pPr>
          </w:p>
        </w:tc>
        <w:tc>
          <w:tcPr>
            <w:tcW w:w="650" w:type="dxa"/>
            <w:vMerge w:val="continue"/>
            <w:vAlign w:val="center"/>
          </w:tcPr>
          <w:p>
            <w:pPr>
              <w:widowControl/>
              <w:jc w:val="left"/>
              <w:rPr>
                <w:color w:val="auto"/>
                <w:kern w:val="0"/>
                <w:szCs w:val="21"/>
              </w:rPr>
            </w:pPr>
          </w:p>
        </w:tc>
        <w:tc>
          <w:tcPr>
            <w:tcW w:w="910" w:type="dxa"/>
            <w:vAlign w:val="center"/>
          </w:tcPr>
          <w:p>
            <w:pPr>
              <w:widowControl/>
              <w:jc w:val="center"/>
              <w:rPr>
                <w:color w:val="auto"/>
                <w:kern w:val="0"/>
                <w:szCs w:val="21"/>
              </w:rPr>
            </w:pPr>
            <w:r>
              <w:rPr>
                <w:rFonts w:hint="eastAsia"/>
                <w:color w:val="auto"/>
                <w:kern w:val="0"/>
                <w:szCs w:val="21"/>
              </w:rPr>
              <w:t>20:00</w:t>
            </w:r>
          </w:p>
        </w:tc>
        <w:tc>
          <w:tcPr>
            <w:tcW w:w="1440" w:type="dxa"/>
            <w:vAlign w:val="center"/>
          </w:tcPr>
          <w:p>
            <w:pPr>
              <w:widowControl/>
              <w:jc w:val="center"/>
              <w:textAlignment w:val="center"/>
              <w:rPr>
                <w:color w:val="auto"/>
                <w:szCs w:val="21"/>
              </w:rPr>
            </w:pPr>
            <w:r>
              <w:rPr>
                <w:color w:val="auto"/>
                <w:kern w:val="0"/>
                <w:szCs w:val="21"/>
                <w:lang w:bidi="ar"/>
              </w:rPr>
              <w:t xml:space="preserve">0.61 </w:t>
            </w:r>
          </w:p>
        </w:tc>
        <w:tc>
          <w:tcPr>
            <w:tcW w:w="1260" w:type="dxa"/>
            <w:vAlign w:val="center"/>
          </w:tcPr>
          <w:p>
            <w:pPr>
              <w:widowControl/>
              <w:jc w:val="center"/>
              <w:textAlignment w:val="center"/>
              <w:rPr>
                <w:color w:val="auto"/>
                <w:szCs w:val="21"/>
              </w:rPr>
            </w:pPr>
            <w:r>
              <w:rPr>
                <w:rFonts w:hint="eastAsia"/>
                <w:color w:val="auto"/>
                <w:szCs w:val="21"/>
              </w:rPr>
              <w:t>2.8</w:t>
            </w:r>
          </w:p>
        </w:tc>
        <w:tc>
          <w:tcPr>
            <w:tcW w:w="1400" w:type="dxa"/>
            <w:vAlign w:val="center"/>
          </w:tcPr>
          <w:p>
            <w:pPr>
              <w:widowControl/>
              <w:jc w:val="center"/>
              <w:textAlignment w:val="center"/>
              <w:rPr>
                <w:color w:val="auto"/>
                <w:szCs w:val="21"/>
              </w:rPr>
            </w:pPr>
            <w:r>
              <w:rPr>
                <w:rFonts w:hint="eastAsia"/>
                <w:color w:val="auto"/>
                <w:szCs w:val="21"/>
              </w:rPr>
              <w:t>101.6</w:t>
            </w:r>
          </w:p>
        </w:tc>
        <w:tc>
          <w:tcPr>
            <w:tcW w:w="1380" w:type="dxa"/>
            <w:vMerge w:val="continue"/>
            <w:vAlign w:val="center"/>
          </w:tcPr>
          <w:p>
            <w:pPr>
              <w:widowControl/>
              <w:jc w:val="center"/>
              <w:rPr>
                <w:color w:val="auto"/>
                <w:kern w:val="0"/>
                <w:szCs w:val="21"/>
              </w:rPr>
            </w:pPr>
          </w:p>
        </w:tc>
        <w:tc>
          <w:tcPr>
            <w:tcW w:w="1050" w:type="dxa"/>
            <w:vMerge w:val="continue"/>
            <w:vAlign w:val="center"/>
          </w:tcPr>
          <w:p>
            <w:pPr>
              <w:widowControl/>
              <w:jc w:val="center"/>
              <w:rPr>
                <w:color w:val="auto"/>
                <w:kern w:val="0"/>
                <w:szCs w:val="21"/>
              </w:rPr>
            </w:pPr>
          </w:p>
        </w:tc>
        <w:tc>
          <w:tcPr>
            <w:tcW w:w="1180" w:type="dxa"/>
            <w:vMerge w:val="continue"/>
            <w:vAlign w:val="center"/>
          </w:tcPr>
          <w:p>
            <w:pPr>
              <w:widowControl/>
              <w:jc w:val="center"/>
              <w:rPr>
                <w:color w:val="auto"/>
                <w:kern w:val="0"/>
                <w:szCs w:val="21"/>
              </w:rPr>
            </w:pPr>
          </w:p>
        </w:tc>
        <w:tc>
          <w:tcPr>
            <w:tcW w:w="780" w:type="dxa"/>
            <w:vAlign w:val="center"/>
          </w:tcPr>
          <w:p>
            <w:pPr>
              <w:widowControl/>
              <w:jc w:val="center"/>
              <w:rPr>
                <w:color w:val="auto"/>
                <w:kern w:val="0"/>
                <w:szCs w:val="21"/>
              </w:rPr>
            </w:pPr>
            <w:r>
              <w:rPr>
                <w:rFonts w:hint="eastAsia"/>
                <w:color w:val="auto"/>
                <w:kern w:val="0"/>
                <w:szCs w:val="21"/>
              </w:rPr>
              <w:t>25.4</w:t>
            </w:r>
          </w:p>
        </w:tc>
        <w:tc>
          <w:tcPr>
            <w:tcW w:w="980" w:type="dxa"/>
            <w:vAlign w:val="center"/>
          </w:tcPr>
          <w:p>
            <w:pPr>
              <w:widowControl/>
              <w:jc w:val="center"/>
              <w:rPr>
                <w:color w:val="auto"/>
                <w:kern w:val="0"/>
                <w:szCs w:val="21"/>
              </w:rPr>
            </w:pPr>
            <w:r>
              <w:rPr>
                <w:rFonts w:hint="eastAsia"/>
                <w:color w:val="auto"/>
                <w:kern w:val="0"/>
                <w:szCs w:val="21"/>
              </w:rPr>
              <w:t>100.9</w:t>
            </w:r>
          </w:p>
        </w:tc>
        <w:tc>
          <w:tcPr>
            <w:tcW w:w="900" w:type="dxa"/>
            <w:vAlign w:val="center"/>
          </w:tcPr>
          <w:p>
            <w:pPr>
              <w:widowControl/>
              <w:jc w:val="center"/>
              <w:rPr>
                <w:color w:val="auto"/>
                <w:kern w:val="0"/>
                <w:szCs w:val="21"/>
              </w:rPr>
            </w:pPr>
            <w:r>
              <w:rPr>
                <w:rFonts w:hint="eastAsia"/>
                <w:color w:val="auto"/>
                <w:kern w:val="0"/>
                <w:szCs w:val="21"/>
              </w:rPr>
              <w:t>1.6</w:t>
            </w:r>
          </w:p>
        </w:tc>
        <w:tc>
          <w:tcPr>
            <w:tcW w:w="541" w:type="dxa"/>
            <w:vMerge w:val="continue"/>
            <w:vAlign w:val="center"/>
          </w:tcPr>
          <w:p>
            <w:pPr>
              <w:widowControl/>
              <w:jc w:val="center"/>
              <w:rPr>
                <w:color w:val="auto"/>
                <w:kern w:val="0"/>
                <w:szCs w:val="21"/>
              </w:rPr>
            </w:pPr>
          </w:p>
        </w:tc>
        <w:tc>
          <w:tcPr>
            <w:tcW w:w="771" w:type="dxa"/>
            <w:vMerge w:val="continue"/>
            <w:vAlign w:val="center"/>
          </w:tcPr>
          <w:p>
            <w:pPr>
              <w:widowControl/>
              <w:jc w:val="center"/>
              <w:rPr>
                <w:color w:val="auto"/>
                <w:kern w:val="0"/>
                <w:szCs w:val="21"/>
              </w:rPr>
            </w:pPr>
          </w:p>
        </w:tc>
      </w:tr>
    </w:tbl>
    <w:p>
      <w:pPr>
        <w:snapToGrid w:val="0"/>
        <w:spacing w:line="360" w:lineRule="auto"/>
        <w:rPr>
          <w:color w:val="auto"/>
          <w:sz w:val="24"/>
        </w:rPr>
      </w:pPr>
    </w:p>
    <w:p>
      <w:pPr>
        <w:snapToGrid w:val="0"/>
        <w:spacing w:line="360" w:lineRule="auto"/>
        <w:ind w:firstLine="480" w:firstLineChars="200"/>
        <w:rPr>
          <w:color w:val="auto"/>
          <w:sz w:val="24"/>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p>
    <w:p>
      <w:pPr>
        <w:widowControl/>
        <w:ind w:firstLine="482" w:firstLineChars="200"/>
        <w:rPr>
          <w:b/>
          <w:color w:val="auto"/>
          <w:sz w:val="24"/>
        </w:rPr>
      </w:pPr>
      <w:r>
        <w:rPr>
          <w:b/>
          <w:color w:val="auto"/>
          <w:sz w:val="24"/>
        </w:rPr>
        <w:t>五、现状监测评价</w:t>
      </w:r>
    </w:p>
    <w:p>
      <w:pPr>
        <w:adjustRightInd w:val="0"/>
        <w:snapToGrid w:val="0"/>
        <w:spacing w:line="360" w:lineRule="auto"/>
        <w:ind w:firstLine="480" w:firstLineChars="200"/>
        <w:jc w:val="left"/>
        <w:rPr>
          <w:color w:val="auto"/>
          <w:sz w:val="24"/>
        </w:rPr>
      </w:pPr>
      <w:r>
        <w:rPr>
          <w:color w:val="auto"/>
          <w:kern w:val="0"/>
          <w:sz w:val="24"/>
        </w:rPr>
        <w:t>（1）</w:t>
      </w:r>
      <w:r>
        <w:rPr>
          <w:rFonts w:hint="eastAsia"/>
          <w:color w:val="auto"/>
          <w:kern w:val="0"/>
          <w:sz w:val="24"/>
        </w:rPr>
        <w:t>苯并[a]芘</w:t>
      </w:r>
    </w:p>
    <w:p>
      <w:pPr>
        <w:snapToGrid w:val="0"/>
        <w:spacing w:line="360" w:lineRule="auto"/>
        <w:ind w:firstLine="480" w:firstLineChars="200"/>
        <w:rPr>
          <w:color w:val="auto"/>
          <w:sz w:val="24"/>
        </w:rPr>
      </w:pPr>
      <w:r>
        <w:rPr>
          <w:color w:val="auto"/>
          <w:sz w:val="24"/>
        </w:rPr>
        <w:t>从</w:t>
      </w:r>
      <w:r>
        <w:rPr>
          <w:color w:val="auto"/>
          <w:sz w:val="24"/>
          <w:lang w:val="zh-CN"/>
        </w:rPr>
        <w:t>监测结果</w:t>
      </w:r>
      <w:r>
        <w:rPr>
          <w:color w:val="auto"/>
          <w:sz w:val="24"/>
        </w:rPr>
        <w:t>可见：各监测点的</w:t>
      </w:r>
      <w:r>
        <w:rPr>
          <w:rFonts w:hint="eastAsia"/>
          <w:color w:val="auto"/>
          <w:kern w:val="0"/>
          <w:sz w:val="24"/>
        </w:rPr>
        <w:t>苯并[a]芘</w:t>
      </w:r>
      <w:r>
        <w:rPr>
          <w:color w:val="auto"/>
          <w:sz w:val="24"/>
          <w:lang w:val="zh-CN"/>
        </w:rPr>
        <w:t>日平均浓度</w:t>
      </w:r>
      <w:r>
        <w:rPr>
          <w:color w:val="auto"/>
          <w:sz w:val="24"/>
        </w:rPr>
        <w:t>范围在未检出（检出限为</w:t>
      </w:r>
      <w:r>
        <w:rPr>
          <w:color w:val="auto"/>
          <w:kern w:val="0"/>
          <w:sz w:val="24"/>
        </w:rPr>
        <w:t>0.0003</w:t>
      </w:r>
      <w:r>
        <w:rPr>
          <w:bCs/>
          <w:color w:val="auto"/>
          <w:sz w:val="24"/>
        </w:rPr>
        <w:t>u</w:t>
      </w:r>
      <w:r>
        <w:rPr>
          <w:color w:val="auto"/>
          <w:sz w:val="24"/>
        </w:rPr>
        <w:t>g/m</w:t>
      </w:r>
      <w:r>
        <w:rPr>
          <w:color w:val="auto"/>
          <w:sz w:val="24"/>
          <w:vertAlign w:val="superscript"/>
        </w:rPr>
        <w:t>3</w:t>
      </w:r>
      <w:r>
        <w:rPr>
          <w:color w:val="auto"/>
          <w:sz w:val="24"/>
        </w:rPr>
        <w:t>）</w:t>
      </w:r>
      <w:r>
        <w:rPr>
          <w:color w:val="auto"/>
          <w:kern w:val="0"/>
          <w:sz w:val="24"/>
        </w:rPr>
        <w:t>~0.000</w:t>
      </w:r>
      <w:r>
        <w:rPr>
          <w:rFonts w:hint="eastAsia"/>
          <w:color w:val="auto"/>
          <w:kern w:val="0"/>
          <w:sz w:val="24"/>
        </w:rPr>
        <w:t>9</w:t>
      </w:r>
      <w:r>
        <w:rPr>
          <w:bCs/>
          <w:color w:val="auto"/>
          <w:sz w:val="24"/>
        </w:rPr>
        <w:t>u</w:t>
      </w:r>
      <w:r>
        <w:rPr>
          <w:color w:val="auto"/>
          <w:sz w:val="24"/>
        </w:rPr>
        <w:t>g/m</w:t>
      </w:r>
      <w:r>
        <w:rPr>
          <w:color w:val="auto"/>
          <w:sz w:val="24"/>
          <w:vertAlign w:val="superscript"/>
        </w:rPr>
        <w:t>3</w:t>
      </w:r>
      <w:r>
        <w:rPr>
          <w:color w:val="auto"/>
          <w:sz w:val="24"/>
        </w:rPr>
        <w:t>之间，最大浓度占标率为</w:t>
      </w:r>
      <w:r>
        <w:rPr>
          <w:color w:val="auto"/>
          <w:kern w:val="0"/>
          <w:sz w:val="24"/>
        </w:rPr>
        <w:t>32.00%</w:t>
      </w:r>
      <w:r>
        <w:rPr>
          <w:color w:val="auto"/>
          <w:sz w:val="24"/>
        </w:rPr>
        <w:t>，超标率为0，目前评价区域的</w:t>
      </w:r>
      <w:r>
        <w:rPr>
          <w:rFonts w:hint="eastAsia"/>
          <w:color w:val="auto"/>
          <w:kern w:val="0"/>
          <w:sz w:val="24"/>
        </w:rPr>
        <w:t>苯并[a]芘</w:t>
      </w:r>
      <w:r>
        <w:rPr>
          <w:color w:val="auto"/>
          <w:sz w:val="24"/>
        </w:rPr>
        <w:t>浓度可满足评价标准要求。</w:t>
      </w:r>
    </w:p>
    <w:p>
      <w:pPr>
        <w:adjustRightInd w:val="0"/>
        <w:snapToGrid w:val="0"/>
        <w:spacing w:line="360" w:lineRule="auto"/>
        <w:ind w:firstLine="480" w:firstLineChars="200"/>
        <w:jc w:val="left"/>
        <w:rPr>
          <w:color w:val="auto"/>
          <w:sz w:val="24"/>
        </w:rPr>
      </w:pPr>
      <w:r>
        <w:rPr>
          <w:color w:val="auto"/>
          <w:sz w:val="24"/>
        </w:rPr>
        <w:t>（2）</w:t>
      </w:r>
      <w:r>
        <w:rPr>
          <w:color w:val="auto"/>
          <w:kern w:val="0"/>
          <w:sz w:val="24"/>
        </w:rPr>
        <w:t>非甲烷总烃</w:t>
      </w:r>
    </w:p>
    <w:p>
      <w:pPr>
        <w:autoSpaceDE w:val="0"/>
        <w:autoSpaceDN w:val="0"/>
        <w:adjustRightInd w:val="0"/>
        <w:snapToGrid w:val="0"/>
        <w:spacing w:line="360" w:lineRule="auto"/>
        <w:ind w:firstLine="480" w:firstLineChars="200"/>
        <w:rPr>
          <w:color w:val="auto"/>
          <w:sz w:val="24"/>
          <w:lang w:val="zh-CN"/>
        </w:rPr>
      </w:pPr>
      <w:r>
        <w:rPr>
          <w:color w:val="auto"/>
          <w:sz w:val="24"/>
        </w:rPr>
        <w:t>从</w:t>
      </w:r>
      <w:r>
        <w:rPr>
          <w:color w:val="auto"/>
          <w:sz w:val="24"/>
          <w:lang w:val="zh-CN"/>
        </w:rPr>
        <w:t>监测结果</w:t>
      </w:r>
      <w:r>
        <w:rPr>
          <w:color w:val="auto"/>
          <w:sz w:val="24"/>
        </w:rPr>
        <w:t>可见：各监测点的</w:t>
      </w:r>
      <w:r>
        <w:rPr>
          <w:color w:val="auto"/>
          <w:kern w:val="0"/>
          <w:sz w:val="24"/>
        </w:rPr>
        <w:t>非甲烷总烃</w:t>
      </w:r>
      <w:r>
        <w:rPr>
          <w:color w:val="auto"/>
          <w:sz w:val="24"/>
        </w:rPr>
        <w:t>小时平均浓度范围在</w:t>
      </w:r>
      <w:r>
        <w:rPr>
          <w:rFonts w:hint="eastAsia"/>
          <w:color w:val="auto"/>
          <w:sz w:val="24"/>
        </w:rPr>
        <w:t>0.55~0.66m</w:t>
      </w:r>
      <w:r>
        <w:rPr>
          <w:color w:val="auto"/>
          <w:sz w:val="24"/>
        </w:rPr>
        <w:t>g/m</w:t>
      </w:r>
      <w:r>
        <w:rPr>
          <w:color w:val="auto"/>
          <w:sz w:val="24"/>
          <w:vertAlign w:val="superscript"/>
        </w:rPr>
        <w:t>3</w:t>
      </w:r>
      <w:r>
        <w:rPr>
          <w:color w:val="auto"/>
          <w:sz w:val="24"/>
        </w:rPr>
        <w:t>之间，最大浓度占标率为</w:t>
      </w:r>
      <w:r>
        <w:rPr>
          <w:rFonts w:hint="eastAsia"/>
          <w:color w:val="auto"/>
          <w:sz w:val="24"/>
        </w:rPr>
        <w:t>33</w:t>
      </w:r>
      <w:r>
        <w:rPr>
          <w:color w:val="auto"/>
          <w:kern w:val="0"/>
          <w:sz w:val="24"/>
        </w:rPr>
        <w:t>.00%</w:t>
      </w:r>
      <w:r>
        <w:rPr>
          <w:color w:val="auto"/>
          <w:sz w:val="24"/>
        </w:rPr>
        <w:t>，超标率为0，超标率为0，目前评价区域的</w:t>
      </w:r>
      <w:r>
        <w:rPr>
          <w:color w:val="auto"/>
          <w:kern w:val="0"/>
          <w:sz w:val="24"/>
        </w:rPr>
        <w:t>非甲烷总烃</w:t>
      </w:r>
      <w:r>
        <w:rPr>
          <w:color w:val="auto"/>
          <w:sz w:val="24"/>
        </w:rPr>
        <w:t>浓度可满足评价标准要求。</w:t>
      </w:r>
    </w:p>
    <w:p>
      <w:pPr>
        <w:adjustRightInd w:val="0"/>
        <w:snapToGrid w:val="0"/>
        <w:spacing w:line="360" w:lineRule="auto"/>
        <w:ind w:firstLine="480" w:firstLineChars="200"/>
        <w:jc w:val="left"/>
        <w:rPr>
          <w:color w:val="auto"/>
          <w:sz w:val="24"/>
        </w:rPr>
      </w:pPr>
      <w:r>
        <w:rPr>
          <w:color w:val="auto"/>
          <w:sz w:val="24"/>
        </w:rPr>
        <w:t>（3）</w:t>
      </w:r>
      <w:r>
        <w:rPr>
          <w:color w:val="auto"/>
          <w:kern w:val="0"/>
          <w:sz w:val="24"/>
        </w:rPr>
        <w:t>苯</w:t>
      </w:r>
    </w:p>
    <w:p>
      <w:pPr>
        <w:snapToGrid w:val="0"/>
        <w:spacing w:line="360" w:lineRule="auto"/>
        <w:ind w:firstLine="480" w:firstLineChars="200"/>
        <w:rPr>
          <w:color w:val="auto"/>
          <w:sz w:val="24"/>
        </w:rPr>
      </w:pPr>
      <w:r>
        <w:rPr>
          <w:color w:val="auto"/>
          <w:sz w:val="24"/>
        </w:rPr>
        <w:t>从</w:t>
      </w:r>
      <w:r>
        <w:rPr>
          <w:color w:val="auto"/>
          <w:sz w:val="24"/>
          <w:lang w:val="zh-CN"/>
        </w:rPr>
        <w:t>监测结果</w:t>
      </w:r>
      <w:r>
        <w:rPr>
          <w:color w:val="auto"/>
          <w:sz w:val="24"/>
        </w:rPr>
        <w:t>可见：各监测点的</w:t>
      </w:r>
      <w:r>
        <w:rPr>
          <w:color w:val="auto"/>
          <w:kern w:val="0"/>
          <w:sz w:val="24"/>
        </w:rPr>
        <w:t>苯</w:t>
      </w:r>
      <w:r>
        <w:rPr>
          <w:color w:val="auto"/>
          <w:sz w:val="24"/>
        </w:rPr>
        <w:t>小时平均浓度范围在</w:t>
      </w:r>
      <w:r>
        <w:rPr>
          <w:rFonts w:hint="eastAsia"/>
          <w:color w:val="auto"/>
          <w:sz w:val="24"/>
        </w:rPr>
        <w:t>1.4~12.3</w:t>
      </w:r>
      <w:r>
        <w:rPr>
          <w:bCs/>
          <w:color w:val="auto"/>
          <w:sz w:val="24"/>
        </w:rPr>
        <w:t>u</w:t>
      </w:r>
      <w:r>
        <w:rPr>
          <w:color w:val="auto"/>
          <w:sz w:val="24"/>
        </w:rPr>
        <w:t>g/m</w:t>
      </w:r>
      <w:r>
        <w:rPr>
          <w:color w:val="auto"/>
          <w:sz w:val="24"/>
          <w:vertAlign w:val="superscript"/>
        </w:rPr>
        <w:t>3</w:t>
      </w:r>
      <w:r>
        <w:rPr>
          <w:color w:val="auto"/>
          <w:sz w:val="24"/>
        </w:rPr>
        <w:t>，超标率为0，</w:t>
      </w:r>
      <w:r>
        <w:rPr>
          <w:rFonts w:hint="eastAsia"/>
          <w:color w:val="auto"/>
          <w:sz w:val="24"/>
        </w:rPr>
        <w:t>最大浓度占标率为11.3%，</w:t>
      </w:r>
      <w:r>
        <w:rPr>
          <w:color w:val="auto"/>
          <w:sz w:val="24"/>
        </w:rPr>
        <w:t>目前评价区域的</w:t>
      </w:r>
      <w:r>
        <w:rPr>
          <w:color w:val="auto"/>
          <w:kern w:val="0"/>
          <w:sz w:val="24"/>
        </w:rPr>
        <w:t>苯</w:t>
      </w:r>
      <w:r>
        <w:rPr>
          <w:color w:val="auto"/>
          <w:sz w:val="24"/>
        </w:rPr>
        <w:t>浓度可满足评价标准要求。</w:t>
      </w:r>
    </w:p>
    <w:p>
      <w:pPr>
        <w:adjustRightInd w:val="0"/>
        <w:snapToGrid w:val="0"/>
        <w:spacing w:line="360" w:lineRule="auto"/>
        <w:ind w:firstLine="480" w:firstLineChars="200"/>
        <w:jc w:val="left"/>
        <w:rPr>
          <w:color w:val="auto"/>
          <w:sz w:val="24"/>
        </w:rPr>
      </w:pPr>
      <w:r>
        <w:rPr>
          <w:color w:val="auto"/>
          <w:sz w:val="24"/>
        </w:rPr>
        <w:t>（4）</w:t>
      </w:r>
      <w:r>
        <w:rPr>
          <w:color w:val="auto"/>
          <w:kern w:val="0"/>
          <w:sz w:val="24"/>
        </w:rPr>
        <w:t>二甲苯</w:t>
      </w:r>
    </w:p>
    <w:p>
      <w:pPr>
        <w:snapToGrid w:val="0"/>
        <w:spacing w:line="360" w:lineRule="auto"/>
        <w:ind w:firstLine="480" w:firstLineChars="200"/>
        <w:rPr>
          <w:color w:val="auto"/>
          <w:sz w:val="24"/>
        </w:rPr>
      </w:pPr>
      <w:r>
        <w:rPr>
          <w:color w:val="auto"/>
          <w:sz w:val="24"/>
        </w:rPr>
        <w:t>从</w:t>
      </w:r>
      <w:r>
        <w:rPr>
          <w:color w:val="auto"/>
          <w:sz w:val="24"/>
          <w:lang w:val="zh-CN"/>
        </w:rPr>
        <w:t>监测结果</w:t>
      </w:r>
      <w:r>
        <w:rPr>
          <w:color w:val="auto"/>
          <w:sz w:val="24"/>
        </w:rPr>
        <w:t>可见：各监测点的</w:t>
      </w:r>
      <w:r>
        <w:rPr>
          <w:color w:val="auto"/>
          <w:kern w:val="0"/>
          <w:sz w:val="24"/>
        </w:rPr>
        <w:t>二甲苯</w:t>
      </w:r>
      <w:r>
        <w:rPr>
          <w:color w:val="auto"/>
          <w:sz w:val="24"/>
        </w:rPr>
        <w:t>小时平均浓度范围在</w:t>
      </w:r>
      <w:r>
        <w:rPr>
          <w:rFonts w:hint="eastAsia"/>
          <w:color w:val="auto"/>
          <w:sz w:val="24"/>
        </w:rPr>
        <w:t>12.3~186.7</w:t>
      </w:r>
      <w:r>
        <w:rPr>
          <w:bCs/>
          <w:color w:val="auto"/>
          <w:sz w:val="24"/>
        </w:rPr>
        <w:t>u</w:t>
      </w:r>
      <w:r>
        <w:rPr>
          <w:color w:val="auto"/>
          <w:sz w:val="24"/>
        </w:rPr>
        <w:t>g/m</w:t>
      </w:r>
      <w:r>
        <w:rPr>
          <w:color w:val="auto"/>
          <w:sz w:val="24"/>
          <w:vertAlign w:val="superscript"/>
        </w:rPr>
        <w:t>3</w:t>
      </w:r>
      <w:r>
        <w:rPr>
          <w:color w:val="auto"/>
          <w:sz w:val="24"/>
        </w:rPr>
        <w:t>，超标率为0，</w:t>
      </w:r>
      <w:r>
        <w:rPr>
          <w:rFonts w:hint="eastAsia"/>
          <w:color w:val="auto"/>
          <w:sz w:val="24"/>
        </w:rPr>
        <w:t>最大浓度占标率为93.35%，</w:t>
      </w:r>
      <w:r>
        <w:rPr>
          <w:color w:val="auto"/>
          <w:sz w:val="24"/>
        </w:rPr>
        <w:t>目前评价区域的</w:t>
      </w:r>
      <w:r>
        <w:rPr>
          <w:color w:val="auto"/>
          <w:kern w:val="0"/>
          <w:sz w:val="24"/>
        </w:rPr>
        <w:t>二甲苯</w:t>
      </w:r>
      <w:r>
        <w:rPr>
          <w:color w:val="auto"/>
          <w:sz w:val="24"/>
        </w:rPr>
        <w:t>浓度可满足评价标准要求。</w:t>
      </w:r>
    </w:p>
    <w:p>
      <w:pPr>
        <w:adjustRightInd w:val="0"/>
        <w:snapToGrid w:val="0"/>
        <w:spacing w:line="360" w:lineRule="auto"/>
        <w:ind w:firstLine="480" w:firstLineChars="200"/>
        <w:jc w:val="left"/>
        <w:rPr>
          <w:color w:val="auto"/>
          <w:sz w:val="24"/>
        </w:rPr>
      </w:pPr>
      <w:r>
        <w:rPr>
          <w:color w:val="auto"/>
          <w:sz w:val="24"/>
        </w:rPr>
        <w:t>（5）</w:t>
      </w:r>
      <w:r>
        <w:rPr>
          <w:color w:val="auto"/>
          <w:kern w:val="0"/>
          <w:sz w:val="24"/>
        </w:rPr>
        <w:t>TVOC</w:t>
      </w:r>
    </w:p>
    <w:p>
      <w:pPr>
        <w:snapToGrid w:val="0"/>
        <w:spacing w:line="360" w:lineRule="auto"/>
        <w:ind w:firstLine="480" w:firstLineChars="200"/>
        <w:rPr>
          <w:color w:val="auto"/>
          <w:sz w:val="24"/>
        </w:rPr>
      </w:pPr>
      <w:r>
        <w:rPr>
          <w:color w:val="auto"/>
          <w:sz w:val="24"/>
        </w:rPr>
        <w:t>从</w:t>
      </w:r>
      <w:r>
        <w:rPr>
          <w:color w:val="auto"/>
          <w:sz w:val="24"/>
          <w:lang w:val="zh-CN"/>
        </w:rPr>
        <w:t>监测结果</w:t>
      </w:r>
      <w:r>
        <w:rPr>
          <w:color w:val="auto"/>
          <w:sz w:val="24"/>
        </w:rPr>
        <w:t>可见：各监测点的</w:t>
      </w:r>
      <w:r>
        <w:rPr>
          <w:color w:val="auto"/>
          <w:kern w:val="0"/>
          <w:sz w:val="24"/>
        </w:rPr>
        <w:t>TVOC8</w:t>
      </w:r>
      <w:r>
        <w:rPr>
          <w:color w:val="auto"/>
          <w:sz w:val="24"/>
        </w:rPr>
        <w:t>小时平均浓度范围在</w:t>
      </w:r>
      <w:r>
        <w:rPr>
          <w:rFonts w:hint="eastAsia"/>
          <w:color w:val="auto"/>
          <w:kern w:val="0"/>
          <w:sz w:val="24"/>
        </w:rPr>
        <w:t>150.7</w:t>
      </w:r>
      <w:r>
        <w:rPr>
          <w:color w:val="auto"/>
          <w:kern w:val="0"/>
          <w:sz w:val="24"/>
        </w:rPr>
        <w:t>~</w:t>
      </w:r>
      <w:r>
        <w:rPr>
          <w:rFonts w:hint="eastAsia"/>
          <w:color w:val="auto"/>
          <w:kern w:val="0"/>
          <w:sz w:val="24"/>
        </w:rPr>
        <w:t>360.5</w:t>
      </w:r>
      <w:r>
        <w:rPr>
          <w:bCs/>
          <w:color w:val="auto"/>
          <w:sz w:val="24"/>
        </w:rPr>
        <w:t>u</w:t>
      </w:r>
      <w:r>
        <w:rPr>
          <w:color w:val="auto"/>
          <w:sz w:val="24"/>
        </w:rPr>
        <w:t>g/m</w:t>
      </w:r>
      <w:r>
        <w:rPr>
          <w:color w:val="auto"/>
          <w:sz w:val="24"/>
          <w:vertAlign w:val="superscript"/>
        </w:rPr>
        <w:t>3</w:t>
      </w:r>
      <w:r>
        <w:rPr>
          <w:color w:val="auto"/>
          <w:sz w:val="24"/>
        </w:rPr>
        <w:t>之间，最大浓度占标率为</w:t>
      </w:r>
      <w:r>
        <w:rPr>
          <w:rFonts w:hint="eastAsia"/>
          <w:color w:val="auto"/>
          <w:kern w:val="0"/>
          <w:sz w:val="24"/>
        </w:rPr>
        <w:t>60.1</w:t>
      </w:r>
      <w:r>
        <w:rPr>
          <w:color w:val="auto"/>
          <w:kern w:val="0"/>
          <w:sz w:val="24"/>
        </w:rPr>
        <w:t>%</w:t>
      </w:r>
      <w:r>
        <w:rPr>
          <w:color w:val="auto"/>
          <w:sz w:val="24"/>
        </w:rPr>
        <w:t>，超标率为0，目前评价区域的</w:t>
      </w:r>
      <w:r>
        <w:rPr>
          <w:color w:val="auto"/>
          <w:kern w:val="0"/>
          <w:sz w:val="24"/>
        </w:rPr>
        <w:t>TVOC</w:t>
      </w:r>
      <w:r>
        <w:rPr>
          <w:color w:val="auto"/>
          <w:sz w:val="24"/>
        </w:rPr>
        <w:t>浓度可满足评价标准要求。</w:t>
      </w:r>
    </w:p>
    <w:p>
      <w:pPr>
        <w:numPr>
          <w:ilvl w:val="0"/>
          <w:numId w:val="9"/>
        </w:numPr>
        <w:snapToGrid w:val="0"/>
        <w:spacing w:line="360" w:lineRule="auto"/>
        <w:ind w:firstLine="480" w:firstLineChars="200"/>
        <w:rPr>
          <w:color w:val="auto"/>
          <w:sz w:val="24"/>
        </w:rPr>
      </w:pPr>
      <w:r>
        <w:rPr>
          <w:color w:val="auto"/>
          <w:sz w:val="24"/>
        </w:rPr>
        <w:t>TSP</w:t>
      </w:r>
    </w:p>
    <w:p>
      <w:pPr>
        <w:snapToGrid w:val="0"/>
        <w:spacing w:line="360" w:lineRule="auto"/>
        <w:ind w:firstLine="480" w:firstLineChars="200"/>
        <w:rPr>
          <w:color w:val="auto"/>
          <w:sz w:val="24"/>
        </w:rPr>
      </w:pPr>
      <w:r>
        <w:rPr>
          <w:color w:val="auto"/>
          <w:sz w:val="24"/>
        </w:rPr>
        <w:t>从</w:t>
      </w:r>
      <w:r>
        <w:rPr>
          <w:color w:val="auto"/>
          <w:sz w:val="24"/>
          <w:lang w:val="zh-CN"/>
        </w:rPr>
        <w:t>监测结果</w:t>
      </w:r>
      <w:r>
        <w:rPr>
          <w:color w:val="auto"/>
          <w:sz w:val="24"/>
        </w:rPr>
        <w:t>可见：各监测点的</w:t>
      </w:r>
      <w:r>
        <w:rPr>
          <w:color w:val="auto"/>
          <w:kern w:val="0"/>
          <w:sz w:val="24"/>
        </w:rPr>
        <w:t>TSP平均</w:t>
      </w:r>
      <w:r>
        <w:rPr>
          <w:color w:val="auto"/>
          <w:sz w:val="24"/>
        </w:rPr>
        <w:t>浓度范围在</w:t>
      </w:r>
      <w:r>
        <w:rPr>
          <w:rFonts w:hint="eastAsia"/>
          <w:color w:val="auto"/>
          <w:kern w:val="0"/>
          <w:sz w:val="24"/>
        </w:rPr>
        <w:t>165</w:t>
      </w:r>
      <w:r>
        <w:rPr>
          <w:color w:val="auto"/>
          <w:kern w:val="0"/>
          <w:sz w:val="24"/>
        </w:rPr>
        <w:t>~</w:t>
      </w:r>
      <w:r>
        <w:rPr>
          <w:rFonts w:hint="eastAsia"/>
          <w:color w:val="auto"/>
          <w:kern w:val="0"/>
          <w:sz w:val="24"/>
        </w:rPr>
        <w:t>222</w:t>
      </w:r>
      <w:r>
        <w:rPr>
          <w:bCs/>
          <w:color w:val="auto"/>
          <w:sz w:val="24"/>
        </w:rPr>
        <w:t>u</w:t>
      </w:r>
      <w:r>
        <w:rPr>
          <w:color w:val="auto"/>
          <w:sz w:val="24"/>
        </w:rPr>
        <w:t>g/m</w:t>
      </w:r>
      <w:r>
        <w:rPr>
          <w:color w:val="auto"/>
          <w:sz w:val="24"/>
          <w:vertAlign w:val="superscript"/>
        </w:rPr>
        <w:t>3</w:t>
      </w:r>
      <w:r>
        <w:rPr>
          <w:color w:val="auto"/>
          <w:sz w:val="24"/>
        </w:rPr>
        <w:t>之间，最大浓度占标率为</w:t>
      </w:r>
      <w:r>
        <w:rPr>
          <w:rFonts w:hint="eastAsia"/>
          <w:color w:val="auto"/>
          <w:kern w:val="0"/>
          <w:sz w:val="24"/>
        </w:rPr>
        <w:t>74</w:t>
      </w:r>
      <w:r>
        <w:rPr>
          <w:color w:val="auto"/>
          <w:kern w:val="0"/>
          <w:sz w:val="24"/>
        </w:rPr>
        <w:t>%</w:t>
      </w:r>
      <w:r>
        <w:rPr>
          <w:color w:val="auto"/>
          <w:sz w:val="24"/>
        </w:rPr>
        <w:t>，超标率为0，目前评价区域的</w:t>
      </w:r>
      <w:r>
        <w:rPr>
          <w:color w:val="auto"/>
          <w:kern w:val="0"/>
          <w:sz w:val="24"/>
        </w:rPr>
        <w:t>TSP</w:t>
      </w:r>
      <w:r>
        <w:rPr>
          <w:color w:val="auto"/>
          <w:sz w:val="24"/>
        </w:rPr>
        <w:t>浓度可满足评价标准要求。</w:t>
      </w:r>
    </w:p>
    <w:p>
      <w:pPr>
        <w:snapToGrid w:val="0"/>
        <w:spacing w:line="360" w:lineRule="auto"/>
        <w:ind w:firstLine="480" w:firstLineChars="200"/>
        <w:rPr>
          <w:color w:val="auto"/>
          <w:sz w:val="24"/>
        </w:rPr>
      </w:pPr>
      <w:r>
        <w:rPr>
          <w:color w:val="auto"/>
          <w:sz w:val="24"/>
        </w:rPr>
        <w:t>综上所述，评价区域内各监测点，</w:t>
      </w:r>
      <w:r>
        <w:rPr>
          <w:color w:val="auto"/>
          <w:kern w:val="0"/>
          <w:sz w:val="24"/>
        </w:rPr>
        <w:t>TSP、</w:t>
      </w:r>
      <w:r>
        <w:rPr>
          <w:rFonts w:hint="eastAsia"/>
          <w:color w:val="auto"/>
          <w:kern w:val="0"/>
          <w:sz w:val="24"/>
        </w:rPr>
        <w:t>苯并[a]芘</w:t>
      </w:r>
      <w:r>
        <w:rPr>
          <w:color w:val="auto"/>
          <w:kern w:val="0"/>
          <w:sz w:val="24"/>
        </w:rPr>
        <w:t>、非甲烷总烃、苯和二甲苯</w:t>
      </w:r>
      <w:r>
        <w:rPr>
          <w:color w:val="auto"/>
          <w:sz w:val="24"/>
        </w:rPr>
        <w:t>连续7天小时平均浓度，</w:t>
      </w:r>
      <w:r>
        <w:rPr>
          <w:color w:val="auto"/>
          <w:kern w:val="0"/>
          <w:sz w:val="24"/>
        </w:rPr>
        <w:t>TVOC</w:t>
      </w:r>
      <w:r>
        <w:rPr>
          <w:color w:val="auto"/>
          <w:sz w:val="24"/>
        </w:rPr>
        <w:t>连续7天8小时平均浓度均可满足相关的标准要求。</w:t>
      </w:r>
    </w:p>
    <w:p>
      <w:pPr>
        <w:pStyle w:val="7"/>
        <w:keepNext w:val="0"/>
        <w:widowControl/>
        <w:numPr>
          <w:ilvl w:val="2"/>
          <w:numId w:val="0"/>
        </w:numPr>
        <w:tabs>
          <w:tab w:val="clear" w:pos="720"/>
        </w:tabs>
        <w:snapToGrid w:val="0"/>
        <w:spacing w:before="159" w:after="159" w:line="240" w:lineRule="auto"/>
        <w:rPr>
          <w:color w:val="auto"/>
        </w:rPr>
      </w:pPr>
      <w:bookmarkStart w:id="556" w:name="_Toc30614"/>
      <w:r>
        <w:rPr>
          <w:rFonts w:hint="eastAsia"/>
          <w:color w:val="auto"/>
        </w:rPr>
        <w:t xml:space="preserve">5.6.3  </w:t>
      </w:r>
      <w:r>
        <w:rPr>
          <w:color w:val="auto"/>
        </w:rPr>
        <w:t>环境空气质量现状评价小结</w:t>
      </w:r>
      <w:bookmarkEnd w:id="556"/>
    </w:p>
    <w:p>
      <w:pPr>
        <w:tabs>
          <w:tab w:val="left" w:pos="360"/>
        </w:tabs>
        <w:snapToGrid w:val="0"/>
        <w:spacing w:before="159" w:beforeLines="50" w:line="360" w:lineRule="auto"/>
        <w:ind w:firstLine="480" w:firstLineChars="200"/>
        <w:rPr>
          <w:color w:val="auto"/>
          <w:sz w:val="24"/>
        </w:rPr>
      </w:pPr>
      <w:r>
        <w:rPr>
          <w:color w:val="auto"/>
          <w:sz w:val="24"/>
        </w:rPr>
        <w:t>项目所在区域属环境空气达标区域</w:t>
      </w:r>
      <w:r>
        <w:rPr>
          <w:color w:val="auto"/>
        </w:rPr>
        <w:t>。</w:t>
      </w:r>
      <w:r>
        <w:rPr>
          <w:color w:val="auto"/>
          <w:sz w:val="24"/>
        </w:rPr>
        <w:t>项目所在区域的环境空气中评价因子二氧化硫、二氧化氮、PM</w:t>
      </w:r>
      <w:r>
        <w:rPr>
          <w:color w:val="auto"/>
          <w:sz w:val="24"/>
          <w:vertAlign w:val="subscript"/>
        </w:rPr>
        <w:t>10</w:t>
      </w:r>
      <w:r>
        <w:rPr>
          <w:color w:val="auto"/>
          <w:sz w:val="24"/>
        </w:rPr>
        <w:t>年平均质量浓度，二氧化硫和二氧化氮24h平均质量浓度第98百分位数，PM</w:t>
      </w:r>
      <w:r>
        <w:rPr>
          <w:color w:val="auto"/>
          <w:sz w:val="24"/>
          <w:vertAlign w:val="subscript"/>
        </w:rPr>
        <w:t>10</w:t>
      </w:r>
      <w:r>
        <w:rPr>
          <w:color w:val="auto"/>
          <w:sz w:val="24"/>
        </w:rPr>
        <w:t>和一氧化碳24h平均质量浓度第95百分位数，臭氧日最大8小时平均质量浓度第90百分位数均达到《环境空气质量标准》(GB3095-2012)及其修改单（2018年9月1日起实施）二级浓度限值要求，PM</w:t>
      </w:r>
      <w:r>
        <w:rPr>
          <w:color w:val="auto"/>
          <w:sz w:val="24"/>
          <w:vertAlign w:val="subscript"/>
        </w:rPr>
        <w:t>2.5</w:t>
      </w:r>
      <w:r>
        <w:rPr>
          <w:color w:val="auto"/>
          <w:sz w:val="24"/>
        </w:rPr>
        <w:t>年平均质量浓度和24h平均质量浓度第95百分位数</w:t>
      </w:r>
      <w:r>
        <w:rPr>
          <w:rFonts w:hint="eastAsia"/>
          <w:color w:val="auto"/>
          <w:sz w:val="24"/>
        </w:rPr>
        <w:t>达到</w:t>
      </w:r>
      <w:r>
        <w:rPr>
          <w:color w:val="auto"/>
          <w:sz w:val="24"/>
        </w:rPr>
        <w:t>《环境空气质量标准》(GB3095-2012)及其修改单（2018年9月1日起实施）二级浓度限值要求。</w:t>
      </w:r>
    </w:p>
    <w:p>
      <w:pPr>
        <w:tabs>
          <w:tab w:val="left" w:pos="360"/>
        </w:tabs>
        <w:snapToGrid w:val="0"/>
        <w:spacing w:line="360" w:lineRule="auto"/>
        <w:ind w:firstLine="480" w:firstLineChars="200"/>
        <w:rPr>
          <w:color w:val="auto"/>
          <w:sz w:val="24"/>
        </w:rPr>
      </w:pPr>
      <w:r>
        <w:rPr>
          <w:color w:val="auto"/>
          <w:sz w:val="24"/>
        </w:rPr>
        <w:t>评价区域内各监测点，</w:t>
      </w:r>
      <w:r>
        <w:rPr>
          <w:color w:val="auto"/>
          <w:kern w:val="0"/>
          <w:sz w:val="24"/>
        </w:rPr>
        <w:t>TSP、</w:t>
      </w:r>
      <w:r>
        <w:rPr>
          <w:rFonts w:hint="eastAsia"/>
          <w:color w:val="auto"/>
          <w:kern w:val="0"/>
          <w:sz w:val="24"/>
        </w:rPr>
        <w:t>苯并[a]芘</w:t>
      </w:r>
      <w:r>
        <w:rPr>
          <w:color w:val="auto"/>
          <w:kern w:val="0"/>
          <w:sz w:val="24"/>
        </w:rPr>
        <w:t>、非甲烷总烃、苯和二甲苯</w:t>
      </w:r>
      <w:r>
        <w:rPr>
          <w:color w:val="auto"/>
          <w:sz w:val="24"/>
        </w:rPr>
        <w:t>连续7天小时平均浓度，</w:t>
      </w:r>
      <w:r>
        <w:rPr>
          <w:color w:val="auto"/>
          <w:kern w:val="0"/>
          <w:sz w:val="24"/>
        </w:rPr>
        <w:t>TVOC</w:t>
      </w:r>
      <w:r>
        <w:rPr>
          <w:color w:val="auto"/>
          <w:sz w:val="24"/>
        </w:rPr>
        <w:t>连续7天8小时平均浓度均可满足相关的标准要求。</w:t>
      </w:r>
    </w:p>
    <w:p>
      <w:pPr>
        <w:pStyle w:val="5"/>
        <w:numPr>
          <w:ilvl w:val="1"/>
          <w:numId w:val="0"/>
        </w:numPr>
        <w:tabs>
          <w:tab w:val="clear" w:pos="720"/>
        </w:tabs>
        <w:spacing w:before="159" w:after="159"/>
        <w:rPr>
          <w:color w:val="auto"/>
          <w:sz w:val="32"/>
          <w:szCs w:val="32"/>
        </w:rPr>
      </w:pPr>
      <w:bookmarkStart w:id="557" w:name="_Toc28022"/>
      <w:bookmarkStart w:id="558" w:name="_Toc12365"/>
      <w:r>
        <w:rPr>
          <w:rFonts w:hint="eastAsia"/>
          <w:color w:val="auto"/>
          <w:sz w:val="32"/>
          <w:szCs w:val="32"/>
        </w:rPr>
        <w:t xml:space="preserve">5.7  </w:t>
      </w:r>
      <w:r>
        <w:rPr>
          <w:color w:val="auto"/>
          <w:sz w:val="32"/>
          <w:szCs w:val="32"/>
        </w:rPr>
        <w:t>声环境质量现状调查与评价</w:t>
      </w:r>
      <w:bookmarkEnd w:id="555"/>
      <w:bookmarkEnd w:id="557"/>
      <w:bookmarkEnd w:id="558"/>
    </w:p>
    <w:p>
      <w:pPr>
        <w:pStyle w:val="7"/>
        <w:numPr>
          <w:ilvl w:val="2"/>
          <w:numId w:val="0"/>
        </w:numPr>
        <w:tabs>
          <w:tab w:val="clear" w:pos="720"/>
        </w:tabs>
        <w:snapToGrid w:val="0"/>
        <w:spacing w:before="159" w:after="79" w:afterLines="25"/>
        <w:jc w:val="both"/>
        <w:textAlignment w:val="auto"/>
        <w:rPr>
          <w:color w:val="auto"/>
        </w:rPr>
      </w:pPr>
      <w:bookmarkStart w:id="559" w:name="_Toc19543"/>
      <w:r>
        <w:rPr>
          <w:rFonts w:hint="eastAsia"/>
          <w:color w:val="auto"/>
        </w:rPr>
        <w:t xml:space="preserve">5.7.1  </w:t>
      </w:r>
      <w:r>
        <w:rPr>
          <w:color w:val="auto"/>
        </w:rPr>
        <w:t>环境质量现状监测</w:t>
      </w:r>
      <w:bookmarkEnd w:id="559"/>
    </w:p>
    <w:p>
      <w:pPr>
        <w:pStyle w:val="8"/>
        <w:numPr>
          <w:ilvl w:val="3"/>
          <w:numId w:val="0"/>
        </w:numPr>
        <w:tabs>
          <w:tab w:val="left" w:pos="709"/>
          <w:tab w:val="clear" w:pos="720"/>
        </w:tabs>
        <w:snapToGrid w:val="0"/>
        <w:spacing w:before="159" w:beforeLines="50"/>
        <w:rPr>
          <w:color w:val="auto"/>
        </w:rPr>
      </w:pPr>
      <w:r>
        <w:rPr>
          <w:rFonts w:hint="eastAsia"/>
          <w:color w:val="auto"/>
        </w:rPr>
        <w:t xml:space="preserve">5.7.1.1  </w:t>
      </w:r>
      <w:r>
        <w:rPr>
          <w:color w:val="auto"/>
        </w:rPr>
        <w:t>监测布点</w:t>
      </w:r>
    </w:p>
    <w:p>
      <w:pPr>
        <w:spacing w:line="360" w:lineRule="auto"/>
        <w:ind w:firstLine="482"/>
        <w:rPr>
          <w:color w:val="auto"/>
          <w:sz w:val="24"/>
        </w:rPr>
      </w:pPr>
      <w:r>
        <w:rPr>
          <w:color w:val="auto"/>
          <w:sz w:val="24"/>
        </w:rPr>
        <w:t>根据厂址及周围环境现状，</w:t>
      </w:r>
      <w:r>
        <w:rPr>
          <w:color w:val="auto"/>
          <w:sz w:val="24"/>
          <w:szCs w:val="20"/>
        </w:rPr>
        <w:t>在</w:t>
      </w:r>
      <w:r>
        <w:rPr>
          <w:color w:val="auto"/>
          <w:sz w:val="24"/>
        </w:rPr>
        <w:t>项目厂界四周</w:t>
      </w:r>
      <w:r>
        <w:rPr>
          <w:color w:val="auto"/>
          <w:sz w:val="24"/>
          <w:szCs w:val="20"/>
        </w:rPr>
        <w:t>布设4个点（编号分别为N1~N4）。</w:t>
      </w:r>
      <w:r>
        <w:rPr>
          <w:color w:val="auto"/>
          <w:sz w:val="24"/>
        </w:rPr>
        <w:t>监测点布设详见</w:t>
      </w:r>
      <w:r>
        <w:rPr>
          <w:rFonts w:hint="eastAsia"/>
          <w:color w:val="auto"/>
          <w:sz w:val="24"/>
        </w:rPr>
        <w:t>下表</w:t>
      </w:r>
      <w:r>
        <w:rPr>
          <w:rFonts w:hint="eastAsia"/>
          <w:color w:val="auto"/>
          <w:sz w:val="24"/>
          <w:lang w:val="en-US" w:eastAsia="zh-CN"/>
        </w:rPr>
        <w:t>及下图5.8-1。</w:t>
      </w:r>
    </w:p>
    <w:p>
      <w:pPr>
        <w:spacing w:before="159" w:beforeLines="50" w:line="360" w:lineRule="auto"/>
        <w:jc w:val="center"/>
        <w:rPr>
          <w:b/>
          <w:color w:val="auto"/>
          <w:szCs w:val="21"/>
        </w:rPr>
      </w:pPr>
      <w:bookmarkStart w:id="560" w:name="_Ref781954"/>
      <w:r>
        <w:rPr>
          <w:b/>
          <w:color w:val="auto"/>
          <w:szCs w:val="21"/>
        </w:rPr>
        <w:t>表</w:t>
      </w:r>
      <w:bookmarkEnd w:id="560"/>
      <w:r>
        <w:rPr>
          <w:rFonts w:hint="eastAsia"/>
          <w:b/>
          <w:color w:val="auto"/>
          <w:szCs w:val="21"/>
        </w:rPr>
        <w:t>5</w:t>
      </w:r>
      <w:r>
        <w:rPr>
          <w:b/>
          <w:color w:val="auto"/>
          <w:szCs w:val="21"/>
        </w:rPr>
        <w:t xml:space="preserve">.7-1 </w:t>
      </w:r>
      <w:r>
        <w:rPr>
          <w:rFonts w:hint="eastAsia"/>
          <w:b/>
          <w:color w:val="auto"/>
          <w:szCs w:val="21"/>
        </w:rPr>
        <w:t xml:space="preserve"> 声环境现状</w:t>
      </w:r>
      <w:r>
        <w:rPr>
          <w:b/>
          <w:color w:val="auto"/>
          <w:szCs w:val="21"/>
        </w:rPr>
        <w:t>监测布点</w:t>
      </w:r>
      <w:r>
        <w:rPr>
          <w:rFonts w:hint="eastAsia"/>
          <w:b/>
          <w:color w:val="auto"/>
          <w:szCs w:val="21"/>
        </w:rPr>
        <w:t>情况表</w:t>
      </w:r>
    </w:p>
    <w:tbl>
      <w:tblPr>
        <w:tblStyle w:val="2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2950"/>
        <w:gridCol w:w="1858"/>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962" w:type="dxa"/>
            <w:vAlign w:val="center"/>
          </w:tcPr>
          <w:p>
            <w:pPr>
              <w:spacing w:line="300" w:lineRule="auto"/>
              <w:jc w:val="center"/>
              <w:rPr>
                <w:color w:val="auto"/>
                <w:szCs w:val="21"/>
              </w:rPr>
            </w:pPr>
            <w:r>
              <w:rPr>
                <w:color w:val="auto"/>
                <w:szCs w:val="21"/>
              </w:rPr>
              <w:t>编号</w:t>
            </w:r>
          </w:p>
        </w:tc>
        <w:tc>
          <w:tcPr>
            <w:tcW w:w="2950" w:type="dxa"/>
            <w:vAlign w:val="center"/>
          </w:tcPr>
          <w:p>
            <w:pPr>
              <w:spacing w:line="300" w:lineRule="auto"/>
              <w:jc w:val="center"/>
              <w:rPr>
                <w:color w:val="auto"/>
                <w:szCs w:val="21"/>
              </w:rPr>
            </w:pPr>
            <w:r>
              <w:rPr>
                <w:color w:val="auto"/>
                <w:szCs w:val="21"/>
              </w:rPr>
              <w:t>监测点位</w:t>
            </w:r>
          </w:p>
        </w:tc>
        <w:tc>
          <w:tcPr>
            <w:tcW w:w="1858" w:type="dxa"/>
            <w:vAlign w:val="center"/>
          </w:tcPr>
          <w:p>
            <w:pPr>
              <w:spacing w:line="300" w:lineRule="auto"/>
              <w:jc w:val="center"/>
              <w:rPr>
                <w:color w:val="auto"/>
                <w:szCs w:val="21"/>
              </w:rPr>
            </w:pPr>
            <w:r>
              <w:rPr>
                <w:color w:val="auto"/>
                <w:szCs w:val="21"/>
              </w:rPr>
              <w:t>方位</w:t>
            </w:r>
          </w:p>
        </w:tc>
        <w:tc>
          <w:tcPr>
            <w:tcW w:w="1758" w:type="dxa"/>
            <w:vAlign w:val="center"/>
          </w:tcPr>
          <w:p>
            <w:pPr>
              <w:spacing w:line="300" w:lineRule="auto"/>
              <w:jc w:val="center"/>
              <w:rPr>
                <w:color w:val="auto"/>
                <w:szCs w:val="21"/>
              </w:rPr>
            </w:pPr>
            <w:r>
              <w:rPr>
                <w:color w:val="auto"/>
                <w:szCs w:val="21"/>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2" w:type="dxa"/>
            <w:vAlign w:val="center"/>
          </w:tcPr>
          <w:p>
            <w:pPr>
              <w:spacing w:line="300" w:lineRule="auto"/>
              <w:jc w:val="center"/>
              <w:rPr>
                <w:color w:val="auto"/>
                <w:szCs w:val="21"/>
              </w:rPr>
            </w:pPr>
            <w:r>
              <w:rPr>
                <w:color w:val="auto"/>
                <w:szCs w:val="21"/>
              </w:rPr>
              <w:t>N1</w:t>
            </w:r>
          </w:p>
        </w:tc>
        <w:tc>
          <w:tcPr>
            <w:tcW w:w="2950" w:type="dxa"/>
            <w:vAlign w:val="center"/>
          </w:tcPr>
          <w:p>
            <w:pPr>
              <w:pStyle w:val="32"/>
              <w:spacing w:line="300" w:lineRule="auto"/>
              <w:jc w:val="center"/>
              <w:rPr>
                <w:color w:val="auto"/>
                <w:szCs w:val="21"/>
              </w:rPr>
            </w:pPr>
            <w:r>
              <w:rPr>
                <w:color w:val="auto"/>
                <w:sz w:val="21"/>
                <w:szCs w:val="21"/>
              </w:rPr>
              <w:t>项目东面边界外1m处</w:t>
            </w:r>
          </w:p>
        </w:tc>
        <w:tc>
          <w:tcPr>
            <w:tcW w:w="1858" w:type="dxa"/>
            <w:vAlign w:val="center"/>
          </w:tcPr>
          <w:p>
            <w:pPr>
              <w:spacing w:line="300" w:lineRule="auto"/>
              <w:jc w:val="center"/>
              <w:rPr>
                <w:color w:val="auto"/>
                <w:szCs w:val="21"/>
              </w:rPr>
            </w:pPr>
            <w:r>
              <w:rPr>
                <w:color w:val="auto"/>
                <w:szCs w:val="21"/>
              </w:rPr>
              <w:t>E</w:t>
            </w:r>
          </w:p>
        </w:tc>
        <w:tc>
          <w:tcPr>
            <w:tcW w:w="1758" w:type="dxa"/>
            <w:vMerge w:val="restart"/>
            <w:vAlign w:val="center"/>
          </w:tcPr>
          <w:p>
            <w:pPr>
              <w:spacing w:line="300" w:lineRule="auto"/>
              <w:jc w:val="center"/>
              <w:rPr>
                <w:color w:val="auto"/>
                <w:szCs w:val="21"/>
              </w:rPr>
            </w:pPr>
            <w:r>
              <w:rPr>
                <w:color w:val="auto"/>
                <w:szCs w:val="21"/>
              </w:rPr>
              <w:t>L</w:t>
            </w:r>
            <w:r>
              <w:rPr>
                <w:color w:val="auto"/>
                <w:szCs w:val="21"/>
                <w:vertAlign w:val="subscript"/>
              </w:rPr>
              <w:t>eq</w:t>
            </w:r>
            <w:r>
              <w:rPr>
                <w:color w:val="auto"/>
                <w:szCs w:val="21"/>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2" w:type="dxa"/>
            <w:vAlign w:val="center"/>
          </w:tcPr>
          <w:p>
            <w:pPr>
              <w:spacing w:line="300" w:lineRule="auto"/>
              <w:jc w:val="center"/>
              <w:rPr>
                <w:color w:val="auto"/>
                <w:szCs w:val="21"/>
              </w:rPr>
            </w:pPr>
            <w:r>
              <w:rPr>
                <w:color w:val="auto"/>
                <w:szCs w:val="21"/>
              </w:rPr>
              <w:t>N2</w:t>
            </w:r>
          </w:p>
        </w:tc>
        <w:tc>
          <w:tcPr>
            <w:tcW w:w="2950" w:type="dxa"/>
            <w:vAlign w:val="center"/>
          </w:tcPr>
          <w:p>
            <w:pPr>
              <w:pStyle w:val="32"/>
              <w:spacing w:line="300" w:lineRule="auto"/>
              <w:jc w:val="center"/>
              <w:rPr>
                <w:color w:val="auto"/>
                <w:szCs w:val="21"/>
              </w:rPr>
            </w:pPr>
            <w:r>
              <w:rPr>
                <w:color w:val="auto"/>
                <w:sz w:val="21"/>
                <w:szCs w:val="21"/>
              </w:rPr>
              <w:t>项目西面边界外1m处</w:t>
            </w:r>
          </w:p>
        </w:tc>
        <w:tc>
          <w:tcPr>
            <w:tcW w:w="1858" w:type="dxa"/>
            <w:vAlign w:val="center"/>
          </w:tcPr>
          <w:p>
            <w:pPr>
              <w:spacing w:line="300" w:lineRule="auto"/>
              <w:jc w:val="center"/>
              <w:rPr>
                <w:color w:val="auto"/>
                <w:szCs w:val="21"/>
              </w:rPr>
            </w:pPr>
            <w:r>
              <w:rPr>
                <w:color w:val="auto"/>
                <w:szCs w:val="21"/>
              </w:rPr>
              <w:t>W</w:t>
            </w:r>
          </w:p>
        </w:tc>
        <w:tc>
          <w:tcPr>
            <w:tcW w:w="1758" w:type="dxa"/>
            <w:vMerge w:val="continue"/>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2" w:type="dxa"/>
            <w:vAlign w:val="center"/>
          </w:tcPr>
          <w:p>
            <w:pPr>
              <w:spacing w:line="300" w:lineRule="auto"/>
              <w:jc w:val="center"/>
              <w:rPr>
                <w:color w:val="auto"/>
                <w:szCs w:val="21"/>
              </w:rPr>
            </w:pPr>
            <w:r>
              <w:rPr>
                <w:color w:val="auto"/>
                <w:szCs w:val="21"/>
              </w:rPr>
              <w:t>N3</w:t>
            </w:r>
          </w:p>
        </w:tc>
        <w:tc>
          <w:tcPr>
            <w:tcW w:w="2950" w:type="dxa"/>
            <w:vAlign w:val="center"/>
          </w:tcPr>
          <w:p>
            <w:pPr>
              <w:pStyle w:val="32"/>
              <w:spacing w:line="300" w:lineRule="auto"/>
              <w:jc w:val="center"/>
              <w:rPr>
                <w:color w:val="auto"/>
                <w:szCs w:val="21"/>
              </w:rPr>
            </w:pPr>
            <w:r>
              <w:rPr>
                <w:color w:val="auto"/>
                <w:sz w:val="21"/>
                <w:szCs w:val="21"/>
              </w:rPr>
              <w:t>项目南面边界外1m处</w:t>
            </w:r>
          </w:p>
        </w:tc>
        <w:tc>
          <w:tcPr>
            <w:tcW w:w="1858" w:type="dxa"/>
            <w:vAlign w:val="center"/>
          </w:tcPr>
          <w:p>
            <w:pPr>
              <w:spacing w:line="300" w:lineRule="auto"/>
              <w:jc w:val="center"/>
              <w:rPr>
                <w:color w:val="auto"/>
                <w:szCs w:val="21"/>
              </w:rPr>
            </w:pPr>
            <w:r>
              <w:rPr>
                <w:color w:val="auto"/>
                <w:szCs w:val="21"/>
              </w:rPr>
              <w:t>S</w:t>
            </w:r>
          </w:p>
        </w:tc>
        <w:tc>
          <w:tcPr>
            <w:tcW w:w="1758" w:type="dxa"/>
            <w:vMerge w:val="continue"/>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2" w:type="dxa"/>
            <w:vAlign w:val="center"/>
          </w:tcPr>
          <w:p>
            <w:pPr>
              <w:spacing w:line="300" w:lineRule="auto"/>
              <w:jc w:val="center"/>
              <w:rPr>
                <w:color w:val="auto"/>
                <w:szCs w:val="21"/>
              </w:rPr>
            </w:pPr>
            <w:r>
              <w:rPr>
                <w:color w:val="auto"/>
                <w:szCs w:val="21"/>
              </w:rPr>
              <w:t>N4</w:t>
            </w:r>
          </w:p>
        </w:tc>
        <w:tc>
          <w:tcPr>
            <w:tcW w:w="2950" w:type="dxa"/>
            <w:vAlign w:val="center"/>
          </w:tcPr>
          <w:p>
            <w:pPr>
              <w:spacing w:line="300" w:lineRule="auto"/>
              <w:jc w:val="center"/>
              <w:rPr>
                <w:color w:val="auto"/>
                <w:kern w:val="0"/>
                <w:szCs w:val="21"/>
              </w:rPr>
            </w:pPr>
            <w:r>
              <w:rPr>
                <w:color w:val="auto"/>
                <w:szCs w:val="21"/>
              </w:rPr>
              <w:t>项目北面边界外1m处</w:t>
            </w:r>
          </w:p>
        </w:tc>
        <w:tc>
          <w:tcPr>
            <w:tcW w:w="1858" w:type="dxa"/>
            <w:vAlign w:val="center"/>
          </w:tcPr>
          <w:p>
            <w:pPr>
              <w:spacing w:line="300" w:lineRule="auto"/>
              <w:jc w:val="center"/>
              <w:rPr>
                <w:color w:val="auto"/>
                <w:szCs w:val="21"/>
              </w:rPr>
            </w:pPr>
            <w:r>
              <w:rPr>
                <w:color w:val="auto"/>
                <w:szCs w:val="21"/>
              </w:rPr>
              <w:t>N</w:t>
            </w:r>
          </w:p>
        </w:tc>
        <w:tc>
          <w:tcPr>
            <w:tcW w:w="1758" w:type="dxa"/>
            <w:vMerge w:val="continue"/>
            <w:vAlign w:val="center"/>
          </w:tcPr>
          <w:p>
            <w:pPr>
              <w:spacing w:line="300" w:lineRule="auto"/>
              <w:jc w:val="center"/>
              <w:rPr>
                <w:color w:val="auto"/>
                <w:szCs w:val="21"/>
              </w:rPr>
            </w:pPr>
          </w:p>
        </w:tc>
      </w:tr>
    </w:tbl>
    <w:p>
      <w:pPr>
        <w:pStyle w:val="8"/>
        <w:numPr>
          <w:ilvl w:val="3"/>
          <w:numId w:val="0"/>
        </w:numPr>
        <w:tabs>
          <w:tab w:val="left" w:pos="709"/>
          <w:tab w:val="clear" w:pos="720"/>
        </w:tabs>
        <w:snapToGrid w:val="0"/>
        <w:spacing w:before="159" w:beforeLines="50"/>
        <w:rPr>
          <w:color w:val="auto"/>
        </w:rPr>
      </w:pPr>
      <w:r>
        <w:rPr>
          <w:rFonts w:hint="eastAsia"/>
          <w:color w:val="auto"/>
        </w:rPr>
        <w:t xml:space="preserve">5.7.1.2  </w:t>
      </w:r>
      <w:r>
        <w:rPr>
          <w:color w:val="auto"/>
        </w:rPr>
        <w:t>监测时间、频次及监测单位</w:t>
      </w:r>
    </w:p>
    <w:p>
      <w:pPr>
        <w:spacing w:line="360" w:lineRule="auto"/>
        <w:ind w:firstLine="480" w:firstLineChars="200"/>
        <w:rPr>
          <w:color w:val="auto"/>
          <w:sz w:val="24"/>
        </w:rPr>
      </w:pPr>
      <w:r>
        <w:rPr>
          <w:color w:val="auto"/>
          <w:sz w:val="24"/>
        </w:rPr>
        <w:t>监测时间：2020年05月18日~ 2020年05月19日连续监测2天，每天分昼间和夜间各监测1次。</w:t>
      </w:r>
    </w:p>
    <w:p>
      <w:pPr>
        <w:tabs>
          <w:tab w:val="left" w:pos="360"/>
        </w:tabs>
        <w:snapToGrid w:val="0"/>
        <w:spacing w:line="360" w:lineRule="auto"/>
        <w:ind w:firstLine="480" w:firstLineChars="200"/>
        <w:rPr>
          <w:color w:val="auto"/>
          <w:sz w:val="24"/>
        </w:rPr>
      </w:pPr>
      <w:r>
        <w:rPr>
          <w:color w:val="auto"/>
          <w:sz w:val="24"/>
        </w:rPr>
        <w:t>监测单位：广州华航检测技术有限公司</w:t>
      </w:r>
      <w:r>
        <w:rPr>
          <w:rFonts w:hint="eastAsia"/>
          <w:color w:val="auto"/>
          <w:sz w:val="24"/>
        </w:rPr>
        <w:t>。</w:t>
      </w:r>
    </w:p>
    <w:p>
      <w:pPr>
        <w:pStyle w:val="8"/>
        <w:numPr>
          <w:ilvl w:val="3"/>
          <w:numId w:val="0"/>
        </w:numPr>
        <w:tabs>
          <w:tab w:val="left" w:pos="709"/>
          <w:tab w:val="clear" w:pos="720"/>
        </w:tabs>
        <w:snapToGrid w:val="0"/>
        <w:spacing w:before="159" w:beforeLines="50"/>
        <w:rPr>
          <w:color w:val="auto"/>
        </w:rPr>
      </w:pPr>
      <w:r>
        <w:rPr>
          <w:rFonts w:hint="eastAsia"/>
          <w:color w:val="auto"/>
        </w:rPr>
        <w:t xml:space="preserve">5.7.1.3  </w:t>
      </w:r>
      <w:r>
        <w:rPr>
          <w:color w:val="auto"/>
        </w:rPr>
        <w:t>采样和分析方法</w:t>
      </w:r>
    </w:p>
    <w:p>
      <w:pPr>
        <w:spacing w:line="360" w:lineRule="auto"/>
        <w:ind w:firstLine="480" w:firstLineChars="200"/>
        <w:rPr>
          <w:color w:val="auto"/>
        </w:rPr>
      </w:pPr>
      <w:r>
        <w:rPr>
          <w:color w:val="auto"/>
          <w:sz w:val="24"/>
        </w:rPr>
        <w:t>监测方法按《声环境质量标准》（GB3096-2008）以及国家环保局颁布的《环境监测技术规范》中有关规定进行。</w:t>
      </w:r>
    </w:p>
    <w:p>
      <w:pPr>
        <w:pStyle w:val="7"/>
        <w:numPr>
          <w:ilvl w:val="2"/>
          <w:numId w:val="0"/>
        </w:numPr>
        <w:tabs>
          <w:tab w:val="clear" w:pos="720"/>
        </w:tabs>
        <w:snapToGrid w:val="0"/>
        <w:spacing w:before="159" w:after="79" w:afterLines="25"/>
        <w:jc w:val="both"/>
        <w:textAlignment w:val="auto"/>
        <w:rPr>
          <w:color w:val="auto"/>
        </w:rPr>
      </w:pPr>
      <w:bookmarkStart w:id="561" w:name="_Toc602"/>
      <w:r>
        <w:rPr>
          <w:rFonts w:hint="eastAsia"/>
          <w:color w:val="auto"/>
        </w:rPr>
        <w:t xml:space="preserve">5.7.2  </w:t>
      </w:r>
      <w:r>
        <w:rPr>
          <w:color w:val="auto"/>
        </w:rPr>
        <w:t>评价标准</w:t>
      </w:r>
      <w:bookmarkEnd w:id="561"/>
    </w:p>
    <w:p>
      <w:pPr>
        <w:spacing w:line="360" w:lineRule="auto"/>
        <w:ind w:firstLine="420"/>
        <w:rPr>
          <w:color w:val="auto"/>
          <w:sz w:val="24"/>
        </w:rPr>
      </w:pPr>
      <w:r>
        <w:rPr>
          <w:color w:val="auto"/>
          <w:sz w:val="24"/>
        </w:rPr>
        <w:t>项目声环境执行《声环境质量标准》（GB3096-2008）3类标准，即昼间≤65dB(A)、夜间≤55dB(A)。</w:t>
      </w:r>
    </w:p>
    <w:p>
      <w:pPr>
        <w:pStyle w:val="7"/>
        <w:numPr>
          <w:ilvl w:val="2"/>
          <w:numId w:val="0"/>
        </w:numPr>
        <w:tabs>
          <w:tab w:val="clear" w:pos="720"/>
        </w:tabs>
        <w:snapToGrid w:val="0"/>
        <w:spacing w:before="159" w:after="79" w:afterLines="25"/>
        <w:jc w:val="both"/>
        <w:textAlignment w:val="auto"/>
        <w:rPr>
          <w:color w:val="auto"/>
        </w:rPr>
      </w:pPr>
      <w:bookmarkStart w:id="562" w:name="_Toc27612"/>
      <w:r>
        <w:rPr>
          <w:rFonts w:hint="eastAsia"/>
          <w:color w:val="auto"/>
        </w:rPr>
        <w:t xml:space="preserve">5.7.3  </w:t>
      </w:r>
      <w:r>
        <w:rPr>
          <w:color w:val="auto"/>
        </w:rPr>
        <w:t>现状监测结果与评价</w:t>
      </w:r>
      <w:bookmarkEnd w:id="562"/>
    </w:p>
    <w:p>
      <w:pPr>
        <w:tabs>
          <w:tab w:val="left" w:pos="360"/>
        </w:tabs>
        <w:snapToGrid w:val="0"/>
        <w:spacing w:line="360" w:lineRule="auto"/>
        <w:ind w:firstLine="480" w:firstLineChars="200"/>
        <w:rPr>
          <w:color w:val="auto"/>
          <w:sz w:val="24"/>
        </w:rPr>
      </w:pPr>
      <w:bookmarkStart w:id="563" w:name="_Toc12959320"/>
      <w:r>
        <w:rPr>
          <w:color w:val="auto"/>
          <w:sz w:val="24"/>
        </w:rPr>
        <w:t>项目声环境现状监测结果如</w:t>
      </w:r>
      <w:r>
        <w:rPr>
          <w:rFonts w:hint="eastAsia"/>
          <w:color w:val="auto"/>
          <w:sz w:val="24"/>
        </w:rPr>
        <w:t>下表</w:t>
      </w:r>
      <w:r>
        <w:rPr>
          <w:color w:val="auto"/>
          <w:sz w:val="24"/>
        </w:rPr>
        <w:t>所示。</w:t>
      </w:r>
    </w:p>
    <w:p>
      <w:pPr>
        <w:tabs>
          <w:tab w:val="left" w:pos="360"/>
        </w:tabs>
        <w:snapToGrid w:val="0"/>
        <w:spacing w:line="360" w:lineRule="auto"/>
        <w:ind w:firstLine="480" w:firstLineChars="200"/>
        <w:rPr>
          <w:color w:val="auto"/>
          <w:sz w:val="24"/>
        </w:rPr>
      </w:pPr>
      <w:r>
        <w:rPr>
          <w:color w:val="auto"/>
          <w:sz w:val="24"/>
        </w:rPr>
        <w:t>由声环境现状监测结果可知，项目周围边界声环境均可达到《声环境质量标准》（GB3096-2008）3类标准，可见项目所在区域的声环境质量良好。</w:t>
      </w:r>
    </w:p>
    <w:p>
      <w:pPr>
        <w:spacing w:before="159" w:beforeLines="50" w:line="360" w:lineRule="auto"/>
        <w:jc w:val="center"/>
        <w:rPr>
          <w:b/>
          <w:color w:val="auto"/>
          <w:szCs w:val="21"/>
        </w:rPr>
      </w:pPr>
      <w:bookmarkStart w:id="564" w:name="_Ref4230927"/>
      <w:r>
        <w:rPr>
          <w:b/>
          <w:color w:val="auto"/>
          <w:szCs w:val="21"/>
        </w:rPr>
        <w:t>表</w:t>
      </w:r>
      <w:bookmarkEnd w:id="564"/>
      <w:r>
        <w:rPr>
          <w:rFonts w:hint="eastAsia"/>
          <w:b/>
          <w:color w:val="auto"/>
          <w:szCs w:val="21"/>
        </w:rPr>
        <w:t>5</w:t>
      </w:r>
      <w:r>
        <w:rPr>
          <w:b/>
          <w:color w:val="auto"/>
          <w:szCs w:val="21"/>
        </w:rPr>
        <w:t xml:space="preserve">.7.2 </w:t>
      </w:r>
      <w:r>
        <w:rPr>
          <w:rFonts w:hint="eastAsia"/>
          <w:b/>
          <w:color w:val="auto"/>
          <w:szCs w:val="21"/>
        </w:rPr>
        <w:t xml:space="preserve"> </w:t>
      </w:r>
      <w:r>
        <w:rPr>
          <w:b/>
          <w:color w:val="auto"/>
          <w:szCs w:val="21"/>
        </w:rPr>
        <w:t>声环境现状监测结果单位:dB(A)</w:t>
      </w:r>
    </w:p>
    <w:tbl>
      <w:tblPr>
        <w:tblStyle w:val="23"/>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504"/>
        <w:gridCol w:w="1432"/>
        <w:gridCol w:w="1432"/>
        <w:gridCol w:w="1432"/>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exact"/>
        </w:trPr>
        <w:tc>
          <w:tcPr>
            <w:tcW w:w="709" w:type="dxa"/>
            <w:vMerge w:val="restart"/>
            <w:vAlign w:val="center"/>
          </w:tcPr>
          <w:p>
            <w:pPr>
              <w:jc w:val="center"/>
              <w:rPr>
                <w:color w:val="auto"/>
                <w:szCs w:val="21"/>
              </w:rPr>
            </w:pPr>
            <w:r>
              <w:rPr>
                <w:color w:val="auto"/>
                <w:szCs w:val="21"/>
              </w:rPr>
              <w:t>序号</w:t>
            </w:r>
          </w:p>
        </w:tc>
        <w:tc>
          <w:tcPr>
            <w:tcW w:w="2504" w:type="dxa"/>
            <w:vMerge w:val="restart"/>
            <w:vAlign w:val="center"/>
          </w:tcPr>
          <w:p>
            <w:pPr>
              <w:jc w:val="center"/>
              <w:rPr>
                <w:color w:val="auto"/>
                <w:szCs w:val="21"/>
              </w:rPr>
            </w:pPr>
            <w:r>
              <w:rPr>
                <w:color w:val="auto"/>
                <w:szCs w:val="21"/>
              </w:rPr>
              <w:t>采样点位</w:t>
            </w:r>
          </w:p>
        </w:tc>
        <w:tc>
          <w:tcPr>
            <w:tcW w:w="5733" w:type="dxa"/>
            <w:gridSpan w:val="4"/>
            <w:vAlign w:val="center"/>
          </w:tcPr>
          <w:p>
            <w:pPr>
              <w:jc w:val="center"/>
              <w:rPr>
                <w:color w:val="auto"/>
                <w:szCs w:val="21"/>
              </w:rPr>
            </w:pPr>
            <w:r>
              <w:rPr>
                <w:color w:val="auto"/>
                <w:szCs w:val="21"/>
              </w:rPr>
              <w:t>检测结果（dB（A））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trPr>
        <w:tc>
          <w:tcPr>
            <w:tcW w:w="709" w:type="dxa"/>
            <w:vMerge w:val="continue"/>
            <w:vAlign w:val="center"/>
          </w:tcPr>
          <w:p>
            <w:pPr>
              <w:jc w:val="center"/>
              <w:rPr>
                <w:color w:val="auto"/>
                <w:szCs w:val="21"/>
              </w:rPr>
            </w:pPr>
          </w:p>
        </w:tc>
        <w:tc>
          <w:tcPr>
            <w:tcW w:w="2504" w:type="dxa"/>
            <w:vMerge w:val="continue"/>
            <w:vAlign w:val="center"/>
          </w:tcPr>
          <w:p>
            <w:pPr>
              <w:jc w:val="center"/>
              <w:rPr>
                <w:color w:val="auto"/>
                <w:szCs w:val="21"/>
              </w:rPr>
            </w:pPr>
          </w:p>
        </w:tc>
        <w:tc>
          <w:tcPr>
            <w:tcW w:w="2864" w:type="dxa"/>
            <w:gridSpan w:val="2"/>
            <w:vAlign w:val="center"/>
          </w:tcPr>
          <w:p>
            <w:pPr>
              <w:jc w:val="center"/>
              <w:rPr>
                <w:color w:val="auto"/>
                <w:szCs w:val="21"/>
              </w:rPr>
            </w:pPr>
            <w:r>
              <w:rPr>
                <w:color w:val="auto"/>
                <w:szCs w:val="21"/>
              </w:rPr>
              <w:t>20</w:t>
            </w:r>
            <w:r>
              <w:rPr>
                <w:rFonts w:hint="eastAsia"/>
                <w:color w:val="auto"/>
                <w:szCs w:val="21"/>
              </w:rPr>
              <w:t>20</w:t>
            </w:r>
            <w:r>
              <w:rPr>
                <w:color w:val="auto"/>
                <w:szCs w:val="21"/>
              </w:rPr>
              <w:t>-0</w:t>
            </w:r>
            <w:r>
              <w:rPr>
                <w:rFonts w:hint="eastAsia"/>
                <w:color w:val="auto"/>
                <w:szCs w:val="21"/>
              </w:rPr>
              <w:t>5</w:t>
            </w:r>
            <w:r>
              <w:rPr>
                <w:color w:val="auto"/>
                <w:szCs w:val="21"/>
              </w:rPr>
              <w:t>-</w:t>
            </w:r>
            <w:r>
              <w:rPr>
                <w:rFonts w:hint="eastAsia"/>
                <w:color w:val="auto"/>
                <w:szCs w:val="21"/>
              </w:rPr>
              <w:t>18</w:t>
            </w:r>
          </w:p>
        </w:tc>
        <w:tc>
          <w:tcPr>
            <w:tcW w:w="2869" w:type="dxa"/>
            <w:gridSpan w:val="2"/>
            <w:vAlign w:val="center"/>
          </w:tcPr>
          <w:p>
            <w:pPr>
              <w:jc w:val="center"/>
              <w:rPr>
                <w:color w:val="auto"/>
                <w:szCs w:val="21"/>
              </w:rPr>
            </w:pPr>
            <w:r>
              <w:rPr>
                <w:color w:val="auto"/>
                <w:szCs w:val="21"/>
              </w:rPr>
              <w:t>20</w:t>
            </w:r>
            <w:r>
              <w:rPr>
                <w:rFonts w:hint="eastAsia"/>
                <w:color w:val="auto"/>
                <w:szCs w:val="21"/>
              </w:rPr>
              <w:t>20</w:t>
            </w:r>
            <w:r>
              <w:rPr>
                <w:color w:val="auto"/>
                <w:szCs w:val="21"/>
              </w:rPr>
              <w:t>-0</w:t>
            </w:r>
            <w:r>
              <w:rPr>
                <w:rFonts w:hint="eastAsia"/>
                <w:color w:val="auto"/>
                <w:szCs w:val="21"/>
              </w:rPr>
              <w:t>5</w:t>
            </w:r>
            <w:r>
              <w:rPr>
                <w:color w:val="auto"/>
                <w:szCs w:val="21"/>
              </w:rPr>
              <w:t>-</w:t>
            </w:r>
            <w:r>
              <w:rPr>
                <w:rFonts w:hint="eastAsia"/>
                <w:color w:val="auto"/>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exact"/>
        </w:trPr>
        <w:tc>
          <w:tcPr>
            <w:tcW w:w="709" w:type="dxa"/>
            <w:vMerge w:val="continue"/>
            <w:vAlign w:val="center"/>
          </w:tcPr>
          <w:p>
            <w:pPr>
              <w:jc w:val="center"/>
              <w:rPr>
                <w:color w:val="auto"/>
                <w:szCs w:val="21"/>
              </w:rPr>
            </w:pPr>
          </w:p>
        </w:tc>
        <w:tc>
          <w:tcPr>
            <w:tcW w:w="2504" w:type="dxa"/>
            <w:vMerge w:val="continue"/>
            <w:vAlign w:val="center"/>
          </w:tcPr>
          <w:p>
            <w:pPr>
              <w:jc w:val="center"/>
              <w:rPr>
                <w:color w:val="auto"/>
                <w:szCs w:val="21"/>
              </w:rPr>
            </w:pPr>
          </w:p>
        </w:tc>
        <w:tc>
          <w:tcPr>
            <w:tcW w:w="1432" w:type="dxa"/>
            <w:vAlign w:val="center"/>
          </w:tcPr>
          <w:p>
            <w:pPr>
              <w:jc w:val="center"/>
              <w:rPr>
                <w:color w:val="auto"/>
                <w:szCs w:val="21"/>
              </w:rPr>
            </w:pPr>
            <w:r>
              <w:rPr>
                <w:color w:val="auto"/>
                <w:szCs w:val="21"/>
              </w:rPr>
              <w:t>昼间</w:t>
            </w:r>
          </w:p>
        </w:tc>
        <w:tc>
          <w:tcPr>
            <w:tcW w:w="1432" w:type="dxa"/>
            <w:vAlign w:val="center"/>
          </w:tcPr>
          <w:p>
            <w:pPr>
              <w:jc w:val="center"/>
              <w:rPr>
                <w:color w:val="auto"/>
                <w:szCs w:val="21"/>
              </w:rPr>
            </w:pPr>
            <w:r>
              <w:rPr>
                <w:color w:val="auto"/>
                <w:szCs w:val="21"/>
              </w:rPr>
              <w:t>夜间</w:t>
            </w:r>
          </w:p>
        </w:tc>
        <w:tc>
          <w:tcPr>
            <w:tcW w:w="1432" w:type="dxa"/>
            <w:vAlign w:val="center"/>
          </w:tcPr>
          <w:p>
            <w:pPr>
              <w:jc w:val="center"/>
              <w:rPr>
                <w:color w:val="auto"/>
                <w:szCs w:val="21"/>
              </w:rPr>
            </w:pPr>
            <w:r>
              <w:rPr>
                <w:color w:val="auto"/>
                <w:szCs w:val="21"/>
              </w:rPr>
              <w:t>昼间</w:t>
            </w:r>
          </w:p>
        </w:tc>
        <w:tc>
          <w:tcPr>
            <w:tcW w:w="1437" w:type="dxa"/>
            <w:vAlign w:val="center"/>
          </w:tcPr>
          <w:p>
            <w:pPr>
              <w:jc w:val="center"/>
              <w:rPr>
                <w:color w:val="auto"/>
                <w:szCs w:val="21"/>
              </w:rPr>
            </w:pPr>
            <w:r>
              <w:rPr>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709" w:type="dxa"/>
            <w:vAlign w:val="center"/>
          </w:tcPr>
          <w:p>
            <w:pPr>
              <w:jc w:val="center"/>
              <w:rPr>
                <w:color w:val="auto"/>
                <w:szCs w:val="21"/>
              </w:rPr>
            </w:pPr>
            <w:r>
              <w:rPr>
                <w:color w:val="auto"/>
                <w:szCs w:val="21"/>
              </w:rPr>
              <w:t>N1</w:t>
            </w:r>
          </w:p>
        </w:tc>
        <w:tc>
          <w:tcPr>
            <w:tcW w:w="2504" w:type="dxa"/>
            <w:vAlign w:val="center"/>
          </w:tcPr>
          <w:p>
            <w:pPr>
              <w:pStyle w:val="42"/>
              <w:spacing w:line="240" w:lineRule="auto"/>
              <w:ind w:firstLine="420"/>
              <w:rPr>
                <w:color w:val="auto"/>
              </w:rPr>
            </w:pPr>
            <w:r>
              <w:rPr>
                <w:rFonts w:hint="eastAsia" w:hAnsi="宋体"/>
                <w:color w:val="auto"/>
              </w:rPr>
              <w:t>项目厂</w:t>
            </w:r>
            <w:r>
              <w:rPr>
                <w:rFonts w:hAnsi="宋体"/>
                <w:color w:val="auto"/>
              </w:rPr>
              <w:t>东边界外</w:t>
            </w:r>
            <w:r>
              <w:rPr>
                <w:color w:val="auto"/>
              </w:rPr>
              <w:t>1m</w:t>
            </w:r>
          </w:p>
        </w:tc>
        <w:tc>
          <w:tcPr>
            <w:tcW w:w="1432" w:type="dxa"/>
            <w:vAlign w:val="center"/>
          </w:tcPr>
          <w:p>
            <w:pPr>
              <w:pStyle w:val="69"/>
              <w:spacing w:line="360" w:lineRule="auto"/>
              <w:rPr>
                <w:snapToGrid/>
                <w:color w:val="auto"/>
                <w:szCs w:val="21"/>
              </w:rPr>
            </w:pPr>
            <w:r>
              <w:rPr>
                <w:rFonts w:hint="eastAsia"/>
                <w:snapToGrid/>
                <w:color w:val="auto"/>
                <w:szCs w:val="21"/>
              </w:rPr>
              <w:t>61</w:t>
            </w:r>
          </w:p>
        </w:tc>
        <w:tc>
          <w:tcPr>
            <w:tcW w:w="1432" w:type="dxa"/>
            <w:vAlign w:val="center"/>
          </w:tcPr>
          <w:p>
            <w:pPr>
              <w:pStyle w:val="69"/>
              <w:spacing w:line="360" w:lineRule="auto"/>
              <w:rPr>
                <w:snapToGrid/>
                <w:color w:val="auto"/>
                <w:szCs w:val="21"/>
              </w:rPr>
            </w:pPr>
            <w:r>
              <w:rPr>
                <w:rFonts w:hint="eastAsia"/>
                <w:snapToGrid/>
                <w:color w:val="auto"/>
                <w:szCs w:val="21"/>
              </w:rPr>
              <w:t>50</w:t>
            </w:r>
          </w:p>
        </w:tc>
        <w:tc>
          <w:tcPr>
            <w:tcW w:w="1432" w:type="dxa"/>
            <w:vAlign w:val="center"/>
          </w:tcPr>
          <w:p>
            <w:pPr>
              <w:pStyle w:val="69"/>
              <w:spacing w:line="360" w:lineRule="auto"/>
              <w:rPr>
                <w:snapToGrid/>
                <w:color w:val="auto"/>
                <w:szCs w:val="21"/>
              </w:rPr>
            </w:pPr>
            <w:r>
              <w:rPr>
                <w:rFonts w:hint="eastAsia"/>
                <w:snapToGrid/>
                <w:color w:val="auto"/>
                <w:szCs w:val="21"/>
              </w:rPr>
              <w:t>62</w:t>
            </w:r>
          </w:p>
        </w:tc>
        <w:tc>
          <w:tcPr>
            <w:tcW w:w="1437" w:type="dxa"/>
            <w:vAlign w:val="center"/>
          </w:tcPr>
          <w:p>
            <w:pPr>
              <w:pStyle w:val="69"/>
              <w:spacing w:line="360" w:lineRule="auto"/>
              <w:rPr>
                <w:snapToGrid/>
                <w:color w:val="auto"/>
                <w:szCs w:val="21"/>
              </w:rPr>
            </w:pPr>
            <w:r>
              <w:rPr>
                <w:rFonts w:hint="eastAsia"/>
                <w:snapToGrid/>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709" w:type="dxa"/>
            <w:vAlign w:val="center"/>
          </w:tcPr>
          <w:p>
            <w:pPr>
              <w:jc w:val="center"/>
              <w:rPr>
                <w:color w:val="auto"/>
                <w:szCs w:val="21"/>
              </w:rPr>
            </w:pPr>
            <w:r>
              <w:rPr>
                <w:color w:val="auto"/>
                <w:szCs w:val="21"/>
              </w:rPr>
              <w:t>N2</w:t>
            </w:r>
          </w:p>
        </w:tc>
        <w:tc>
          <w:tcPr>
            <w:tcW w:w="2504" w:type="dxa"/>
            <w:vAlign w:val="center"/>
          </w:tcPr>
          <w:p>
            <w:pPr>
              <w:pStyle w:val="42"/>
              <w:spacing w:line="240" w:lineRule="auto"/>
              <w:ind w:firstLine="420"/>
              <w:rPr>
                <w:color w:val="auto"/>
              </w:rPr>
            </w:pPr>
            <w:r>
              <w:rPr>
                <w:rFonts w:hint="eastAsia" w:hAnsi="宋体"/>
                <w:color w:val="auto"/>
              </w:rPr>
              <w:t>项目厂</w:t>
            </w:r>
            <w:r>
              <w:rPr>
                <w:rFonts w:hAnsi="宋体"/>
                <w:color w:val="auto"/>
              </w:rPr>
              <w:t>南边界外</w:t>
            </w:r>
            <w:r>
              <w:rPr>
                <w:color w:val="auto"/>
              </w:rPr>
              <w:t>1m</w:t>
            </w:r>
          </w:p>
        </w:tc>
        <w:tc>
          <w:tcPr>
            <w:tcW w:w="1432" w:type="dxa"/>
            <w:vAlign w:val="center"/>
          </w:tcPr>
          <w:p>
            <w:pPr>
              <w:pStyle w:val="69"/>
              <w:spacing w:line="360" w:lineRule="auto"/>
              <w:rPr>
                <w:snapToGrid/>
                <w:color w:val="auto"/>
                <w:szCs w:val="21"/>
              </w:rPr>
            </w:pPr>
            <w:r>
              <w:rPr>
                <w:rFonts w:hint="eastAsia"/>
                <w:snapToGrid/>
                <w:color w:val="auto"/>
                <w:szCs w:val="21"/>
              </w:rPr>
              <w:t>60</w:t>
            </w:r>
          </w:p>
        </w:tc>
        <w:tc>
          <w:tcPr>
            <w:tcW w:w="1432" w:type="dxa"/>
            <w:vAlign w:val="center"/>
          </w:tcPr>
          <w:p>
            <w:pPr>
              <w:pStyle w:val="69"/>
              <w:spacing w:line="360" w:lineRule="auto"/>
              <w:rPr>
                <w:snapToGrid/>
                <w:color w:val="auto"/>
                <w:szCs w:val="21"/>
              </w:rPr>
            </w:pPr>
            <w:r>
              <w:rPr>
                <w:rFonts w:hint="eastAsia"/>
                <w:snapToGrid/>
                <w:color w:val="auto"/>
                <w:szCs w:val="21"/>
              </w:rPr>
              <w:t>49</w:t>
            </w:r>
          </w:p>
        </w:tc>
        <w:tc>
          <w:tcPr>
            <w:tcW w:w="1432" w:type="dxa"/>
            <w:vAlign w:val="center"/>
          </w:tcPr>
          <w:p>
            <w:pPr>
              <w:pStyle w:val="69"/>
              <w:spacing w:line="360" w:lineRule="auto"/>
              <w:rPr>
                <w:snapToGrid/>
                <w:color w:val="auto"/>
                <w:szCs w:val="21"/>
              </w:rPr>
            </w:pPr>
            <w:r>
              <w:rPr>
                <w:rFonts w:hint="eastAsia"/>
                <w:snapToGrid/>
                <w:color w:val="auto"/>
                <w:szCs w:val="21"/>
              </w:rPr>
              <w:t>59</w:t>
            </w:r>
          </w:p>
        </w:tc>
        <w:tc>
          <w:tcPr>
            <w:tcW w:w="1437" w:type="dxa"/>
            <w:vAlign w:val="center"/>
          </w:tcPr>
          <w:p>
            <w:pPr>
              <w:pStyle w:val="69"/>
              <w:spacing w:line="360" w:lineRule="auto"/>
              <w:rPr>
                <w:snapToGrid/>
                <w:color w:val="auto"/>
                <w:szCs w:val="21"/>
              </w:rPr>
            </w:pPr>
            <w:r>
              <w:rPr>
                <w:rFonts w:hint="eastAsia"/>
                <w:snapToGrid/>
                <w:color w:val="auto"/>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709" w:type="dxa"/>
            <w:vAlign w:val="center"/>
          </w:tcPr>
          <w:p>
            <w:pPr>
              <w:jc w:val="center"/>
              <w:rPr>
                <w:color w:val="auto"/>
                <w:szCs w:val="21"/>
              </w:rPr>
            </w:pPr>
            <w:r>
              <w:rPr>
                <w:color w:val="auto"/>
                <w:szCs w:val="21"/>
              </w:rPr>
              <w:t>N3</w:t>
            </w:r>
          </w:p>
        </w:tc>
        <w:tc>
          <w:tcPr>
            <w:tcW w:w="2504" w:type="dxa"/>
            <w:vAlign w:val="center"/>
          </w:tcPr>
          <w:p>
            <w:pPr>
              <w:pStyle w:val="42"/>
              <w:spacing w:line="240" w:lineRule="auto"/>
              <w:ind w:firstLine="420"/>
              <w:rPr>
                <w:color w:val="auto"/>
              </w:rPr>
            </w:pPr>
            <w:r>
              <w:rPr>
                <w:rFonts w:hint="eastAsia" w:hAnsi="宋体"/>
                <w:color w:val="auto"/>
              </w:rPr>
              <w:t>项目厂</w:t>
            </w:r>
            <w:r>
              <w:rPr>
                <w:rFonts w:hAnsi="宋体"/>
                <w:color w:val="auto"/>
              </w:rPr>
              <w:t>西边界外</w:t>
            </w:r>
            <w:r>
              <w:rPr>
                <w:color w:val="auto"/>
              </w:rPr>
              <w:t>1m</w:t>
            </w:r>
          </w:p>
        </w:tc>
        <w:tc>
          <w:tcPr>
            <w:tcW w:w="1432" w:type="dxa"/>
            <w:vAlign w:val="center"/>
          </w:tcPr>
          <w:p>
            <w:pPr>
              <w:pStyle w:val="69"/>
              <w:spacing w:line="360" w:lineRule="auto"/>
              <w:rPr>
                <w:snapToGrid/>
                <w:color w:val="auto"/>
                <w:szCs w:val="21"/>
              </w:rPr>
            </w:pPr>
            <w:r>
              <w:rPr>
                <w:rFonts w:hint="eastAsia"/>
                <w:snapToGrid/>
                <w:color w:val="auto"/>
                <w:szCs w:val="21"/>
              </w:rPr>
              <w:t>59</w:t>
            </w:r>
          </w:p>
        </w:tc>
        <w:tc>
          <w:tcPr>
            <w:tcW w:w="1432" w:type="dxa"/>
            <w:vAlign w:val="center"/>
          </w:tcPr>
          <w:p>
            <w:pPr>
              <w:pStyle w:val="69"/>
              <w:spacing w:line="360" w:lineRule="auto"/>
              <w:rPr>
                <w:snapToGrid/>
                <w:color w:val="auto"/>
                <w:szCs w:val="21"/>
              </w:rPr>
            </w:pPr>
            <w:r>
              <w:rPr>
                <w:rFonts w:hint="eastAsia"/>
                <w:snapToGrid/>
                <w:color w:val="auto"/>
                <w:szCs w:val="21"/>
              </w:rPr>
              <w:t>49</w:t>
            </w:r>
          </w:p>
        </w:tc>
        <w:tc>
          <w:tcPr>
            <w:tcW w:w="1432" w:type="dxa"/>
            <w:vAlign w:val="center"/>
          </w:tcPr>
          <w:p>
            <w:pPr>
              <w:pStyle w:val="69"/>
              <w:spacing w:line="360" w:lineRule="auto"/>
              <w:rPr>
                <w:snapToGrid/>
                <w:color w:val="auto"/>
                <w:szCs w:val="21"/>
              </w:rPr>
            </w:pPr>
            <w:r>
              <w:rPr>
                <w:rFonts w:hint="eastAsia"/>
                <w:snapToGrid/>
                <w:color w:val="auto"/>
                <w:szCs w:val="21"/>
              </w:rPr>
              <w:t>60</w:t>
            </w:r>
          </w:p>
        </w:tc>
        <w:tc>
          <w:tcPr>
            <w:tcW w:w="1437" w:type="dxa"/>
            <w:vAlign w:val="center"/>
          </w:tcPr>
          <w:p>
            <w:pPr>
              <w:pStyle w:val="69"/>
              <w:spacing w:line="360" w:lineRule="auto"/>
              <w:rPr>
                <w:snapToGrid/>
                <w:color w:val="auto"/>
                <w:szCs w:val="21"/>
              </w:rPr>
            </w:pPr>
            <w:r>
              <w:rPr>
                <w:rFonts w:hint="eastAsia"/>
                <w:snapToGrid/>
                <w:color w:val="auto"/>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709" w:type="dxa"/>
            <w:vAlign w:val="center"/>
          </w:tcPr>
          <w:p>
            <w:pPr>
              <w:jc w:val="center"/>
              <w:rPr>
                <w:color w:val="auto"/>
                <w:szCs w:val="21"/>
              </w:rPr>
            </w:pPr>
            <w:r>
              <w:rPr>
                <w:color w:val="auto"/>
                <w:szCs w:val="21"/>
              </w:rPr>
              <w:t>N4</w:t>
            </w:r>
          </w:p>
        </w:tc>
        <w:tc>
          <w:tcPr>
            <w:tcW w:w="2504" w:type="dxa"/>
            <w:vAlign w:val="center"/>
          </w:tcPr>
          <w:p>
            <w:pPr>
              <w:pStyle w:val="42"/>
              <w:spacing w:line="240" w:lineRule="auto"/>
              <w:ind w:firstLine="420"/>
              <w:rPr>
                <w:color w:val="auto"/>
              </w:rPr>
            </w:pPr>
            <w:r>
              <w:rPr>
                <w:rFonts w:hint="eastAsia" w:hAnsi="宋体"/>
                <w:color w:val="auto"/>
              </w:rPr>
              <w:t>项目厂</w:t>
            </w:r>
            <w:r>
              <w:rPr>
                <w:rFonts w:hAnsi="宋体"/>
                <w:color w:val="auto"/>
              </w:rPr>
              <w:t>北边界外</w:t>
            </w:r>
            <w:r>
              <w:rPr>
                <w:color w:val="auto"/>
              </w:rPr>
              <w:t>1m</w:t>
            </w:r>
          </w:p>
        </w:tc>
        <w:tc>
          <w:tcPr>
            <w:tcW w:w="1432" w:type="dxa"/>
            <w:vAlign w:val="center"/>
          </w:tcPr>
          <w:p>
            <w:pPr>
              <w:pStyle w:val="69"/>
              <w:spacing w:line="360" w:lineRule="auto"/>
              <w:rPr>
                <w:snapToGrid/>
                <w:color w:val="auto"/>
                <w:szCs w:val="21"/>
              </w:rPr>
            </w:pPr>
            <w:r>
              <w:rPr>
                <w:rFonts w:hint="eastAsia"/>
                <w:snapToGrid/>
                <w:color w:val="auto"/>
                <w:szCs w:val="21"/>
              </w:rPr>
              <w:t>61</w:t>
            </w:r>
          </w:p>
        </w:tc>
        <w:tc>
          <w:tcPr>
            <w:tcW w:w="1432" w:type="dxa"/>
            <w:vAlign w:val="center"/>
          </w:tcPr>
          <w:p>
            <w:pPr>
              <w:pStyle w:val="69"/>
              <w:spacing w:line="360" w:lineRule="auto"/>
              <w:rPr>
                <w:snapToGrid/>
                <w:color w:val="auto"/>
                <w:szCs w:val="21"/>
              </w:rPr>
            </w:pPr>
            <w:r>
              <w:rPr>
                <w:rFonts w:hint="eastAsia"/>
                <w:snapToGrid/>
                <w:color w:val="auto"/>
                <w:szCs w:val="21"/>
              </w:rPr>
              <w:t>51</w:t>
            </w:r>
          </w:p>
        </w:tc>
        <w:tc>
          <w:tcPr>
            <w:tcW w:w="1432" w:type="dxa"/>
            <w:vAlign w:val="center"/>
          </w:tcPr>
          <w:p>
            <w:pPr>
              <w:pStyle w:val="69"/>
              <w:spacing w:line="360" w:lineRule="auto"/>
              <w:rPr>
                <w:snapToGrid/>
                <w:color w:val="auto"/>
                <w:szCs w:val="21"/>
              </w:rPr>
            </w:pPr>
            <w:r>
              <w:rPr>
                <w:rFonts w:hint="eastAsia"/>
                <w:snapToGrid/>
                <w:color w:val="auto"/>
                <w:szCs w:val="21"/>
              </w:rPr>
              <w:t>60</w:t>
            </w:r>
          </w:p>
        </w:tc>
        <w:tc>
          <w:tcPr>
            <w:tcW w:w="1437" w:type="dxa"/>
            <w:vAlign w:val="center"/>
          </w:tcPr>
          <w:p>
            <w:pPr>
              <w:pStyle w:val="69"/>
              <w:spacing w:line="360" w:lineRule="auto"/>
              <w:rPr>
                <w:snapToGrid/>
                <w:color w:val="auto"/>
                <w:szCs w:val="21"/>
              </w:rPr>
            </w:pPr>
            <w:r>
              <w:rPr>
                <w:rFonts w:hint="eastAsia"/>
                <w:snapToGrid/>
                <w:color w:val="auto"/>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213" w:type="dxa"/>
            <w:gridSpan w:val="2"/>
            <w:vAlign w:val="center"/>
          </w:tcPr>
          <w:p>
            <w:pPr>
              <w:jc w:val="center"/>
              <w:rPr>
                <w:color w:val="auto"/>
                <w:szCs w:val="21"/>
              </w:rPr>
            </w:pPr>
            <w:r>
              <w:rPr>
                <w:color w:val="auto"/>
                <w:szCs w:val="21"/>
              </w:rPr>
              <w:t>执行标准</w:t>
            </w:r>
          </w:p>
        </w:tc>
        <w:tc>
          <w:tcPr>
            <w:tcW w:w="5733" w:type="dxa"/>
            <w:gridSpan w:val="4"/>
            <w:vAlign w:val="center"/>
          </w:tcPr>
          <w:p>
            <w:pPr>
              <w:widowControl/>
              <w:jc w:val="left"/>
              <w:rPr>
                <w:color w:val="auto"/>
                <w:szCs w:val="21"/>
              </w:rPr>
            </w:pPr>
            <w:r>
              <w:rPr>
                <w:color w:val="auto"/>
                <w:kern w:val="0"/>
                <w:szCs w:val="21"/>
              </w:rPr>
              <w:t xml:space="preserve">《工业企业厂界环境噪声排放标准》（GB12348-2008） </w:t>
            </w:r>
            <w:r>
              <w:rPr>
                <w:rFonts w:hint="eastAsia"/>
                <w:color w:val="auto"/>
                <w:kern w:val="0"/>
                <w:szCs w:val="21"/>
              </w:rPr>
              <w:t>3</w:t>
            </w:r>
            <w:r>
              <w:rPr>
                <w:color w:val="auto"/>
                <w:kern w:val="0"/>
                <w:szCs w:val="21"/>
              </w:rPr>
              <w:t>类功能区（昼间</w:t>
            </w:r>
            <w:r>
              <w:rPr>
                <w:rFonts w:hint="eastAsia"/>
                <w:color w:val="auto"/>
                <w:kern w:val="0"/>
                <w:szCs w:val="21"/>
              </w:rPr>
              <w:t>≤</w:t>
            </w:r>
            <w:r>
              <w:rPr>
                <w:color w:val="auto"/>
                <w:kern w:val="0"/>
                <w:szCs w:val="21"/>
              </w:rPr>
              <w:t>6</w:t>
            </w:r>
            <w:r>
              <w:rPr>
                <w:rFonts w:hint="eastAsia"/>
                <w:color w:val="auto"/>
                <w:kern w:val="0"/>
                <w:szCs w:val="21"/>
              </w:rPr>
              <w:t>5</w:t>
            </w:r>
            <w:r>
              <w:rPr>
                <w:color w:val="auto"/>
                <w:szCs w:val="21"/>
              </w:rPr>
              <w:t>dB（A），夜间</w:t>
            </w:r>
            <w:r>
              <w:rPr>
                <w:rFonts w:hint="eastAsia"/>
                <w:color w:val="auto"/>
                <w:kern w:val="0"/>
                <w:szCs w:val="21"/>
              </w:rPr>
              <w:t>≤</w:t>
            </w:r>
            <w:r>
              <w:rPr>
                <w:color w:val="auto"/>
                <w:szCs w:val="21"/>
              </w:rPr>
              <w:t>5</w:t>
            </w:r>
            <w:r>
              <w:rPr>
                <w:rFonts w:hint="eastAsia"/>
                <w:color w:val="auto"/>
                <w:szCs w:val="21"/>
              </w:rPr>
              <w:t>5</w:t>
            </w:r>
            <w:r>
              <w:rPr>
                <w:color w:val="auto"/>
                <w:szCs w:val="21"/>
              </w:rPr>
              <w:t>dB（A）</w:t>
            </w:r>
            <w:r>
              <w:rPr>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3213" w:type="dxa"/>
            <w:gridSpan w:val="2"/>
            <w:vAlign w:val="center"/>
          </w:tcPr>
          <w:p>
            <w:pPr>
              <w:jc w:val="center"/>
              <w:rPr>
                <w:color w:val="auto"/>
                <w:szCs w:val="21"/>
              </w:rPr>
            </w:pPr>
            <w:r>
              <w:rPr>
                <w:color w:val="auto"/>
                <w:szCs w:val="21"/>
              </w:rPr>
              <w:t>备注</w:t>
            </w:r>
          </w:p>
        </w:tc>
        <w:tc>
          <w:tcPr>
            <w:tcW w:w="5733" w:type="dxa"/>
            <w:gridSpan w:val="4"/>
            <w:vAlign w:val="center"/>
          </w:tcPr>
          <w:p>
            <w:pPr>
              <w:pStyle w:val="69"/>
              <w:numPr>
                <w:ilvl w:val="0"/>
                <w:numId w:val="10"/>
              </w:numPr>
              <w:jc w:val="both"/>
              <w:rPr>
                <w:snapToGrid/>
                <w:color w:val="auto"/>
                <w:szCs w:val="21"/>
              </w:rPr>
            </w:pPr>
            <w:r>
              <w:rPr>
                <w:snapToGrid/>
                <w:color w:val="auto"/>
                <w:szCs w:val="21"/>
              </w:rPr>
              <w:t>检测期间天气状况：无雨</w:t>
            </w:r>
            <w:r>
              <w:rPr>
                <w:rFonts w:hint="eastAsia"/>
                <w:snapToGrid/>
                <w:color w:val="auto"/>
                <w:szCs w:val="21"/>
              </w:rPr>
              <w:t>；</w:t>
            </w:r>
          </w:p>
          <w:p>
            <w:pPr>
              <w:pStyle w:val="69"/>
              <w:numPr>
                <w:ilvl w:val="0"/>
                <w:numId w:val="10"/>
              </w:numPr>
              <w:jc w:val="both"/>
              <w:rPr>
                <w:snapToGrid/>
                <w:color w:val="auto"/>
                <w:szCs w:val="21"/>
              </w:rPr>
            </w:pPr>
            <w:r>
              <w:rPr>
                <w:color w:val="auto"/>
                <w:szCs w:val="21"/>
              </w:rPr>
              <w:t>20</w:t>
            </w:r>
            <w:r>
              <w:rPr>
                <w:rFonts w:hint="eastAsia"/>
                <w:color w:val="auto"/>
                <w:szCs w:val="21"/>
              </w:rPr>
              <w:t>20</w:t>
            </w:r>
            <w:r>
              <w:rPr>
                <w:color w:val="auto"/>
                <w:szCs w:val="21"/>
              </w:rPr>
              <w:t>-0</w:t>
            </w:r>
            <w:r>
              <w:rPr>
                <w:rFonts w:hint="eastAsia"/>
                <w:color w:val="auto"/>
                <w:szCs w:val="21"/>
              </w:rPr>
              <w:t>5</w:t>
            </w:r>
            <w:r>
              <w:rPr>
                <w:color w:val="auto"/>
                <w:szCs w:val="21"/>
              </w:rPr>
              <w:t>-</w:t>
            </w:r>
            <w:r>
              <w:rPr>
                <w:rFonts w:hint="eastAsia"/>
                <w:color w:val="auto"/>
                <w:szCs w:val="21"/>
              </w:rPr>
              <w:t>15风速：昼间：1.3m/s，夜间：1.5m/s，</w:t>
            </w:r>
          </w:p>
          <w:p>
            <w:pPr>
              <w:pStyle w:val="69"/>
              <w:ind w:firstLine="210" w:firstLineChars="100"/>
              <w:jc w:val="both"/>
              <w:rPr>
                <w:snapToGrid/>
                <w:color w:val="auto"/>
                <w:szCs w:val="21"/>
              </w:rPr>
            </w:pPr>
            <w:r>
              <w:rPr>
                <w:color w:val="auto"/>
                <w:szCs w:val="21"/>
              </w:rPr>
              <w:t>20</w:t>
            </w:r>
            <w:r>
              <w:rPr>
                <w:rFonts w:hint="eastAsia"/>
                <w:color w:val="auto"/>
                <w:szCs w:val="21"/>
              </w:rPr>
              <w:t>20</w:t>
            </w:r>
            <w:r>
              <w:rPr>
                <w:color w:val="auto"/>
                <w:szCs w:val="21"/>
              </w:rPr>
              <w:t>-0</w:t>
            </w:r>
            <w:r>
              <w:rPr>
                <w:rFonts w:hint="eastAsia"/>
                <w:color w:val="auto"/>
                <w:szCs w:val="21"/>
              </w:rPr>
              <w:t>5</w:t>
            </w:r>
            <w:r>
              <w:rPr>
                <w:color w:val="auto"/>
                <w:szCs w:val="21"/>
              </w:rPr>
              <w:t>-</w:t>
            </w:r>
            <w:r>
              <w:rPr>
                <w:rFonts w:hint="eastAsia"/>
                <w:color w:val="auto"/>
                <w:szCs w:val="21"/>
              </w:rPr>
              <w:t>16风速：昼间：1.4m/s，夜间：1.6m/s。</w:t>
            </w:r>
          </w:p>
        </w:tc>
      </w:tr>
    </w:tbl>
    <w:p>
      <w:pPr>
        <w:pStyle w:val="5"/>
        <w:numPr>
          <w:ilvl w:val="1"/>
          <w:numId w:val="0"/>
        </w:numPr>
        <w:tabs>
          <w:tab w:val="clear" w:pos="720"/>
        </w:tabs>
        <w:spacing w:before="159" w:after="159"/>
        <w:rPr>
          <w:color w:val="auto"/>
          <w:sz w:val="32"/>
          <w:szCs w:val="32"/>
        </w:rPr>
      </w:pPr>
      <w:bookmarkStart w:id="565" w:name="_Toc16576"/>
      <w:bookmarkStart w:id="566" w:name="_Toc20198"/>
      <w:r>
        <w:rPr>
          <w:rFonts w:hint="eastAsia"/>
          <w:color w:val="auto"/>
          <w:sz w:val="32"/>
          <w:szCs w:val="32"/>
        </w:rPr>
        <w:t xml:space="preserve">5.8  </w:t>
      </w:r>
      <w:r>
        <w:rPr>
          <w:color w:val="auto"/>
          <w:sz w:val="32"/>
          <w:szCs w:val="32"/>
        </w:rPr>
        <w:t>土壤环境质量现状调查与评价</w:t>
      </w:r>
      <w:bookmarkEnd w:id="563"/>
      <w:bookmarkEnd w:id="565"/>
      <w:bookmarkEnd w:id="566"/>
    </w:p>
    <w:p>
      <w:pPr>
        <w:pStyle w:val="7"/>
        <w:numPr>
          <w:ilvl w:val="2"/>
          <w:numId w:val="0"/>
        </w:numPr>
        <w:tabs>
          <w:tab w:val="clear" w:pos="720"/>
        </w:tabs>
        <w:snapToGrid w:val="0"/>
        <w:spacing w:before="159" w:after="79" w:afterLines="25"/>
        <w:jc w:val="both"/>
        <w:textAlignment w:val="auto"/>
        <w:rPr>
          <w:color w:val="auto"/>
        </w:rPr>
      </w:pPr>
      <w:bookmarkStart w:id="567" w:name="_Toc16522"/>
      <w:r>
        <w:rPr>
          <w:rFonts w:hint="eastAsia"/>
          <w:color w:val="auto"/>
        </w:rPr>
        <w:t xml:space="preserve">5.8.1  </w:t>
      </w:r>
      <w:r>
        <w:rPr>
          <w:color w:val="auto"/>
        </w:rPr>
        <w:t>环境质量现状监测</w:t>
      </w:r>
      <w:bookmarkEnd w:id="567"/>
    </w:p>
    <w:p>
      <w:pPr>
        <w:pStyle w:val="8"/>
        <w:numPr>
          <w:ilvl w:val="3"/>
          <w:numId w:val="0"/>
        </w:numPr>
        <w:tabs>
          <w:tab w:val="left" w:pos="709"/>
          <w:tab w:val="clear" w:pos="720"/>
        </w:tabs>
        <w:snapToGrid w:val="0"/>
        <w:spacing w:before="159" w:beforeLines="50"/>
        <w:rPr>
          <w:color w:val="auto"/>
        </w:rPr>
      </w:pPr>
      <w:r>
        <w:rPr>
          <w:rFonts w:hint="eastAsia"/>
          <w:color w:val="auto"/>
        </w:rPr>
        <w:t>5.8.1.1</w:t>
      </w:r>
      <w:r>
        <w:rPr>
          <w:color w:val="auto"/>
        </w:rPr>
        <w:t>监测布点与监测项目</w:t>
      </w:r>
    </w:p>
    <w:p>
      <w:pPr>
        <w:snapToGrid w:val="0"/>
        <w:spacing w:line="360" w:lineRule="auto"/>
        <w:ind w:firstLine="480" w:firstLineChars="200"/>
        <w:rPr>
          <w:color w:val="auto"/>
          <w:sz w:val="24"/>
          <w:szCs w:val="20"/>
        </w:rPr>
      </w:pPr>
      <w:bookmarkStart w:id="568" w:name="_Ref4051464"/>
      <w:r>
        <w:rPr>
          <w:color w:val="auto"/>
          <w:sz w:val="24"/>
          <w:szCs w:val="20"/>
        </w:rPr>
        <w:t>项目场地内根据网格点并适当考虑功能区布置，共布设5个监测点（T1~T5）；各监测点布设情况和监测项目详见</w:t>
      </w:r>
      <w:r>
        <w:rPr>
          <w:rFonts w:hint="eastAsia"/>
          <w:color w:val="auto"/>
          <w:sz w:val="24"/>
        </w:rPr>
        <w:t>下表</w:t>
      </w:r>
      <w:r>
        <w:rPr>
          <w:rFonts w:hint="eastAsia"/>
          <w:color w:val="auto"/>
          <w:sz w:val="24"/>
          <w:lang w:eastAsia="zh-CN"/>
        </w:rPr>
        <w:t>，</w:t>
      </w:r>
      <w:r>
        <w:rPr>
          <w:rFonts w:hint="eastAsia"/>
          <w:color w:val="auto"/>
          <w:sz w:val="24"/>
          <w:lang w:val="en-US" w:eastAsia="zh-CN"/>
        </w:rPr>
        <w:t>监测布点如下图</w:t>
      </w:r>
      <w:r>
        <w:rPr>
          <w:color w:val="auto"/>
          <w:sz w:val="24"/>
          <w:szCs w:val="20"/>
        </w:rPr>
        <w:t>。</w:t>
      </w:r>
    </w:p>
    <w:p>
      <w:pPr>
        <w:spacing w:before="159" w:beforeLines="50" w:line="360" w:lineRule="auto"/>
        <w:jc w:val="center"/>
        <w:rPr>
          <w:b/>
          <w:color w:val="auto"/>
          <w:szCs w:val="21"/>
        </w:rPr>
      </w:pPr>
    </w:p>
    <w:p>
      <w:pPr>
        <w:spacing w:before="159" w:beforeLines="50" w:line="360" w:lineRule="auto"/>
        <w:jc w:val="center"/>
        <w:rPr>
          <w:b/>
          <w:color w:val="auto"/>
          <w:szCs w:val="21"/>
        </w:rPr>
      </w:pPr>
    </w:p>
    <w:p>
      <w:pPr>
        <w:spacing w:before="159" w:beforeLines="50" w:line="360" w:lineRule="auto"/>
        <w:jc w:val="center"/>
        <w:rPr>
          <w:b/>
          <w:color w:val="auto"/>
          <w:szCs w:val="21"/>
        </w:rPr>
      </w:pPr>
    </w:p>
    <w:p>
      <w:pPr>
        <w:spacing w:before="159" w:beforeLines="50" w:line="360" w:lineRule="auto"/>
        <w:jc w:val="center"/>
        <w:rPr>
          <w:b/>
          <w:color w:val="auto"/>
          <w:szCs w:val="21"/>
        </w:rPr>
      </w:pPr>
    </w:p>
    <w:p>
      <w:pPr>
        <w:spacing w:before="159" w:beforeLines="50" w:line="360" w:lineRule="auto"/>
        <w:jc w:val="center"/>
        <w:rPr>
          <w:b/>
          <w:color w:val="auto"/>
          <w:szCs w:val="21"/>
        </w:rPr>
      </w:pPr>
      <w:r>
        <w:rPr>
          <w:b/>
          <w:color w:val="auto"/>
          <w:szCs w:val="21"/>
        </w:rPr>
        <w:t>表</w:t>
      </w:r>
      <w:bookmarkEnd w:id="568"/>
      <w:r>
        <w:rPr>
          <w:rFonts w:hint="eastAsia"/>
          <w:b/>
          <w:color w:val="auto"/>
          <w:szCs w:val="21"/>
        </w:rPr>
        <w:t>5</w:t>
      </w:r>
      <w:r>
        <w:rPr>
          <w:b/>
          <w:color w:val="auto"/>
          <w:szCs w:val="21"/>
        </w:rPr>
        <w:t>.8-1</w:t>
      </w:r>
      <w:r>
        <w:rPr>
          <w:rFonts w:hint="eastAsia"/>
          <w:b/>
          <w:color w:val="auto"/>
          <w:szCs w:val="21"/>
        </w:rPr>
        <w:t xml:space="preserve">  </w:t>
      </w:r>
      <w:r>
        <w:rPr>
          <w:b/>
          <w:color w:val="auto"/>
          <w:szCs w:val="21"/>
        </w:rPr>
        <w:t>土壤环境监测布点</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660"/>
        <w:gridCol w:w="810"/>
        <w:gridCol w:w="5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监测点编号</w:t>
            </w:r>
          </w:p>
        </w:tc>
        <w:tc>
          <w:tcPr>
            <w:tcW w:w="1660" w:type="dxa"/>
            <w:vAlign w:val="center"/>
          </w:tcPr>
          <w:p>
            <w:pPr>
              <w:jc w:val="center"/>
              <w:rPr>
                <w:color w:val="auto"/>
                <w:szCs w:val="21"/>
              </w:rPr>
            </w:pPr>
            <w:r>
              <w:rPr>
                <w:color w:val="auto"/>
                <w:szCs w:val="21"/>
              </w:rPr>
              <w:t>位置</w:t>
            </w:r>
          </w:p>
        </w:tc>
        <w:tc>
          <w:tcPr>
            <w:tcW w:w="810" w:type="dxa"/>
            <w:vAlign w:val="center"/>
          </w:tcPr>
          <w:p>
            <w:pPr>
              <w:jc w:val="center"/>
              <w:rPr>
                <w:color w:val="auto"/>
                <w:szCs w:val="21"/>
              </w:rPr>
            </w:pPr>
            <w:r>
              <w:rPr>
                <w:color w:val="auto"/>
                <w:szCs w:val="21"/>
              </w:rPr>
              <w:t>采样类型</w:t>
            </w:r>
          </w:p>
        </w:tc>
        <w:tc>
          <w:tcPr>
            <w:tcW w:w="5612" w:type="dxa"/>
            <w:vAlign w:val="center"/>
          </w:tcPr>
          <w:p>
            <w:pPr>
              <w:jc w:val="center"/>
              <w:rPr>
                <w:color w:val="auto"/>
                <w:szCs w:val="21"/>
              </w:rPr>
            </w:pPr>
            <w:r>
              <w:rPr>
                <w:color w:val="auto"/>
                <w:szCs w:val="21"/>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T1</w:t>
            </w:r>
          </w:p>
        </w:tc>
        <w:tc>
          <w:tcPr>
            <w:tcW w:w="1660" w:type="dxa"/>
            <w:vAlign w:val="center"/>
          </w:tcPr>
          <w:p>
            <w:pPr>
              <w:jc w:val="center"/>
              <w:rPr>
                <w:color w:val="auto"/>
                <w:szCs w:val="21"/>
              </w:rPr>
            </w:pPr>
            <w:r>
              <w:rPr>
                <w:color w:val="auto"/>
                <w:szCs w:val="21"/>
              </w:rPr>
              <w:t>项目内</w:t>
            </w:r>
          </w:p>
          <w:p>
            <w:pPr>
              <w:jc w:val="center"/>
              <w:rPr>
                <w:color w:val="auto"/>
                <w:szCs w:val="21"/>
              </w:rPr>
            </w:pPr>
            <w:r>
              <w:rPr>
                <w:color w:val="auto"/>
                <w:szCs w:val="21"/>
              </w:rPr>
              <w:t>卷材生产区</w:t>
            </w:r>
          </w:p>
          <w:p>
            <w:pPr>
              <w:jc w:val="center"/>
              <w:rPr>
                <w:color w:val="auto"/>
                <w:szCs w:val="21"/>
              </w:rPr>
            </w:pPr>
            <w:r>
              <w:rPr>
                <w:color w:val="auto"/>
                <w:szCs w:val="21"/>
              </w:rPr>
              <w:t>北面角落</w:t>
            </w:r>
          </w:p>
        </w:tc>
        <w:tc>
          <w:tcPr>
            <w:tcW w:w="810" w:type="dxa"/>
            <w:vAlign w:val="center"/>
          </w:tcPr>
          <w:p>
            <w:pPr>
              <w:jc w:val="center"/>
              <w:rPr>
                <w:color w:val="auto"/>
                <w:szCs w:val="21"/>
              </w:rPr>
            </w:pPr>
            <w:r>
              <w:rPr>
                <w:color w:val="auto"/>
                <w:szCs w:val="21"/>
              </w:rPr>
              <w:t>柱状样</w:t>
            </w:r>
          </w:p>
        </w:tc>
        <w:tc>
          <w:tcPr>
            <w:tcW w:w="5612" w:type="dxa"/>
            <w:vMerge w:val="restart"/>
            <w:vAlign w:val="center"/>
          </w:tcPr>
          <w:p>
            <w:pPr>
              <w:jc w:val="left"/>
              <w:rPr>
                <w:color w:val="auto"/>
                <w:szCs w:val="21"/>
              </w:rPr>
            </w:pPr>
            <w:r>
              <w:rPr>
                <w:color w:val="auto"/>
                <w:szCs w:val="21"/>
              </w:rPr>
              <w:t>特征因子：苯，间二甲苯+对二甲苯，邻二甲苯，苯并[a]芘，石油烃（C</w:t>
            </w:r>
            <w:r>
              <w:rPr>
                <w:color w:val="auto"/>
                <w:szCs w:val="21"/>
                <w:vertAlign w:val="subscript"/>
              </w:rPr>
              <w:t>10</w:t>
            </w:r>
            <w:r>
              <w:rPr>
                <w:color w:val="auto"/>
                <w:szCs w:val="21"/>
              </w:rPr>
              <w:t>-C</w:t>
            </w:r>
            <w:r>
              <w:rPr>
                <w:color w:val="auto"/>
                <w:szCs w:val="21"/>
                <w:vertAlign w:val="subscript"/>
              </w:rPr>
              <w:t>40</w:t>
            </w:r>
            <w:r>
              <w:rPr>
                <w:color w:val="auto"/>
                <w:szCs w:val="21"/>
              </w:rPr>
              <w:t>）。</w:t>
            </w:r>
          </w:p>
          <w:p>
            <w:pPr>
              <w:jc w:val="left"/>
              <w:rPr>
                <w:color w:val="auto"/>
                <w:szCs w:val="21"/>
              </w:rPr>
            </w:pPr>
          </w:p>
          <w:p>
            <w:pPr>
              <w:jc w:val="left"/>
              <w:rPr>
                <w:color w:val="auto"/>
                <w:szCs w:val="21"/>
              </w:rPr>
            </w:pPr>
            <w:r>
              <w:rPr>
                <w:color w:val="auto"/>
                <w:szCs w:val="21"/>
              </w:rPr>
              <w:t>基本因子：pH、砷、隔、铬（六价）、铜、铅、汞、镍、四氯化碳、氯仿、氯甲烷、1,1-二氯乙烷、1,2-二氯乙烷、1,1-二氯乙烯，顺-1,2-二氯乙烯，反-1,2-二氯乙烯，二氯甲烷，1,2-二氯丙烷，1,1,1,2-四氯乙烷，1,1,2,2-四氯乙烷，四氯乙烷，1,1,1-三氯乙烷，1,1,2-三氯乙烷，三氯乙烯，1,2,3-三氯丙烷，氯乙烯，氯苯，1,2-二氯苯，1,4-二氯苯，乙苯，苯乙烯，甲苯，硝基苯，苯胺，2-氯酚，苯并[a]蒽，苯并[a]荧蒽，苯并[k]荧蒽，䓛，二苯并[a，h]蒽，茚并[1,2,3-cd]芘，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T2</w:t>
            </w:r>
          </w:p>
        </w:tc>
        <w:tc>
          <w:tcPr>
            <w:tcW w:w="1660" w:type="dxa"/>
            <w:vAlign w:val="center"/>
          </w:tcPr>
          <w:p>
            <w:pPr>
              <w:jc w:val="center"/>
              <w:rPr>
                <w:color w:val="auto"/>
                <w:szCs w:val="21"/>
              </w:rPr>
            </w:pPr>
            <w:r>
              <w:rPr>
                <w:color w:val="auto"/>
                <w:szCs w:val="21"/>
              </w:rPr>
              <w:t>项目内</w:t>
            </w:r>
          </w:p>
          <w:p>
            <w:pPr>
              <w:jc w:val="center"/>
              <w:rPr>
                <w:color w:val="auto"/>
                <w:szCs w:val="21"/>
              </w:rPr>
            </w:pPr>
            <w:r>
              <w:rPr>
                <w:color w:val="auto"/>
                <w:szCs w:val="21"/>
              </w:rPr>
              <w:t>原料堆放区</w:t>
            </w:r>
          </w:p>
        </w:tc>
        <w:tc>
          <w:tcPr>
            <w:tcW w:w="810" w:type="dxa"/>
            <w:vAlign w:val="center"/>
          </w:tcPr>
          <w:p>
            <w:pPr>
              <w:jc w:val="center"/>
              <w:rPr>
                <w:color w:val="auto"/>
                <w:szCs w:val="21"/>
              </w:rPr>
            </w:pPr>
            <w:r>
              <w:rPr>
                <w:color w:val="auto"/>
                <w:szCs w:val="21"/>
              </w:rPr>
              <w:t>柱状样</w:t>
            </w:r>
          </w:p>
        </w:tc>
        <w:tc>
          <w:tcPr>
            <w:tcW w:w="5612" w:type="dxa"/>
            <w:vMerge w:val="continue"/>
            <w:vAlign w:val="center"/>
          </w:tcPr>
          <w:p>
            <w:pPr>
              <w:jc w:val="left"/>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T3</w:t>
            </w:r>
          </w:p>
        </w:tc>
        <w:tc>
          <w:tcPr>
            <w:tcW w:w="1660" w:type="dxa"/>
            <w:vAlign w:val="center"/>
          </w:tcPr>
          <w:p>
            <w:pPr>
              <w:jc w:val="center"/>
              <w:rPr>
                <w:color w:val="auto"/>
                <w:szCs w:val="21"/>
              </w:rPr>
            </w:pPr>
            <w:r>
              <w:rPr>
                <w:color w:val="auto"/>
                <w:szCs w:val="21"/>
              </w:rPr>
              <w:t>项目内</w:t>
            </w:r>
          </w:p>
          <w:p>
            <w:pPr>
              <w:jc w:val="center"/>
              <w:rPr>
                <w:color w:val="auto"/>
                <w:szCs w:val="21"/>
              </w:rPr>
            </w:pPr>
            <w:r>
              <w:rPr>
                <w:rFonts w:hint="eastAsia"/>
                <w:color w:val="auto"/>
                <w:szCs w:val="21"/>
              </w:rPr>
              <w:t>湿式处理车间</w:t>
            </w:r>
          </w:p>
        </w:tc>
        <w:tc>
          <w:tcPr>
            <w:tcW w:w="810" w:type="dxa"/>
            <w:vAlign w:val="center"/>
          </w:tcPr>
          <w:p>
            <w:pPr>
              <w:jc w:val="center"/>
              <w:rPr>
                <w:color w:val="auto"/>
                <w:szCs w:val="21"/>
              </w:rPr>
            </w:pPr>
            <w:r>
              <w:rPr>
                <w:color w:val="auto"/>
                <w:szCs w:val="21"/>
              </w:rPr>
              <w:t>柱状样</w:t>
            </w:r>
          </w:p>
        </w:tc>
        <w:tc>
          <w:tcPr>
            <w:tcW w:w="5612" w:type="dxa"/>
            <w:vMerge w:val="continue"/>
            <w:vAlign w:val="center"/>
          </w:tcPr>
          <w:p>
            <w:pPr>
              <w:jc w:val="left"/>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T4</w:t>
            </w:r>
          </w:p>
        </w:tc>
        <w:tc>
          <w:tcPr>
            <w:tcW w:w="1660" w:type="dxa"/>
            <w:vAlign w:val="center"/>
          </w:tcPr>
          <w:p>
            <w:pPr>
              <w:jc w:val="center"/>
              <w:rPr>
                <w:color w:val="auto"/>
                <w:szCs w:val="21"/>
              </w:rPr>
            </w:pPr>
            <w:r>
              <w:rPr>
                <w:color w:val="auto"/>
                <w:szCs w:val="21"/>
              </w:rPr>
              <w:t>项目内</w:t>
            </w:r>
          </w:p>
          <w:p>
            <w:pPr>
              <w:jc w:val="center"/>
              <w:rPr>
                <w:color w:val="auto"/>
                <w:szCs w:val="21"/>
              </w:rPr>
            </w:pPr>
            <w:r>
              <w:rPr>
                <w:color w:val="auto"/>
                <w:szCs w:val="21"/>
              </w:rPr>
              <w:t>办公区</w:t>
            </w:r>
          </w:p>
        </w:tc>
        <w:tc>
          <w:tcPr>
            <w:tcW w:w="810" w:type="dxa"/>
            <w:vAlign w:val="center"/>
          </w:tcPr>
          <w:p>
            <w:pPr>
              <w:jc w:val="center"/>
              <w:rPr>
                <w:color w:val="auto"/>
                <w:szCs w:val="21"/>
              </w:rPr>
            </w:pPr>
            <w:r>
              <w:rPr>
                <w:color w:val="auto"/>
                <w:szCs w:val="21"/>
              </w:rPr>
              <w:t>表层样</w:t>
            </w:r>
          </w:p>
        </w:tc>
        <w:tc>
          <w:tcPr>
            <w:tcW w:w="5612" w:type="dxa"/>
            <w:vMerge w:val="continue"/>
            <w:vAlign w:val="center"/>
          </w:tcPr>
          <w:p>
            <w:pPr>
              <w:jc w:val="left"/>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vAlign w:val="center"/>
          </w:tcPr>
          <w:p>
            <w:pPr>
              <w:jc w:val="center"/>
              <w:rPr>
                <w:color w:val="auto"/>
                <w:szCs w:val="21"/>
              </w:rPr>
            </w:pPr>
            <w:r>
              <w:rPr>
                <w:color w:val="auto"/>
                <w:szCs w:val="21"/>
              </w:rPr>
              <w:t>T5</w:t>
            </w:r>
          </w:p>
        </w:tc>
        <w:tc>
          <w:tcPr>
            <w:tcW w:w="1660" w:type="dxa"/>
            <w:vAlign w:val="center"/>
          </w:tcPr>
          <w:p>
            <w:pPr>
              <w:jc w:val="center"/>
              <w:rPr>
                <w:color w:val="auto"/>
                <w:szCs w:val="21"/>
              </w:rPr>
            </w:pPr>
            <w:r>
              <w:rPr>
                <w:color w:val="auto"/>
                <w:szCs w:val="21"/>
              </w:rPr>
              <w:t>项目外</w:t>
            </w:r>
          </w:p>
          <w:p>
            <w:pPr>
              <w:jc w:val="center"/>
              <w:rPr>
                <w:color w:val="auto"/>
                <w:szCs w:val="21"/>
              </w:rPr>
            </w:pPr>
            <w:r>
              <w:rPr>
                <w:color w:val="auto"/>
                <w:szCs w:val="21"/>
              </w:rPr>
              <w:t>西南方空地</w:t>
            </w:r>
          </w:p>
        </w:tc>
        <w:tc>
          <w:tcPr>
            <w:tcW w:w="810" w:type="dxa"/>
            <w:vAlign w:val="center"/>
          </w:tcPr>
          <w:p>
            <w:pPr>
              <w:jc w:val="center"/>
              <w:rPr>
                <w:color w:val="auto"/>
                <w:szCs w:val="21"/>
              </w:rPr>
            </w:pPr>
            <w:r>
              <w:rPr>
                <w:color w:val="auto"/>
                <w:szCs w:val="21"/>
              </w:rPr>
              <w:t>表层样</w:t>
            </w:r>
          </w:p>
        </w:tc>
        <w:tc>
          <w:tcPr>
            <w:tcW w:w="5612" w:type="dxa"/>
            <w:vAlign w:val="center"/>
          </w:tcPr>
          <w:p>
            <w:pPr>
              <w:jc w:val="left"/>
              <w:rPr>
                <w:rFonts w:hint="eastAsia"/>
                <w:color w:val="auto"/>
                <w:lang w:val="en-US" w:eastAsia="zh-CN"/>
              </w:rPr>
            </w:pPr>
            <w:r>
              <w:rPr>
                <w:rFonts w:hint="eastAsia"/>
                <w:color w:val="auto"/>
                <w:lang w:val="en-US" w:eastAsia="zh-CN"/>
              </w:rPr>
              <w:t>基本项目：镉、汞、砷、铅、铬、铜、镍、锌。</w:t>
            </w:r>
          </w:p>
          <w:p>
            <w:pPr>
              <w:pStyle w:val="2"/>
              <w:ind w:left="0" w:leftChars="0" w:firstLine="0" w:firstLineChars="0"/>
              <w:rPr>
                <w:rFonts w:hint="default"/>
                <w:color w:val="auto"/>
                <w:lang w:val="en-US" w:eastAsia="zh-CN"/>
              </w:rPr>
            </w:pPr>
            <w:r>
              <w:rPr>
                <w:rFonts w:hint="eastAsia"/>
                <w:color w:val="auto"/>
                <w:szCs w:val="21"/>
                <w:lang w:val="en-US" w:eastAsia="zh-CN"/>
              </w:rPr>
              <w:t>其他项目:苯并[a]芘。</w:t>
            </w:r>
          </w:p>
        </w:tc>
      </w:tr>
    </w:tbl>
    <w:p>
      <w:pPr>
        <w:numPr>
          <w:ilvl w:val="3"/>
          <w:numId w:val="0"/>
        </w:numPr>
        <w:tabs>
          <w:tab w:val="left" w:pos="709"/>
        </w:tabs>
        <w:snapToGrid w:val="0"/>
        <w:spacing w:before="159" w:beforeLines="50"/>
        <w:jc w:val="center"/>
        <w:outlineLvl w:val="9"/>
        <w:rPr>
          <w:rFonts w:hint="default" w:ascii="Times New Roman" w:hAnsi="Times New Roman" w:eastAsia="宋体" w:cs="Times New Roman"/>
          <w:b/>
          <w:bCs/>
          <w:color w:val="auto"/>
          <w:kern w:val="2"/>
          <w:sz w:val="24"/>
          <w:szCs w:val="24"/>
          <w:lang w:val="en-US" w:eastAsia="zh-CN" w:bidi="ar-SA"/>
        </w:rPr>
      </w:pPr>
      <w:r>
        <w:rPr>
          <w:rFonts w:hint="eastAsia" w:eastAsia="宋体"/>
          <w:color w:val="auto"/>
          <w:lang w:eastAsia="zh-CN"/>
        </w:rPr>
        <w:drawing>
          <wp:inline distT="0" distB="0" distL="114300" distR="114300">
            <wp:extent cx="5697855" cy="3352165"/>
            <wp:effectExtent l="0" t="0" r="17145" b="635"/>
            <wp:docPr id="28" name="图片 28" descr="土壤、噪声监测布点（监测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土壤、噪声监测布点（监测公司）"/>
                    <pic:cNvPicPr>
                      <a:picLocks noChangeAspect="1"/>
                    </pic:cNvPicPr>
                  </pic:nvPicPr>
                  <pic:blipFill>
                    <a:blip r:embed="rId84"/>
                    <a:stretch>
                      <a:fillRect/>
                    </a:stretch>
                  </pic:blipFill>
                  <pic:spPr>
                    <a:xfrm>
                      <a:off x="0" y="0"/>
                      <a:ext cx="5697855" cy="3352165"/>
                    </a:xfrm>
                    <a:prstGeom prst="rect">
                      <a:avLst/>
                    </a:prstGeom>
                  </pic:spPr>
                </pic:pic>
              </a:graphicData>
            </a:graphic>
          </wp:inline>
        </w:drawing>
      </w:r>
      <w:r>
        <w:rPr>
          <w:rFonts w:hint="eastAsia" w:ascii="Times New Roman" w:hAnsi="Times New Roman" w:eastAsia="宋体" w:cs="Times New Roman"/>
          <w:b/>
          <w:bCs/>
          <w:color w:val="auto"/>
          <w:kern w:val="2"/>
          <w:sz w:val="24"/>
          <w:szCs w:val="24"/>
          <w:lang w:val="en-US" w:eastAsia="zh-CN" w:bidi="ar-SA"/>
        </w:rPr>
        <w:t>图</w:t>
      </w:r>
      <w:r>
        <w:rPr>
          <w:rFonts w:hint="eastAsia" w:cs="Times New Roman"/>
          <w:b/>
          <w:bCs/>
          <w:color w:val="auto"/>
          <w:kern w:val="2"/>
          <w:sz w:val="24"/>
          <w:szCs w:val="24"/>
          <w:lang w:val="en-US" w:eastAsia="zh-CN" w:bidi="ar-SA"/>
        </w:rPr>
        <w:t>5.8-1 土壤</w:t>
      </w:r>
      <w:r>
        <w:rPr>
          <w:rFonts w:hint="eastAsia"/>
          <w:b/>
          <w:bCs/>
          <w:color w:val="auto"/>
          <w:sz w:val="24"/>
        </w:rPr>
        <w:t>监测点布置图</w:t>
      </w:r>
    </w:p>
    <w:p>
      <w:pPr>
        <w:pStyle w:val="8"/>
        <w:numPr>
          <w:ilvl w:val="3"/>
          <w:numId w:val="0"/>
        </w:numPr>
        <w:tabs>
          <w:tab w:val="left" w:pos="709"/>
          <w:tab w:val="clear" w:pos="720"/>
        </w:tabs>
        <w:snapToGrid w:val="0"/>
        <w:spacing w:before="159" w:beforeLines="50"/>
        <w:ind w:left="1" w:leftChars="-95" w:hanging="200" w:hangingChars="83"/>
        <w:rPr>
          <w:rFonts w:hint="eastAsia" w:eastAsia="宋体"/>
          <w:color w:val="auto"/>
          <w:lang w:eastAsia="zh-CN"/>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8"/>
        <w:numPr>
          <w:ilvl w:val="3"/>
          <w:numId w:val="0"/>
        </w:numPr>
        <w:tabs>
          <w:tab w:val="left" w:pos="709"/>
          <w:tab w:val="clear" w:pos="720"/>
        </w:tabs>
        <w:snapToGrid w:val="0"/>
        <w:spacing w:before="159" w:beforeLines="50"/>
        <w:rPr>
          <w:color w:val="auto"/>
        </w:rPr>
      </w:pPr>
      <w:r>
        <w:rPr>
          <w:rFonts w:hint="eastAsia"/>
          <w:color w:val="auto"/>
        </w:rPr>
        <w:t xml:space="preserve">5.8.1.2  </w:t>
      </w:r>
      <w:r>
        <w:rPr>
          <w:color w:val="auto"/>
        </w:rPr>
        <w:t>监测时间、频次及监测单位</w:t>
      </w:r>
    </w:p>
    <w:p>
      <w:pPr>
        <w:tabs>
          <w:tab w:val="left" w:pos="360"/>
        </w:tabs>
        <w:snapToGrid w:val="0"/>
        <w:spacing w:line="360" w:lineRule="auto"/>
        <w:ind w:firstLine="480" w:firstLineChars="200"/>
        <w:rPr>
          <w:color w:val="auto"/>
          <w:sz w:val="24"/>
        </w:rPr>
      </w:pPr>
      <w:r>
        <w:rPr>
          <w:color w:val="auto"/>
          <w:sz w:val="24"/>
        </w:rPr>
        <w:t>监测时间：2020年5月</w:t>
      </w:r>
      <w:r>
        <w:rPr>
          <w:rFonts w:hint="eastAsia"/>
          <w:color w:val="auto"/>
          <w:sz w:val="24"/>
        </w:rPr>
        <w:t>18</w:t>
      </w:r>
      <w:r>
        <w:rPr>
          <w:color w:val="auto"/>
          <w:sz w:val="24"/>
        </w:rPr>
        <w:t>日采样一次。</w:t>
      </w:r>
    </w:p>
    <w:p>
      <w:pPr>
        <w:tabs>
          <w:tab w:val="left" w:pos="360"/>
        </w:tabs>
        <w:snapToGrid w:val="0"/>
        <w:spacing w:line="360" w:lineRule="auto"/>
        <w:ind w:firstLine="480" w:firstLineChars="200"/>
        <w:rPr>
          <w:color w:val="auto"/>
          <w:sz w:val="24"/>
        </w:rPr>
      </w:pPr>
      <w:r>
        <w:rPr>
          <w:color w:val="auto"/>
          <w:sz w:val="24"/>
        </w:rPr>
        <w:t>监测单位：广州华航检测技术有限公司</w:t>
      </w:r>
      <w:r>
        <w:rPr>
          <w:rFonts w:hint="eastAsia"/>
          <w:color w:val="auto"/>
          <w:sz w:val="24"/>
        </w:rPr>
        <w:t>。</w:t>
      </w:r>
    </w:p>
    <w:p>
      <w:pPr>
        <w:pStyle w:val="8"/>
        <w:numPr>
          <w:ilvl w:val="3"/>
          <w:numId w:val="0"/>
        </w:numPr>
        <w:tabs>
          <w:tab w:val="left" w:pos="709"/>
          <w:tab w:val="clear" w:pos="720"/>
        </w:tabs>
        <w:snapToGrid w:val="0"/>
        <w:spacing w:before="159" w:beforeLines="50"/>
        <w:rPr>
          <w:color w:val="auto"/>
        </w:rPr>
      </w:pPr>
      <w:r>
        <w:rPr>
          <w:rFonts w:hint="eastAsia"/>
          <w:color w:val="auto"/>
        </w:rPr>
        <w:t xml:space="preserve">5.8.1.3  </w:t>
      </w:r>
      <w:r>
        <w:rPr>
          <w:color w:val="auto"/>
        </w:rPr>
        <w:t>采样和分析方法</w:t>
      </w:r>
    </w:p>
    <w:p>
      <w:pPr>
        <w:snapToGrid w:val="0"/>
        <w:spacing w:line="360" w:lineRule="auto"/>
        <w:ind w:firstLine="480" w:firstLineChars="200"/>
        <w:rPr>
          <w:color w:val="auto"/>
          <w:sz w:val="24"/>
        </w:rPr>
      </w:pPr>
      <w:r>
        <w:rPr>
          <w:color w:val="auto"/>
          <w:kern w:val="0"/>
          <w:sz w:val="24"/>
        </w:rPr>
        <w:t>取表层土，采样一次，</w:t>
      </w:r>
      <w:r>
        <w:rPr>
          <w:color w:val="auto"/>
          <w:sz w:val="24"/>
        </w:rPr>
        <w:t>并对土壤样品进行分析。测定方法按照《环境监测分析方法》等有关要求进行。具体分析方法及检出限见</w:t>
      </w:r>
      <w:r>
        <w:rPr>
          <w:rFonts w:hint="eastAsia"/>
          <w:color w:val="auto"/>
          <w:sz w:val="24"/>
        </w:rPr>
        <w:t>下表。</w:t>
      </w:r>
    </w:p>
    <w:p>
      <w:pPr>
        <w:spacing w:before="159" w:beforeLines="50" w:line="360" w:lineRule="auto"/>
        <w:jc w:val="center"/>
        <w:rPr>
          <w:b/>
          <w:color w:val="auto"/>
          <w:szCs w:val="21"/>
        </w:rPr>
      </w:pPr>
      <w:bookmarkStart w:id="569" w:name="_Ref781976"/>
      <w:r>
        <w:rPr>
          <w:b/>
          <w:color w:val="auto"/>
          <w:szCs w:val="21"/>
        </w:rPr>
        <w:t>表</w:t>
      </w:r>
      <w:bookmarkEnd w:id="569"/>
      <w:r>
        <w:rPr>
          <w:rFonts w:hint="eastAsia"/>
          <w:b/>
          <w:color w:val="auto"/>
          <w:szCs w:val="21"/>
        </w:rPr>
        <w:t>5.</w:t>
      </w:r>
      <w:r>
        <w:rPr>
          <w:b/>
          <w:color w:val="auto"/>
          <w:szCs w:val="21"/>
        </w:rPr>
        <w:t xml:space="preserve">8-2 </w:t>
      </w:r>
      <w:r>
        <w:rPr>
          <w:rFonts w:hint="eastAsia"/>
          <w:b/>
          <w:color w:val="auto"/>
          <w:szCs w:val="21"/>
        </w:rPr>
        <w:t xml:space="preserve"> </w:t>
      </w:r>
      <w:r>
        <w:rPr>
          <w:b/>
          <w:color w:val="auto"/>
          <w:szCs w:val="21"/>
        </w:rPr>
        <w:t>土壤监测项目、分析方法和最低检出限一览表</w:t>
      </w:r>
    </w:p>
    <w:tbl>
      <w:tblPr>
        <w:tblStyle w:val="23"/>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2506"/>
        <w:gridCol w:w="1657"/>
        <w:gridCol w:w="1873"/>
        <w:gridCol w:w="1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blHeader/>
        </w:trPr>
        <w:tc>
          <w:tcPr>
            <w:tcW w:w="1161" w:type="dxa"/>
            <w:vAlign w:val="center"/>
          </w:tcPr>
          <w:p>
            <w:pPr>
              <w:spacing w:line="360" w:lineRule="auto"/>
              <w:jc w:val="center"/>
              <w:rPr>
                <w:color w:val="auto"/>
                <w:kern w:val="0"/>
                <w:szCs w:val="21"/>
              </w:rPr>
            </w:pPr>
            <w:r>
              <w:rPr>
                <w:color w:val="auto"/>
                <w:szCs w:val="21"/>
              </w:rPr>
              <w:t>检测项目</w:t>
            </w:r>
          </w:p>
        </w:tc>
        <w:tc>
          <w:tcPr>
            <w:tcW w:w="2506" w:type="dxa"/>
            <w:vAlign w:val="center"/>
          </w:tcPr>
          <w:p>
            <w:pPr>
              <w:spacing w:line="360" w:lineRule="auto"/>
              <w:jc w:val="center"/>
              <w:rPr>
                <w:color w:val="auto"/>
                <w:kern w:val="0"/>
                <w:szCs w:val="21"/>
              </w:rPr>
            </w:pPr>
            <w:r>
              <w:rPr>
                <w:color w:val="auto"/>
                <w:szCs w:val="21"/>
              </w:rPr>
              <w:t>分析方法</w:t>
            </w:r>
          </w:p>
        </w:tc>
        <w:tc>
          <w:tcPr>
            <w:tcW w:w="1657" w:type="dxa"/>
            <w:vAlign w:val="center"/>
          </w:tcPr>
          <w:p>
            <w:pPr>
              <w:spacing w:line="360" w:lineRule="auto"/>
              <w:jc w:val="center"/>
              <w:rPr>
                <w:color w:val="auto"/>
                <w:kern w:val="0"/>
                <w:szCs w:val="21"/>
              </w:rPr>
            </w:pPr>
            <w:r>
              <w:rPr>
                <w:color w:val="auto"/>
                <w:szCs w:val="21"/>
              </w:rPr>
              <w:t>方法依据</w:t>
            </w:r>
          </w:p>
        </w:tc>
        <w:tc>
          <w:tcPr>
            <w:tcW w:w="1873" w:type="dxa"/>
          </w:tcPr>
          <w:p>
            <w:pPr>
              <w:spacing w:line="360" w:lineRule="auto"/>
              <w:jc w:val="center"/>
              <w:rPr>
                <w:color w:val="auto"/>
                <w:kern w:val="0"/>
                <w:szCs w:val="21"/>
              </w:rPr>
            </w:pPr>
            <w:r>
              <w:rPr>
                <w:color w:val="auto"/>
                <w:szCs w:val="21"/>
              </w:rPr>
              <w:t>使用仪器</w:t>
            </w:r>
          </w:p>
        </w:tc>
        <w:tc>
          <w:tcPr>
            <w:tcW w:w="1331" w:type="dxa"/>
            <w:vAlign w:val="center"/>
          </w:tcPr>
          <w:p>
            <w:pPr>
              <w:spacing w:line="360" w:lineRule="auto"/>
              <w:jc w:val="center"/>
              <w:rPr>
                <w:color w:val="auto"/>
                <w:kern w:val="0"/>
                <w:szCs w:val="21"/>
              </w:rPr>
            </w:pPr>
            <w:r>
              <w:rPr>
                <w:color w:val="auto"/>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161" w:type="dxa"/>
            <w:vAlign w:val="center"/>
          </w:tcPr>
          <w:p>
            <w:pPr>
              <w:jc w:val="center"/>
              <w:rPr>
                <w:color w:val="auto"/>
                <w:kern w:val="0"/>
                <w:szCs w:val="21"/>
              </w:rPr>
            </w:pPr>
            <w:r>
              <w:rPr>
                <w:rFonts w:hint="eastAsia"/>
                <w:color w:val="auto"/>
                <w:szCs w:val="21"/>
              </w:rPr>
              <w:t>石油烃（C</w:t>
            </w:r>
            <w:r>
              <w:rPr>
                <w:rFonts w:hint="eastAsia"/>
                <w:color w:val="auto"/>
                <w:szCs w:val="21"/>
                <w:vertAlign w:val="subscript"/>
              </w:rPr>
              <w:t>10</w:t>
            </w:r>
            <w:r>
              <w:rPr>
                <w:rFonts w:hint="eastAsia"/>
                <w:color w:val="auto"/>
                <w:szCs w:val="21"/>
              </w:rPr>
              <w:t>-C</w:t>
            </w:r>
            <w:r>
              <w:rPr>
                <w:rFonts w:hint="eastAsia"/>
                <w:color w:val="auto"/>
                <w:szCs w:val="21"/>
                <w:vertAlign w:val="subscript"/>
              </w:rPr>
              <w:t>40</w:t>
            </w:r>
            <w:r>
              <w:rPr>
                <w:rFonts w:hint="eastAsia"/>
                <w:color w:val="auto"/>
                <w:szCs w:val="21"/>
              </w:rPr>
              <w:t>）</w:t>
            </w:r>
          </w:p>
        </w:tc>
        <w:tc>
          <w:tcPr>
            <w:tcW w:w="2506" w:type="dxa"/>
            <w:vAlign w:val="center"/>
          </w:tcPr>
          <w:p>
            <w:pPr>
              <w:widowControl/>
              <w:jc w:val="center"/>
              <w:textAlignment w:val="center"/>
              <w:rPr>
                <w:color w:val="auto"/>
                <w:kern w:val="0"/>
                <w:szCs w:val="21"/>
              </w:rPr>
            </w:pPr>
            <w:r>
              <w:rPr>
                <w:color w:val="auto"/>
                <w:kern w:val="0"/>
                <w:szCs w:val="21"/>
                <w:lang w:bidi="ar"/>
              </w:rPr>
              <w:t>《土壤和沉积物 石油烃（C10-C40）的测定气相色谱法》</w:t>
            </w:r>
          </w:p>
        </w:tc>
        <w:tc>
          <w:tcPr>
            <w:tcW w:w="1657" w:type="dxa"/>
            <w:vAlign w:val="center"/>
          </w:tcPr>
          <w:p>
            <w:pPr>
              <w:widowControl/>
              <w:jc w:val="center"/>
              <w:textAlignment w:val="center"/>
              <w:rPr>
                <w:color w:val="auto"/>
                <w:kern w:val="0"/>
                <w:szCs w:val="21"/>
              </w:rPr>
            </w:pPr>
            <w:r>
              <w:rPr>
                <w:color w:val="auto"/>
                <w:kern w:val="0"/>
                <w:szCs w:val="21"/>
                <w:lang w:bidi="ar"/>
              </w:rPr>
              <w:t>HJ1021-2019</w:t>
            </w:r>
          </w:p>
        </w:tc>
        <w:tc>
          <w:tcPr>
            <w:tcW w:w="1873" w:type="dxa"/>
            <w:vAlign w:val="center"/>
          </w:tcPr>
          <w:p>
            <w:pPr>
              <w:widowControl/>
              <w:jc w:val="center"/>
              <w:textAlignment w:val="center"/>
              <w:rPr>
                <w:color w:val="auto"/>
                <w:kern w:val="0"/>
                <w:szCs w:val="21"/>
              </w:rPr>
            </w:pPr>
            <w:r>
              <w:rPr>
                <w:color w:val="auto"/>
                <w:kern w:val="0"/>
                <w:szCs w:val="21"/>
                <w:lang w:bidi="ar"/>
              </w:rPr>
              <w:t>气相色谱仪</w:t>
            </w:r>
            <w:r>
              <w:rPr>
                <w:color w:val="auto"/>
                <w:kern w:val="0"/>
                <w:szCs w:val="21"/>
                <w:lang w:bidi="ar"/>
              </w:rPr>
              <w:br w:type="textWrapping"/>
            </w:r>
            <w:r>
              <w:rPr>
                <w:color w:val="auto"/>
                <w:kern w:val="0"/>
                <w:szCs w:val="21"/>
                <w:lang w:bidi="ar"/>
              </w:rPr>
              <w:t>GC-2014C</w:t>
            </w:r>
          </w:p>
        </w:tc>
        <w:tc>
          <w:tcPr>
            <w:tcW w:w="1331" w:type="dxa"/>
            <w:vAlign w:val="center"/>
          </w:tcPr>
          <w:p>
            <w:pPr>
              <w:widowControl/>
              <w:jc w:val="center"/>
              <w:textAlignment w:val="center"/>
              <w:rPr>
                <w:color w:val="auto"/>
                <w:kern w:val="0"/>
                <w:szCs w:val="21"/>
              </w:rPr>
            </w:pPr>
            <w:r>
              <w:rPr>
                <w:color w:val="auto"/>
                <w:kern w:val="0"/>
                <w:szCs w:val="21"/>
                <w:lang w:bidi="ar"/>
              </w:rPr>
              <w:t>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12</w:t>
            </w:r>
            <w:r>
              <w:rPr>
                <w:rFonts w:hint="eastAsia" w:ascii="宋体" w:hAnsi="宋体" w:cs="宋体"/>
                <w:color w:val="auto"/>
                <w:kern w:val="0"/>
                <w:szCs w:val="21"/>
                <w:lang w:bidi="ar"/>
              </w:rPr>
              <w:t>种金属元素的测定 王水提取</w:t>
            </w:r>
            <w:r>
              <w:rPr>
                <w:color w:val="auto"/>
                <w:kern w:val="0"/>
                <w:szCs w:val="21"/>
                <w:lang w:bidi="ar"/>
              </w:rPr>
              <w:t>-</w:t>
            </w:r>
            <w:r>
              <w:rPr>
                <w:rFonts w:hint="eastAsia" w:ascii="宋体" w:hAnsi="宋体" w:cs="宋体"/>
                <w:color w:val="auto"/>
                <w:kern w:val="0"/>
                <w:szCs w:val="21"/>
                <w:lang w:bidi="ar"/>
              </w:rPr>
              <w:t>电感耦合等离子体质谱法》</w:t>
            </w:r>
          </w:p>
        </w:tc>
        <w:tc>
          <w:tcPr>
            <w:tcW w:w="1657" w:type="dxa"/>
            <w:vAlign w:val="center"/>
          </w:tcPr>
          <w:p>
            <w:pPr>
              <w:widowControl/>
              <w:jc w:val="center"/>
              <w:textAlignment w:val="center"/>
              <w:rPr>
                <w:color w:val="auto"/>
                <w:kern w:val="0"/>
                <w:szCs w:val="21"/>
              </w:rPr>
            </w:pPr>
            <w:r>
              <w:rPr>
                <w:color w:val="auto"/>
                <w:kern w:val="0"/>
                <w:szCs w:val="21"/>
                <w:lang w:bidi="ar"/>
              </w:rPr>
              <w:t>HJ 803-2016</w:t>
            </w:r>
          </w:p>
        </w:tc>
        <w:tc>
          <w:tcPr>
            <w:tcW w:w="1873" w:type="dxa"/>
            <w:vAlign w:val="center"/>
          </w:tcPr>
          <w:p>
            <w:pPr>
              <w:widowControl/>
              <w:jc w:val="center"/>
              <w:textAlignment w:val="center"/>
              <w:rPr>
                <w:color w:val="auto"/>
                <w:kern w:val="0"/>
                <w:szCs w:val="21"/>
              </w:rPr>
            </w:pPr>
            <w:r>
              <w:rPr>
                <w:color w:val="auto"/>
                <w:kern w:val="0"/>
                <w:szCs w:val="21"/>
                <w:lang w:bidi="ar"/>
              </w:rPr>
              <w:t>ICP</w:t>
            </w:r>
            <w:r>
              <w:rPr>
                <w:rFonts w:hint="eastAsia" w:ascii="宋体" w:hAnsi="宋体" w:cs="宋体"/>
                <w:color w:val="auto"/>
                <w:kern w:val="0"/>
                <w:szCs w:val="21"/>
                <w:lang w:bidi="ar"/>
              </w:rPr>
              <w:t>质谱仪</w:t>
            </w:r>
            <w:r>
              <w:rPr>
                <w:color w:val="auto"/>
                <w:kern w:val="0"/>
                <w:szCs w:val="21"/>
                <w:lang w:bidi="ar"/>
              </w:rPr>
              <w:br w:type="textWrapping"/>
            </w:r>
            <w:r>
              <w:rPr>
                <w:color w:val="auto"/>
                <w:kern w:val="0"/>
                <w:szCs w:val="21"/>
                <w:lang w:bidi="ar"/>
              </w:rPr>
              <w:t>ICPMS-2030</w:t>
            </w:r>
          </w:p>
        </w:tc>
        <w:tc>
          <w:tcPr>
            <w:tcW w:w="1331" w:type="dxa"/>
            <w:vAlign w:val="center"/>
          </w:tcPr>
          <w:p>
            <w:pPr>
              <w:widowControl/>
              <w:jc w:val="center"/>
              <w:textAlignment w:val="center"/>
              <w:rPr>
                <w:color w:val="auto"/>
                <w:kern w:val="0"/>
                <w:szCs w:val="21"/>
              </w:rPr>
            </w:pPr>
            <w:r>
              <w:rPr>
                <w:color w:val="auto"/>
                <w:kern w:val="0"/>
                <w:szCs w:val="21"/>
                <w:lang w:bidi="ar"/>
              </w:rPr>
              <w:t>0.4mg/kg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rFonts w:hint="eastAsia"/>
                <w:color w:val="auto"/>
                <w:szCs w:val="21"/>
              </w:rPr>
              <w:t>镉</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《土壤质量</w:t>
            </w:r>
            <w:r>
              <w:rPr>
                <w:color w:val="auto"/>
                <w:kern w:val="0"/>
                <w:szCs w:val="21"/>
                <w:lang w:bidi="ar"/>
              </w:rPr>
              <w:t xml:space="preserve"> </w:t>
            </w:r>
            <w:r>
              <w:rPr>
                <w:rFonts w:hint="eastAsia" w:ascii="宋体" w:hAnsi="宋体" w:cs="宋体"/>
                <w:color w:val="auto"/>
                <w:kern w:val="0"/>
                <w:szCs w:val="21"/>
                <w:lang w:bidi="ar"/>
              </w:rPr>
              <w:t>铅、镉的测定</w:t>
            </w:r>
            <w:r>
              <w:rPr>
                <w:color w:val="auto"/>
                <w:kern w:val="0"/>
                <w:szCs w:val="21"/>
                <w:lang w:bidi="ar"/>
              </w:rPr>
              <w:t xml:space="preserve"> </w:t>
            </w:r>
            <w:r>
              <w:rPr>
                <w:rFonts w:hint="eastAsia" w:ascii="宋体" w:hAnsi="宋体" w:cs="宋体"/>
                <w:color w:val="auto"/>
                <w:kern w:val="0"/>
                <w:szCs w:val="21"/>
                <w:lang w:bidi="ar"/>
              </w:rPr>
              <w:t>石墨炉原子吸收分光光度法》</w:t>
            </w:r>
          </w:p>
        </w:tc>
        <w:tc>
          <w:tcPr>
            <w:tcW w:w="1657" w:type="dxa"/>
            <w:vAlign w:val="center"/>
          </w:tcPr>
          <w:p>
            <w:pPr>
              <w:widowControl/>
              <w:jc w:val="center"/>
              <w:textAlignment w:val="center"/>
              <w:rPr>
                <w:color w:val="auto"/>
                <w:kern w:val="0"/>
                <w:szCs w:val="21"/>
              </w:rPr>
            </w:pPr>
            <w:r>
              <w:rPr>
                <w:color w:val="auto"/>
                <w:kern w:val="0"/>
                <w:szCs w:val="21"/>
                <w:lang w:bidi="ar"/>
              </w:rPr>
              <w:t>GB/T 17141-1997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原子吸收分光光度计</w:t>
            </w:r>
            <w:r>
              <w:rPr>
                <w:color w:val="auto"/>
                <w:kern w:val="0"/>
                <w:szCs w:val="21"/>
                <w:lang w:bidi="ar"/>
              </w:rPr>
              <w:t>AA-6880</w:t>
            </w:r>
          </w:p>
        </w:tc>
        <w:tc>
          <w:tcPr>
            <w:tcW w:w="1331" w:type="dxa"/>
            <w:vAlign w:val="center"/>
          </w:tcPr>
          <w:p>
            <w:pPr>
              <w:widowControl/>
              <w:jc w:val="center"/>
              <w:textAlignment w:val="center"/>
              <w:rPr>
                <w:color w:val="auto"/>
                <w:kern w:val="0"/>
                <w:szCs w:val="21"/>
              </w:rPr>
            </w:pPr>
            <w:r>
              <w:rPr>
                <w:color w:val="auto"/>
                <w:kern w:val="0"/>
                <w:szCs w:val="21"/>
                <w:lang w:bidi="ar"/>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铬（六价）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六价铬的测定</w:t>
            </w:r>
            <w:r>
              <w:rPr>
                <w:color w:val="auto"/>
                <w:kern w:val="0"/>
                <w:szCs w:val="21"/>
                <w:lang w:bidi="ar"/>
              </w:rPr>
              <w:t xml:space="preserve"> </w:t>
            </w:r>
            <w:r>
              <w:rPr>
                <w:rFonts w:hint="eastAsia" w:ascii="宋体" w:hAnsi="宋体" w:cs="宋体"/>
                <w:color w:val="auto"/>
                <w:kern w:val="0"/>
                <w:szCs w:val="21"/>
                <w:lang w:bidi="ar"/>
              </w:rPr>
              <w:t>碱溶液提取-火焰原子吸收分光光度法》</w:t>
            </w:r>
          </w:p>
        </w:tc>
        <w:tc>
          <w:tcPr>
            <w:tcW w:w="1657" w:type="dxa"/>
            <w:vAlign w:val="center"/>
          </w:tcPr>
          <w:p>
            <w:pPr>
              <w:widowControl/>
              <w:jc w:val="center"/>
              <w:textAlignment w:val="center"/>
              <w:rPr>
                <w:color w:val="auto"/>
                <w:kern w:val="0"/>
                <w:szCs w:val="21"/>
              </w:rPr>
            </w:pPr>
            <w:r>
              <w:rPr>
                <w:color w:val="auto"/>
                <w:kern w:val="0"/>
                <w:szCs w:val="21"/>
                <w:lang w:bidi="ar"/>
              </w:rPr>
              <w:t>HJ1082-2019</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原子吸收分光光度计</w:t>
            </w:r>
            <w:r>
              <w:rPr>
                <w:color w:val="auto"/>
                <w:kern w:val="0"/>
                <w:szCs w:val="21"/>
                <w:lang w:bidi="ar"/>
              </w:rPr>
              <w:t>AA-6880</w:t>
            </w:r>
          </w:p>
        </w:tc>
        <w:tc>
          <w:tcPr>
            <w:tcW w:w="1331" w:type="dxa"/>
            <w:vAlign w:val="center"/>
          </w:tcPr>
          <w:p>
            <w:pPr>
              <w:widowControl/>
              <w:jc w:val="center"/>
              <w:textAlignment w:val="center"/>
              <w:rPr>
                <w:color w:val="auto"/>
                <w:kern w:val="0"/>
                <w:szCs w:val="21"/>
              </w:rPr>
            </w:pPr>
            <w:r>
              <w:rPr>
                <w:color w:val="auto"/>
                <w:kern w:val="0"/>
                <w:szCs w:val="21"/>
                <w:lang w:bidi="ar"/>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铜</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铜、锌、铅、镍、铬的测定</w:t>
            </w:r>
            <w:r>
              <w:rPr>
                <w:color w:val="auto"/>
                <w:kern w:val="0"/>
                <w:szCs w:val="21"/>
                <w:lang w:bidi="ar"/>
              </w:rPr>
              <w:t xml:space="preserve"> </w:t>
            </w:r>
            <w:r>
              <w:rPr>
                <w:rFonts w:hint="eastAsia" w:ascii="宋体" w:hAnsi="宋体" w:cs="宋体"/>
                <w:color w:val="auto"/>
                <w:kern w:val="0"/>
                <w:szCs w:val="21"/>
                <w:lang w:bidi="ar"/>
              </w:rPr>
              <w:t>火焰原子吸收分光光度法》</w:t>
            </w:r>
          </w:p>
        </w:tc>
        <w:tc>
          <w:tcPr>
            <w:tcW w:w="1657" w:type="dxa"/>
            <w:vAlign w:val="center"/>
          </w:tcPr>
          <w:p>
            <w:pPr>
              <w:widowControl/>
              <w:jc w:val="center"/>
              <w:textAlignment w:val="center"/>
              <w:rPr>
                <w:color w:val="auto"/>
                <w:kern w:val="0"/>
                <w:szCs w:val="21"/>
              </w:rPr>
            </w:pPr>
            <w:r>
              <w:rPr>
                <w:color w:val="auto"/>
                <w:kern w:val="0"/>
                <w:szCs w:val="21"/>
                <w:lang w:bidi="ar"/>
              </w:rPr>
              <w:t>HJ491-2019</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原子吸收分光光度计</w:t>
            </w:r>
            <w:r>
              <w:rPr>
                <w:color w:val="auto"/>
                <w:kern w:val="0"/>
                <w:szCs w:val="21"/>
                <w:lang w:bidi="ar"/>
              </w:rPr>
              <w:t>AA-6880</w:t>
            </w:r>
          </w:p>
        </w:tc>
        <w:tc>
          <w:tcPr>
            <w:tcW w:w="1331" w:type="dxa"/>
            <w:vAlign w:val="center"/>
          </w:tcPr>
          <w:p>
            <w:pPr>
              <w:widowControl/>
              <w:jc w:val="center"/>
              <w:textAlignment w:val="center"/>
              <w:rPr>
                <w:color w:val="auto"/>
                <w:kern w:val="0"/>
                <w:szCs w:val="21"/>
              </w:rPr>
            </w:pPr>
            <w:r>
              <w:rPr>
                <w:color w:val="auto"/>
                <w:kern w:val="0"/>
                <w:szCs w:val="21"/>
                <w:lang w:bidi="ar"/>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铅</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《土壤质量</w:t>
            </w:r>
            <w:r>
              <w:rPr>
                <w:color w:val="auto"/>
                <w:kern w:val="0"/>
                <w:szCs w:val="21"/>
                <w:lang w:bidi="ar"/>
              </w:rPr>
              <w:t xml:space="preserve"> </w:t>
            </w:r>
            <w:r>
              <w:rPr>
                <w:rFonts w:hint="eastAsia" w:ascii="宋体" w:hAnsi="宋体" w:cs="宋体"/>
                <w:color w:val="auto"/>
                <w:kern w:val="0"/>
                <w:szCs w:val="21"/>
                <w:lang w:bidi="ar"/>
              </w:rPr>
              <w:t>铅、镉的测定</w:t>
            </w:r>
            <w:r>
              <w:rPr>
                <w:color w:val="auto"/>
                <w:kern w:val="0"/>
                <w:szCs w:val="21"/>
                <w:lang w:bidi="ar"/>
              </w:rPr>
              <w:t xml:space="preserve"> </w:t>
            </w:r>
            <w:r>
              <w:rPr>
                <w:rFonts w:hint="eastAsia" w:ascii="宋体" w:hAnsi="宋体" w:cs="宋体"/>
                <w:color w:val="auto"/>
                <w:kern w:val="0"/>
                <w:szCs w:val="21"/>
                <w:lang w:bidi="ar"/>
              </w:rPr>
              <w:t>石墨炉原子吸收分光光度法》</w:t>
            </w:r>
          </w:p>
        </w:tc>
        <w:tc>
          <w:tcPr>
            <w:tcW w:w="1657" w:type="dxa"/>
            <w:vAlign w:val="center"/>
          </w:tcPr>
          <w:p>
            <w:pPr>
              <w:widowControl/>
              <w:jc w:val="center"/>
              <w:textAlignment w:val="center"/>
              <w:rPr>
                <w:color w:val="auto"/>
                <w:kern w:val="0"/>
                <w:szCs w:val="21"/>
              </w:rPr>
            </w:pPr>
            <w:r>
              <w:rPr>
                <w:color w:val="auto"/>
                <w:kern w:val="0"/>
                <w:szCs w:val="21"/>
                <w:lang w:bidi="ar"/>
              </w:rPr>
              <w:t>GB/T 17141-1997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原子吸收分光光度计</w:t>
            </w:r>
            <w:r>
              <w:rPr>
                <w:color w:val="auto"/>
                <w:kern w:val="0"/>
                <w:szCs w:val="21"/>
                <w:lang w:bidi="ar"/>
              </w:rPr>
              <w:t>AA-6880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汞</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汞、砷、硒、铋、锑的测定</w:t>
            </w:r>
            <w:r>
              <w:rPr>
                <w:color w:val="auto"/>
                <w:kern w:val="0"/>
                <w:szCs w:val="21"/>
                <w:lang w:bidi="ar"/>
              </w:rPr>
              <w:t xml:space="preserve"> </w:t>
            </w:r>
            <w:r>
              <w:rPr>
                <w:rFonts w:hint="eastAsia" w:ascii="宋体" w:hAnsi="宋体" w:cs="宋体"/>
                <w:color w:val="auto"/>
                <w:kern w:val="0"/>
                <w:szCs w:val="21"/>
                <w:lang w:bidi="ar"/>
              </w:rPr>
              <w:t>微波消解</w:t>
            </w:r>
            <w:r>
              <w:rPr>
                <w:color w:val="auto"/>
                <w:kern w:val="0"/>
                <w:szCs w:val="21"/>
                <w:lang w:bidi="ar"/>
              </w:rPr>
              <w:t>/</w:t>
            </w:r>
            <w:r>
              <w:rPr>
                <w:rFonts w:hint="eastAsia" w:ascii="宋体" w:hAnsi="宋体" w:cs="宋体"/>
                <w:color w:val="auto"/>
                <w:kern w:val="0"/>
                <w:szCs w:val="21"/>
                <w:lang w:bidi="ar"/>
              </w:rPr>
              <w:t>原子荧光法》</w:t>
            </w:r>
          </w:p>
        </w:tc>
        <w:tc>
          <w:tcPr>
            <w:tcW w:w="1657" w:type="dxa"/>
            <w:vAlign w:val="center"/>
          </w:tcPr>
          <w:p>
            <w:pPr>
              <w:widowControl/>
              <w:jc w:val="center"/>
              <w:textAlignment w:val="center"/>
              <w:rPr>
                <w:color w:val="auto"/>
                <w:kern w:val="0"/>
                <w:szCs w:val="21"/>
              </w:rPr>
            </w:pPr>
            <w:r>
              <w:rPr>
                <w:color w:val="auto"/>
                <w:kern w:val="0"/>
                <w:szCs w:val="21"/>
                <w:lang w:bidi="ar"/>
              </w:rPr>
              <w:t xml:space="preserve"> HJ 680-2013</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原子荧光光谱仪（非色散原子荧光光度计）</w:t>
            </w:r>
            <w:r>
              <w:rPr>
                <w:color w:val="auto"/>
                <w:kern w:val="0"/>
                <w:szCs w:val="21"/>
                <w:lang w:bidi="ar"/>
              </w:rPr>
              <w:br w:type="textWrapping"/>
            </w:r>
            <w:r>
              <w:rPr>
                <w:color w:val="auto"/>
                <w:kern w:val="0"/>
                <w:szCs w:val="21"/>
                <w:lang w:bidi="ar"/>
              </w:rPr>
              <w:t>SK-2003A</w:t>
            </w:r>
          </w:p>
        </w:tc>
        <w:tc>
          <w:tcPr>
            <w:tcW w:w="1331" w:type="dxa"/>
            <w:vAlign w:val="center"/>
          </w:tcPr>
          <w:p>
            <w:pPr>
              <w:widowControl/>
              <w:jc w:val="center"/>
              <w:textAlignment w:val="center"/>
              <w:rPr>
                <w:color w:val="auto"/>
                <w:kern w:val="0"/>
                <w:szCs w:val="21"/>
              </w:rPr>
            </w:pPr>
            <w:r>
              <w:rPr>
                <w:color w:val="auto"/>
                <w:kern w:val="0"/>
                <w:szCs w:val="21"/>
                <w:lang w:bidi="ar"/>
              </w:rPr>
              <w:t>0.002mg/kg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镍</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铜、锌、铅、镍、铬的测定</w:t>
            </w:r>
            <w:r>
              <w:rPr>
                <w:color w:val="auto"/>
                <w:kern w:val="0"/>
                <w:szCs w:val="21"/>
                <w:lang w:bidi="ar"/>
              </w:rPr>
              <w:t xml:space="preserve"> </w:t>
            </w:r>
            <w:r>
              <w:rPr>
                <w:rFonts w:hint="eastAsia" w:ascii="宋体" w:hAnsi="宋体" w:cs="宋体"/>
                <w:color w:val="auto"/>
                <w:kern w:val="0"/>
                <w:szCs w:val="21"/>
                <w:lang w:bidi="ar"/>
              </w:rPr>
              <w:t>火焰原子吸收分光光度法》</w:t>
            </w:r>
          </w:p>
        </w:tc>
        <w:tc>
          <w:tcPr>
            <w:tcW w:w="1657" w:type="dxa"/>
            <w:vAlign w:val="center"/>
          </w:tcPr>
          <w:p>
            <w:pPr>
              <w:widowControl/>
              <w:jc w:val="center"/>
              <w:textAlignment w:val="center"/>
              <w:rPr>
                <w:color w:val="auto"/>
                <w:kern w:val="0"/>
                <w:szCs w:val="21"/>
              </w:rPr>
            </w:pPr>
            <w:r>
              <w:rPr>
                <w:color w:val="auto"/>
                <w:kern w:val="0"/>
                <w:szCs w:val="21"/>
                <w:lang w:bidi="ar"/>
              </w:rPr>
              <w:t>HJ491-2019</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原子吸收分光光度计</w:t>
            </w:r>
            <w:r>
              <w:rPr>
                <w:color w:val="auto"/>
                <w:kern w:val="0"/>
                <w:szCs w:val="21"/>
                <w:lang w:bidi="ar"/>
              </w:rPr>
              <w:t>AA-6880</w:t>
            </w:r>
          </w:p>
        </w:tc>
        <w:tc>
          <w:tcPr>
            <w:tcW w:w="1331" w:type="dxa"/>
            <w:vAlign w:val="center"/>
          </w:tcPr>
          <w:p>
            <w:pPr>
              <w:widowControl/>
              <w:jc w:val="center"/>
              <w:textAlignment w:val="center"/>
              <w:rPr>
                <w:color w:val="auto"/>
                <w:kern w:val="0"/>
                <w:szCs w:val="21"/>
              </w:rPr>
            </w:pPr>
            <w:r>
              <w:rPr>
                <w:color w:val="auto"/>
                <w:kern w:val="0"/>
                <w:szCs w:val="21"/>
                <w:lang w:bidi="ar"/>
              </w:rPr>
              <w:t>10mg/kg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四氯化碳</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氯仿</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氯甲烷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1,1-二氯乙烷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1,2-二氯乙烷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1,1-二氯乙烯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顺-1,2-二氯乙烯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反-1,2-二氯乙烯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二氯甲烷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1,2-二氯丙烷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1,1,1,2-四氯乙烷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1,1,2,2-四氯乙烷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四氯</w:t>
            </w:r>
            <w:r>
              <w:rPr>
                <w:rFonts w:hint="eastAsia"/>
                <w:color w:val="auto"/>
                <w:szCs w:val="21"/>
              </w:rPr>
              <w:t>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1,1,1-三氯乙烷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1,1,2-三氯乙烷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三氯乙烯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1,2,3-三氯丙烷</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161" w:type="dxa"/>
            <w:vAlign w:val="center"/>
          </w:tcPr>
          <w:p>
            <w:pPr>
              <w:jc w:val="center"/>
              <w:rPr>
                <w:color w:val="auto"/>
                <w:kern w:val="0"/>
                <w:szCs w:val="21"/>
              </w:rPr>
            </w:pPr>
            <w:r>
              <w:rPr>
                <w:color w:val="auto"/>
                <w:szCs w:val="21"/>
              </w:rPr>
              <w:t>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氯苯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1,2-二氯苯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1,4-二氯苯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乙苯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苯乙烯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甲苯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间二甲苯+对二甲苯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161" w:type="dxa"/>
            <w:vAlign w:val="center"/>
          </w:tcPr>
          <w:p>
            <w:pPr>
              <w:jc w:val="center"/>
              <w:rPr>
                <w:color w:val="auto"/>
                <w:kern w:val="0"/>
                <w:szCs w:val="21"/>
              </w:rPr>
            </w:pPr>
            <w:r>
              <w:rPr>
                <w:color w:val="auto"/>
                <w:szCs w:val="21"/>
              </w:rPr>
              <w:t>邻二甲苯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挥发性有机物的测定</w:t>
            </w:r>
            <w:r>
              <w:rPr>
                <w:color w:val="auto"/>
                <w:kern w:val="0"/>
                <w:szCs w:val="21"/>
                <w:lang w:bidi="ar"/>
              </w:rPr>
              <w:t xml:space="preserve"> </w:t>
            </w:r>
            <w:r>
              <w:rPr>
                <w:rFonts w:hint="eastAsia" w:ascii="宋体" w:hAnsi="宋体" w:cs="宋体"/>
                <w:color w:val="auto"/>
                <w:kern w:val="0"/>
                <w:szCs w:val="21"/>
                <w:lang w:bidi="ar"/>
              </w:rPr>
              <w:t>吹扫捕集</w:t>
            </w:r>
            <w:r>
              <w:rPr>
                <w:color w:val="auto"/>
                <w:kern w:val="0"/>
                <w:szCs w:val="21"/>
                <w:lang w:bidi="ar"/>
              </w:rPr>
              <w:t>/</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605-2011</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硝基苯</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color w:val="auto"/>
                <w:szCs w:val="21"/>
              </w:rPr>
              <w:t>苯胺</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0.004mg/kg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rFonts w:hint="eastAsia"/>
                <w:color w:val="auto"/>
                <w:szCs w:val="21"/>
              </w:rPr>
              <w:t>2-氯苯酚</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0.06mg/kg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color w:val="auto"/>
                <w:szCs w:val="21"/>
              </w:rPr>
              <w:t>苯并[a]蒽</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color w:val="auto"/>
                <w:szCs w:val="21"/>
              </w:rPr>
              <w:t>苯并[a]芘</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color w:val="auto"/>
                <w:szCs w:val="21"/>
              </w:rPr>
              <w:t>苯并[</w:t>
            </w:r>
            <w:r>
              <w:rPr>
                <w:rFonts w:hint="eastAsia"/>
                <w:color w:val="auto"/>
                <w:szCs w:val="21"/>
              </w:rPr>
              <w:t>b</w:t>
            </w:r>
            <w:r>
              <w:rPr>
                <w:color w:val="auto"/>
                <w:szCs w:val="21"/>
              </w:rPr>
              <w:t>]荧蒽</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苯并[k]荧蒽</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161" w:type="dxa"/>
            <w:vAlign w:val="center"/>
          </w:tcPr>
          <w:p>
            <w:pPr>
              <w:jc w:val="center"/>
              <w:rPr>
                <w:color w:val="auto"/>
                <w:kern w:val="0"/>
                <w:szCs w:val="21"/>
              </w:rPr>
            </w:pPr>
            <w:r>
              <w:rPr>
                <w:color w:val="auto"/>
                <w:szCs w:val="21"/>
              </w:rPr>
              <w:t>䓛</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161" w:type="dxa"/>
            <w:vAlign w:val="center"/>
          </w:tcPr>
          <w:p>
            <w:pPr>
              <w:jc w:val="center"/>
              <w:rPr>
                <w:color w:val="auto"/>
                <w:kern w:val="0"/>
                <w:szCs w:val="21"/>
              </w:rPr>
            </w:pPr>
            <w:r>
              <w:rPr>
                <w:color w:val="auto"/>
                <w:szCs w:val="21"/>
              </w:rPr>
              <w:t>二苯并[a，h]蒽</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61" w:type="dxa"/>
            <w:vAlign w:val="center"/>
          </w:tcPr>
          <w:p>
            <w:pPr>
              <w:jc w:val="center"/>
              <w:rPr>
                <w:color w:val="auto"/>
                <w:kern w:val="0"/>
                <w:szCs w:val="21"/>
              </w:rPr>
            </w:pPr>
            <w:r>
              <w:rPr>
                <w:color w:val="auto"/>
                <w:szCs w:val="21"/>
              </w:rPr>
              <w:t>茚并[1,2,3-cd]芘</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161" w:type="dxa"/>
            <w:vAlign w:val="center"/>
          </w:tcPr>
          <w:p>
            <w:pPr>
              <w:jc w:val="center"/>
              <w:rPr>
                <w:color w:val="auto"/>
                <w:kern w:val="0"/>
                <w:szCs w:val="21"/>
              </w:rPr>
            </w:pPr>
            <w:r>
              <w:rPr>
                <w:color w:val="auto"/>
                <w:szCs w:val="21"/>
              </w:rPr>
              <w:t>萘</w:t>
            </w:r>
          </w:p>
        </w:tc>
        <w:tc>
          <w:tcPr>
            <w:tcW w:w="2506"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《土壤和沉积物</w:t>
            </w:r>
            <w:r>
              <w:rPr>
                <w:color w:val="auto"/>
                <w:kern w:val="0"/>
                <w:szCs w:val="21"/>
                <w:lang w:bidi="ar"/>
              </w:rPr>
              <w:t xml:space="preserve"> </w:t>
            </w:r>
            <w:r>
              <w:rPr>
                <w:rFonts w:hint="eastAsia" w:ascii="宋体" w:hAnsi="宋体" w:cs="宋体"/>
                <w:color w:val="auto"/>
                <w:kern w:val="0"/>
                <w:szCs w:val="21"/>
                <w:lang w:bidi="ar"/>
              </w:rPr>
              <w:t>半挥发性有机物的测定</w:t>
            </w:r>
            <w:r>
              <w:rPr>
                <w:color w:val="auto"/>
                <w:kern w:val="0"/>
                <w:szCs w:val="21"/>
                <w:lang w:bidi="ar"/>
              </w:rPr>
              <w:t xml:space="preserve"> </w:t>
            </w: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质谱法》</w:t>
            </w:r>
          </w:p>
        </w:tc>
        <w:tc>
          <w:tcPr>
            <w:tcW w:w="1657" w:type="dxa"/>
            <w:vAlign w:val="center"/>
          </w:tcPr>
          <w:p>
            <w:pPr>
              <w:widowControl/>
              <w:jc w:val="center"/>
              <w:textAlignment w:val="center"/>
              <w:rPr>
                <w:color w:val="auto"/>
                <w:kern w:val="0"/>
                <w:szCs w:val="21"/>
              </w:rPr>
            </w:pPr>
            <w:r>
              <w:rPr>
                <w:color w:val="auto"/>
                <w:kern w:val="0"/>
                <w:szCs w:val="21"/>
                <w:lang w:bidi="ar"/>
              </w:rPr>
              <w:t>HJ 834-2017</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气相色谱</w:t>
            </w:r>
            <w:r>
              <w:rPr>
                <w:color w:val="auto"/>
                <w:kern w:val="0"/>
                <w:szCs w:val="21"/>
                <w:lang w:bidi="ar"/>
              </w:rPr>
              <w:t>-</w:t>
            </w:r>
            <w:r>
              <w:rPr>
                <w:rFonts w:hint="eastAsia" w:ascii="宋体" w:hAnsi="宋体" w:cs="宋体"/>
                <w:color w:val="auto"/>
                <w:kern w:val="0"/>
                <w:szCs w:val="21"/>
                <w:lang w:bidi="ar"/>
              </w:rPr>
              <w:t>质谱联用仪</w:t>
            </w:r>
            <w:r>
              <w:rPr>
                <w:color w:val="auto"/>
                <w:kern w:val="0"/>
                <w:szCs w:val="21"/>
                <w:lang w:bidi="ar"/>
              </w:rPr>
              <w:br w:type="textWrapping"/>
            </w:r>
            <w:r>
              <w:rPr>
                <w:color w:val="auto"/>
                <w:kern w:val="0"/>
                <w:szCs w:val="21"/>
                <w:lang w:bidi="ar"/>
              </w:rPr>
              <w:t>GC/MS-QP2020</w:t>
            </w:r>
          </w:p>
        </w:tc>
        <w:tc>
          <w:tcPr>
            <w:tcW w:w="1331" w:type="dxa"/>
            <w:vAlign w:val="center"/>
          </w:tcPr>
          <w:p>
            <w:pPr>
              <w:widowControl/>
              <w:jc w:val="center"/>
              <w:textAlignment w:val="center"/>
              <w:rPr>
                <w:color w:val="auto"/>
                <w:kern w:val="0"/>
                <w:szCs w:val="21"/>
              </w:rPr>
            </w:pPr>
            <w:r>
              <w:rPr>
                <w:color w:val="auto"/>
                <w:kern w:val="0"/>
                <w:szCs w:val="21"/>
                <w:lang w:bidi="ar"/>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161" w:type="dxa"/>
            <w:vAlign w:val="center"/>
          </w:tcPr>
          <w:p>
            <w:pPr>
              <w:jc w:val="center"/>
              <w:rPr>
                <w:color w:val="auto"/>
                <w:kern w:val="0"/>
                <w:szCs w:val="21"/>
              </w:rPr>
            </w:pPr>
            <w:r>
              <w:rPr>
                <w:color w:val="auto"/>
                <w:szCs w:val="21"/>
              </w:rPr>
              <w:t>pH值</w:t>
            </w:r>
          </w:p>
        </w:tc>
        <w:tc>
          <w:tcPr>
            <w:tcW w:w="2506" w:type="dxa"/>
            <w:vAlign w:val="center"/>
          </w:tcPr>
          <w:p>
            <w:pPr>
              <w:widowControl/>
              <w:jc w:val="center"/>
              <w:textAlignment w:val="center"/>
              <w:rPr>
                <w:color w:val="auto"/>
                <w:kern w:val="0"/>
                <w:szCs w:val="21"/>
              </w:rPr>
            </w:pPr>
            <w:r>
              <w:rPr>
                <w:color w:val="auto"/>
                <w:kern w:val="0"/>
                <w:szCs w:val="21"/>
                <w:lang w:bidi="ar"/>
              </w:rPr>
              <w:t>土壤</w:t>
            </w:r>
            <w:r>
              <w:rPr>
                <w:rStyle w:val="70"/>
                <w:rFonts w:hint="default" w:ascii="Times New Roman" w:hAnsi="Times New Roman" w:cs="Times New Roman"/>
                <w:color w:val="auto"/>
                <w:sz w:val="21"/>
                <w:szCs w:val="21"/>
                <w:lang w:bidi="ar"/>
              </w:rPr>
              <w:t xml:space="preserve"> </w:t>
            </w:r>
            <w:r>
              <w:rPr>
                <w:color w:val="auto"/>
                <w:szCs w:val="21"/>
              </w:rPr>
              <w:t>pH</w:t>
            </w:r>
            <w:r>
              <w:rPr>
                <w:color w:val="auto"/>
                <w:kern w:val="0"/>
                <w:szCs w:val="21"/>
                <w:lang w:bidi="ar"/>
              </w:rPr>
              <w:t>值的测定</w:t>
            </w:r>
            <w:r>
              <w:rPr>
                <w:rStyle w:val="70"/>
                <w:rFonts w:hint="default" w:ascii="Times New Roman" w:hAnsi="Times New Roman" w:cs="Times New Roman"/>
                <w:color w:val="auto"/>
                <w:sz w:val="21"/>
                <w:szCs w:val="21"/>
                <w:lang w:bidi="ar"/>
              </w:rPr>
              <w:t xml:space="preserve"> </w:t>
            </w:r>
            <w:r>
              <w:rPr>
                <w:color w:val="auto"/>
                <w:kern w:val="0"/>
                <w:szCs w:val="21"/>
                <w:lang w:bidi="ar"/>
              </w:rPr>
              <w:t>电位法</w:t>
            </w:r>
          </w:p>
        </w:tc>
        <w:tc>
          <w:tcPr>
            <w:tcW w:w="1657" w:type="dxa"/>
            <w:vAlign w:val="center"/>
          </w:tcPr>
          <w:p>
            <w:pPr>
              <w:widowControl/>
              <w:jc w:val="center"/>
              <w:textAlignment w:val="center"/>
              <w:rPr>
                <w:color w:val="auto"/>
                <w:kern w:val="0"/>
                <w:szCs w:val="21"/>
              </w:rPr>
            </w:pPr>
            <w:r>
              <w:rPr>
                <w:rStyle w:val="70"/>
                <w:rFonts w:hint="default" w:ascii="Times New Roman" w:hAnsi="Times New Roman" w:cs="Times New Roman"/>
                <w:color w:val="auto"/>
                <w:sz w:val="21"/>
                <w:szCs w:val="21"/>
                <w:lang w:bidi="ar"/>
              </w:rPr>
              <w:t>HJ 962-2018</w:t>
            </w:r>
          </w:p>
        </w:tc>
        <w:tc>
          <w:tcPr>
            <w:tcW w:w="1873" w:type="dxa"/>
            <w:vAlign w:val="center"/>
          </w:tcPr>
          <w:p>
            <w:pPr>
              <w:widowControl/>
              <w:jc w:val="center"/>
              <w:textAlignment w:val="center"/>
              <w:rPr>
                <w:color w:val="auto"/>
                <w:kern w:val="0"/>
                <w:szCs w:val="21"/>
              </w:rPr>
            </w:pPr>
            <w:r>
              <w:rPr>
                <w:rFonts w:hint="eastAsia" w:ascii="宋体" w:hAnsi="宋体" w:cs="宋体"/>
                <w:color w:val="auto"/>
                <w:kern w:val="0"/>
                <w:szCs w:val="21"/>
                <w:lang w:bidi="ar"/>
              </w:rPr>
              <w:t>多参数系列分析仪</w:t>
            </w:r>
            <w:r>
              <w:rPr>
                <w:color w:val="auto"/>
                <w:kern w:val="0"/>
                <w:szCs w:val="21"/>
                <w:lang w:bidi="ar"/>
              </w:rPr>
              <w:t>DZS-706</w:t>
            </w:r>
          </w:p>
        </w:tc>
        <w:tc>
          <w:tcPr>
            <w:tcW w:w="1331" w:type="dxa"/>
            <w:vAlign w:val="center"/>
          </w:tcPr>
          <w:p>
            <w:pPr>
              <w:widowControl/>
              <w:jc w:val="center"/>
              <w:textAlignment w:val="center"/>
              <w:rPr>
                <w:color w:val="auto"/>
                <w:kern w:val="0"/>
                <w:szCs w:val="21"/>
              </w:rPr>
            </w:pPr>
            <w:r>
              <w:rPr>
                <w:rFonts w:hint="eastAsia"/>
                <w:color w:val="auto"/>
                <w:kern w:val="0"/>
                <w:szCs w:val="21"/>
                <w:lang w:bidi="ar"/>
              </w:rPr>
              <w:t>--</w:t>
            </w:r>
          </w:p>
        </w:tc>
      </w:tr>
    </w:tbl>
    <w:p>
      <w:pPr>
        <w:spacing w:line="360" w:lineRule="auto"/>
        <w:ind w:firstLine="480" w:firstLineChars="200"/>
        <w:rPr>
          <w:color w:val="auto"/>
          <w:sz w:val="24"/>
        </w:rPr>
      </w:pPr>
      <w:r>
        <w:rPr>
          <w:color w:val="auto"/>
          <w:sz w:val="24"/>
        </w:rPr>
        <w:t>采样、室内检测中对VOC、半挥发性VOC的质量控制措施如下：</w:t>
      </w:r>
    </w:p>
    <w:p>
      <w:pPr>
        <w:spacing w:line="360" w:lineRule="auto"/>
        <w:ind w:firstLine="480" w:firstLineChars="200"/>
        <w:rPr>
          <w:color w:val="auto"/>
          <w:sz w:val="24"/>
        </w:rPr>
      </w:pPr>
      <w:r>
        <w:rPr>
          <w:color w:val="auto"/>
          <w:sz w:val="24"/>
        </w:rPr>
        <w:t>（1）采样、制样</w:t>
      </w:r>
    </w:p>
    <w:p>
      <w:pPr>
        <w:spacing w:line="360" w:lineRule="auto"/>
        <w:ind w:firstLine="480" w:firstLineChars="200"/>
        <w:rPr>
          <w:color w:val="auto"/>
          <w:sz w:val="24"/>
        </w:rPr>
      </w:pPr>
      <w:r>
        <w:rPr>
          <w:rFonts w:hint="eastAsia"/>
          <w:color w:val="auto"/>
          <w:sz w:val="24"/>
          <w:lang w:val="en-US" w:eastAsia="zh-CN"/>
        </w:rPr>
        <w:t>①</w:t>
      </w:r>
      <w:r>
        <w:rPr>
          <w:color w:val="auto"/>
          <w:sz w:val="24"/>
        </w:rPr>
        <w:t>严格按照方案布点进行采样，每个样品采集至少1Kg土壤，保存在干净的磨口棕色玻璃瓶中；</w:t>
      </w:r>
    </w:p>
    <w:p>
      <w:pPr>
        <w:spacing w:line="360" w:lineRule="auto"/>
        <w:ind w:firstLine="480" w:firstLineChars="200"/>
        <w:rPr>
          <w:color w:val="auto"/>
          <w:sz w:val="24"/>
        </w:rPr>
      </w:pPr>
      <w:r>
        <w:rPr>
          <w:rFonts w:hint="eastAsia"/>
          <w:color w:val="auto"/>
          <w:sz w:val="24"/>
          <w:lang w:val="en-US" w:eastAsia="zh-CN"/>
        </w:rPr>
        <w:t>②</w:t>
      </w:r>
      <w:r>
        <w:rPr>
          <w:color w:val="auto"/>
          <w:sz w:val="24"/>
        </w:rPr>
        <w:t>制样过程包括粗磨、细磨、分装等，均严格按照标准要求进行。</w:t>
      </w:r>
    </w:p>
    <w:p>
      <w:pPr>
        <w:spacing w:line="360" w:lineRule="auto"/>
        <w:ind w:firstLine="480" w:firstLineChars="200"/>
        <w:rPr>
          <w:color w:val="auto"/>
          <w:sz w:val="24"/>
        </w:rPr>
      </w:pPr>
      <w:r>
        <w:rPr>
          <w:color w:val="auto"/>
          <w:sz w:val="24"/>
        </w:rPr>
        <w:t>（2）分析</w:t>
      </w:r>
    </w:p>
    <w:p>
      <w:pPr>
        <w:spacing w:line="360" w:lineRule="auto"/>
        <w:ind w:firstLine="480" w:firstLineChars="200"/>
        <w:rPr>
          <w:color w:val="auto"/>
          <w:sz w:val="24"/>
        </w:rPr>
      </w:pPr>
      <w:r>
        <w:rPr>
          <w:rFonts w:hint="eastAsia"/>
          <w:color w:val="auto"/>
          <w:sz w:val="24"/>
          <w:lang w:val="en-US" w:eastAsia="zh-CN"/>
        </w:rPr>
        <w:t>①</w:t>
      </w:r>
      <w:r>
        <w:rPr>
          <w:color w:val="auto"/>
          <w:sz w:val="24"/>
        </w:rPr>
        <w:t>做空白实验；</w:t>
      </w:r>
    </w:p>
    <w:p>
      <w:pPr>
        <w:spacing w:line="360" w:lineRule="auto"/>
        <w:ind w:firstLine="480" w:firstLineChars="200"/>
        <w:rPr>
          <w:color w:val="auto"/>
          <w:sz w:val="24"/>
        </w:rPr>
      </w:pPr>
      <w:r>
        <w:rPr>
          <w:rFonts w:hint="eastAsia"/>
          <w:color w:val="auto"/>
          <w:sz w:val="24"/>
          <w:lang w:val="en-US" w:eastAsia="zh-CN"/>
        </w:rPr>
        <w:t>②</w:t>
      </w:r>
      <w:r>
        <w:rPr>
          <w:color w:val="auto"/>
          <w:sz w:val="24"/>
        </w:rPr>
        <w:t>实验前对仪器性能进行检测，使符合标准要求；</w:t>
      </w:r>
    </w:p>
    <w:p>
      <w:pPr>
        <w:spacing w:line="360" w:lineRule="auto"/>
        <w:ind w:firstLine="480" w:firstLineChars="200"/>
        <w:rPr>
          <w:color w:val="auto"/>
          <w:sz w:val="24"/>
        </w:rPr>
      </w:pPr>
      <w:r>
        <w:rPr>
          <w:rFonts w:hint="eastAsia"/>
          <w:color w:val="auto"/>
          <w:sz w:val="24"/>
          <w:lang w:val="en-US" w:eastAsia="zh-CN"/>
        </w:rPr>
        <w:t>③</w:t>
      </w:r>
      <w:r>
        <w:rPr>
          <w:color w:val="auto"/>
          <w:sz w:val="24"/>
        </w:rPr>
        <w:t>检查校准曲线；</w:t>
      </w:r>
    </w:p>
    <w:p>
      <w:pPr>
        <w:spacing w:line="360" w:lineRule="auto"/>
        <w:ind w:firstLine="480" w:firstLineChars="200"/>
        <w:rPr>
          <w:color w:val="auto"/>
          <w:sz w:val="24"/>
        </w:rPr>
      </w:pPr>
      <w:r>
        <w:rPr>
          <w:rFonts w:hint="eastAsia"/>
          <w:color w:val="auto"/>
          <w:sz w:val="24"/>
          <w:lang w:val="en-US" w:eastAsia="zh-CN"/>
        </w:rPr>
        <w:t>④</w:t>
      </w:r>
      <w:r>
        <w:rPr>
          <w:color w:val="auto"/>
          <w:sz w:val="24"/>
        </w:rPr>
        <w:t>分析平行样；</w:t>
      </w:r>
    </w:p>
    <w:p>
      <w:pPr>
        <w:spacing w:line="360" w:lineRule="auto"/>
        <w:ind w:firstLine="480" w:firstLineChars="200"/>
        <w:rPr>
          <w:color w:val="auto"/>
          <w:sz w:val="24"/>
        </w:rPr>
      </w:pPr>
      <w:r>
        <w:rPr>
          <w:rFonts w:hint="eastAsia"/>
          <w:color w:val="auto"/>
          <w:sz w:val="24"/>
          <w:lang w:val="en-US" w:eastAsia="zh-CN"/>
        </w:rPr>
        <w:t>⑤</w:t>
      </w:r>
      <w:r>
        <w:rPr>
          <w:color w:val="auto"/>
          <w:sz w:val="24"/>
        </w:rPr>
        <w:t>分析加标样；</w:t>
      </w:r>
    </w:p>
    <w:p>
      <w:pPr>
        <w:spacing w:line="360" w:lineRule="auto"/>
        <w:ind w:firstLine="480" w:firstLineChars="200"/>
        <w:rPr>
          <w:color w:val="auto"/>
          <w:sz w:val="24"/>
        </w:rPr>
      </w:pPr>
      <w:r>
        <w:rPr>
          <w:rFonts w:hint="eastAsia"/>
          <w:color w:val="auto"/>
          <w:sz w:val="24"/>
          <w:lang w:val="en-US" w:eastAsia="zh-CN"/>
        </w:rPr>
        <w:t>⑥</w:t>
      </w:r>
      <w:r>
        <w:rPr>
          <w:color w:val="auto"/>
          <w:sz w:val="24"/>
        </w:rPr>
        <w:t>进行替代物实验。</w:t>
      </w:r>
    </w:p>
    <w:p>
      <w:pPr>
        <w:pStyle w:val="7"/>
        <w:numPr>
          <w:ilvl w:val="2"/>
          <w:numId w:val="0"/>
        </w:numPr>
        <w:tabs>
          <w:tab w:val="clear" w:pos="720"/>
        </w:tabs>
        <w:snapToGrid w:val="0"/>
        <w:spacing w:before="159" w:after="79" w:afterLines="25"/>
        <w:jc w:val="both"/>
        <w:textAlignment w:val="auto"/>
        <w:rPr>
          <w:color w:val="auto"/>
        </w:rPr>
      </w:pPr>
      <w:bookmarkStart w:id="570" w:name="_Toc28425"/>
      <w:r>
        <w:rPr>
          <w:rFonts w:hint="eastAsia"/>
          <w:color w:val="auto"/>
        </w:rPr>
        <w:t xml:space="preserve">5.8.2  </w:t>
      </w:r>
      <w:r>
        <w:rPr>
          <w:color w:val="auto"/>
        </w:rPr>
        <w:t>评价标准</w:t>
      </w:r>
      <w:bookmarkEnd w:id="57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cs="Times New Roman"/>
          <w:b w:val="0"/>
          <w:bCs w:val="0"/>
          <w:color w:val="auto"/>
          <w:kern w:val="2"/>
          <w:sz w:val="24"/>
          <w:szCs w:val="24"/>
          <w:lang w:val="en-US" w:eastAsia="zh-CN" w:bidi="ar-SA"/>
        </w:rPr>
      </w:pPr>
      <w:bookmarkStart w:id="571" w:name="_Toc7735"/>
      <w:r>
        <w:rPr>
          <w:b w:val="0"/>
          <w:bCs w:val="0"/>
          <w:color w:val="auto"/>
          <w:sz w:val="24"/>
        </w:rPr>
        <w:t>项目</w:t>
      </w:r>
      <w:r>
        <w:rPr>
          <w:rFonts w:hint="eastAsia"/>
          <w:b w:val="0"/>
          <w:bCs w:val="0"/>
          <w:color w:val="auto"/>
          <w:sz w:val="24"/>
          <w:lang w:val="en-US" w:eastAsia="zh-CN"/>
        </w:rPr>
        <w:t>厂界内</w:t>
      </w:r>
      <w:r>
        <w:rPr>
          <w:rFonts w:hint="eastAsia"/>
          <w:b w:val="0"/>
          <w:bCs w:val="0"/>
          <w:color w:val="auto"/>
          <w:sz w:val="24"/>
          <w:lang w:eastAsia="zh-CN"/>
        </w:rPr>
        <w:t>（</w:t>
      </w:r>
      <w:r>
        <w:rPr>
          <w:rFonts w:hint="eastAsia"/>
          <w:b w:val="0"/>
          <w:bCs w:val="0"/>
          <w:color w:val="auto"/>
          <w:sz w:val="24"/>
          <w:lang w:val="en-US" w:eastAsia="zh-CN"/>
        </w:rPr>
        <w:t>T1-T4</w:t>
      </w:r>
      <w:r>
        <w:rPr>
          <w:rFonts w:hint="eastAsia"/>
          <w:b w:val="0"/>
          <w:bCs w:val="0"/>
          <w:color w:val="auto"/>
          <w:sz w:val="24"/>
          <w:lang w:eastAsia="zh-CN"/>
        </w:rPr>
        <w:t>）</w:t>
      </w:r>
      <w:r>
        <w:rPr>
          <w:b w:val="0"/>
          <w:bCs w:val="0"/>
          <w:color w:val="auto"/>
          <w:sz w:val="24"/>
        </w:rPr>
        <w:t>土壤</w:t>
      </w:r>
      <w:r>
        <w:rPr>
          <w:rFonts w:hint="eastAsia"/>
          <w:b w:val="0"/>
          <w:bCs w:val="0"/>
          <w:color w:val="auto"/>
          <w:sz w:val="24"/>
          <w:lang w:val="en-US" w:eastAsia="zh-CN"/>
        </w:rPr>
        <w:t>环境</w:t>
      </w:r>
      <w:r>
        <w:rPr>
          <w:b w:val="0"/>
          <w:bCs w:val="0"/>
          <w:color w:val="auto"/>
          <w:sz w:val="24"/>
        </w:rPr>
        <w:t>质量执行《土壤环境质量农用地土壤污染风险管控标准（试行）》(GB15618-2018)第二类用地筛选值和管制值</w:t>
      </w:r>
      <w:r>
        <w:rPr>
          <w:rFonts w:hint="eastAsia"/>
          <w:b w:val="0"/>
          <w:bCs w:val="0"/>
          <w:color w:val="auto"/>
          <w:sz w:val="24"/>
        </w:rPr>
        <w:t>。</w:t>
      </w:r>
      <w:r>
        <w:rPr>
          <w:rFonts w:hint="eastAsia"/>
          <w:b w:val="0"/>
          <w:bCs w:val="0"/>
          <w:color w:val="auto"/>
          <w:sz w:val="24"/>
          <w:lang w:val="en-US" w:eastAsia="zh-CN"/>
        </w:rPr>
        <w:t>项目周边非工业厂房</w:t>
      </w:r>
      <w:r>
        <w:rPr>
          <w:rFonts w:hint="eastAsia" w:ascii="Times New Roman" w:hAnsi="Times New Roman" w:eastAsia="宋体" w:cs="Times New Roman"/>
          <w:b w:val="0"/>
          <w:bCs w:val="0"/>
          <w:color w:val="auto"/>
          <w:kern w:val="2"/>
          <w:sz w:val="24"/>
          <w:szCs w:val="24"/>
          <w:lang w:val="en-US" w:eastAsia="zh-CN" w:bidi="ar-SA"/>
        </w:rPr>
        <w:t>（T5）</w:t>
      </w:r>
      <w:r>
        <w:rPr>
          <w:rFonts w:hint="eastAsia" w:cs="Times New Roman"/>
          <w:b w:val="0"/>
          <w:bCs w:val="0"/>
          <w:color w:val="auto"/>
          <w:kern w:val="2"/>
          <w:sz w:val="24"/>
          <w:szCs w:val="24"/>
          <w:lang w:val="en-US" w:eastAsia="zh-CN" w:bidi="ar-SA"/>
        </w:rPr>
        <w:t>的</w:t>
      </w:r>
      <w:r>
        <w:rPr>
          <w:rFonts w:hint="eastAsia" w:ascii="Times New Roman" w:hAnsi="Times New Roman" w:eastAsia="宋体" w:cs="Times New Roman"/>
          <w:b w:val="0"/>
          <w:bCs w:val="0"/>
          <w:color w:val="auto"/>
          <w:kern w:val="2"/>
          <w:sz w:val="24"/>
          <w:szCs w:val="24"/>
          <w:lang w:val="en-US" w:eastAsia="zh-CN" w:bidi="ar-SA"/>
        </w:rPr>
        <w:t>土壤质量</w:t>
      </w:r>
      <w:r>
        <w:rPr>
          <w:rFonts w:ascii="Times New Roman" w:hAnsi="Times New Roman" w:eastAsia="宋体" w:cs="Times New Roman"/>
          <w:b w:val="0"/>
          <w:bCs w:val="0"/>
          <w:color w:val="auto"/>
          <w:kern w:val="2"/>
          <w:sz w:val="24"/>
          <w:szCs w:val="24"/>
          <w:lang w:val="en-US" w:eastAsia="zh-CN" w:bidi="ar-SA"/>
        </w:rPr>
        <w:t>执行</w:t>
      </w:r>
      <w:r>
        <w:rPr>
          <w:rFonts w:hint="eastAsia" w:ascii="Times New Roman" w:hAnsi="Times New Roman" w:eastAsia="宋体" w:cs="Times New Roman"/>
          <w:b w:val="0"/>
          <w:bCs w:val="0"/>
          <w:color w:val="auto"/>
          <w:kern w:val="2"/>
          <w:sz w:val="24"/>
          <w:szCs w:val="24"/>
          <w:lang w:val="en-US" w:eastAsia="zh-CN" w:bidi="ar-SA"/>
        </w:rPr>
        <w:t>《土壤环境质量 农用地土壤污染风险管控标准（试行）》（GB 15618-2018）</w:t>
      </w:r>
      <w:r>
        <w:rPr>
          <w:rFonts w:hint="eastAsia" w:ascii="Times New Roman" w:cs="Times New Roman"/>
          <w:b w:val="0"/>
          <w:bCs w:val="0"/>
          <w:color w:val="auto"/>
          <w:kern w:val="2"/>
          <w:sz w:val="24"/>
          <w:szCs w:val="24"/>
          <w:lang w:val="en-US" w:eastAsia="zh-CN" w:bidi="ar-SA"/>
        </w:rPr>
        <w:t>其他类筛选值。</w:t>
      </w:r>
    </w:p>
    <w:p>
      <w:pPr>
        <w:pStyle w:val="7"/>
        <w:numPr>
          <w:ilvl w:val="2"/>
          <w:numId w:val="0"/>
        </w:numPr>
        <w:tabs>
          <w:tab w:val="clear" w:pos="720"/>
        </w:tabs>
        <w:snapToGrid w:val="0"/>
        <w:spacing w:before="159" w:after="79" w:afterLines="25"/>
        <w:jc w:val="both"/>
        <w:textAlignment w:val="auto"/>
        <w:rPr>
          <w:color w:val="auto"/>
        </w:rPr>
      </w:pPr>
      <w:r>
        <w:rPr>
          <w:rFonts w:hint="eastAsia"/>
          <w:color w:val="auto"/>
        </w:rPr>
        <w:t xml:space="preserve">5.8.3  </w:t>
      </w:r>
      <w:r>
        <w:rPr>
          <w:color w:val="auto"/>
        </w:rPr>
        <w:t>评价方法</w:t>
      </w:r>
      <w:bookmarkEnd w:id="571"/>
    </w:p>
    <w:p>
      <w:pPr>
        <w:spacing w:line="360" w:lineRule="auto"/>
        <w:ind w:firstLine="480" w:firstLineChars="200"/>
        <w:rPr>
          <w:color w:val="auto"/>
          <w:sz w:val="24"/>
        </w:rPr>
      </w:pPr>
      <w:r>
        <w:rPr>
          <w:color w:val="auto"/>
          <w:sz w:val="24"/>
        </w:rPr>
        <w:t>评价方法采用单因子污染指数法，污染指数由下式计算：</w:t>
      </w:r>
    </w:p>
    <w:p>
      <w:pPr>
        <w:spacing w:line="360" w:lineRule="auto"/>
        <w:jc w:val="center"/>
        <w:rPr>
          <w:color w:val="auto"/>
          <w:sz w:val="24"/>
        </w:rPr>
      </w:pPr>
      <w:r>
        <w:rPr>
          <w:color w:val="auto"/>
          <w:position w:val="-12"/>
          <w:sz w:val="24"/>
        </w:rPr>
        <w:drawing>
          <wp:inline distT="0" distB="0" distL="114300" distR="114300">
            <wp:extent cx="694055" cy="228600"/>
            <wp:effectExtent l="0" t="0" r="0" b="0"/>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85"/>
                    <a:stretch>
                      <a:fillRect/>
                    </a:stretch>
                  </pic:blipFill>
                  <pic:spPr>
                    <a:xfrm>
                      <a:off x="0" y="0"/>
                      <a:ext cx="694055" cy="228600"/>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rPr>
        <w:t>式中，</w:t>
      </w:r>
      <w:r>
        <w:rPr>
          <w:color w:val="auto"/>
          <w:sz w:val="24"/>
        </w:rPr>
        <w:drawing>
          <wp:inline distT="0" distB="0" distL="114300" distR="114300">
            <wp:extent cx="152400" cy="228600"/>
            <wp:effectExtent l="0" t="0" r="0" b="0"/>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1"/>
                    <pic:cNvPicPr>
                      <a:picLocks noChangeAspect="1"/>
                    </pic:cNvPicPr>
                  </pic:nvPicPr>
                  <pic:blipFill>
                    <a:blip r:embed="rId86"/>
                    <a:stretch>
                      <a:fillRect/>
                    </a:stretch>
                  </pic:blipFill>
                  <pic:spPr>
                    <a:xfrm>
                      <a:off x="0" y="0"/>
                      <a:ext cx="152400" cy="228600"/>
                    </a:xfrm>
                    <a:prstGeom prst="rect">
                      <a:avLst/>
                    </a:prstGeom>
                    <a:noFill/>
                    <a:ln>
                      <a:noFill/>
                    </a:ln>
                  </pic:spPr>
                </pic:pic>
              </a:graphicData>
            </a:graphic>
          </wp:inline>
        </w:drawing>
      </w:r>
      <w:r>
        <w:rPr>
          <w:color w:val="auto"/>
          <w:sz w:val="24"/>
        </w:rPr>
        <w:t>：土壤中第i种污染物的染污指数；</w:t>
      </w:r>
    </w:p>
    <w:p>
      <w:pPr>
        <w:spacing w:line="360" w:lineRule="auto"/>
        <w:ind w:firstLine="1200" w:firstLineChars="500"/>
        <w:rPr>
          <w:color w:val="auto"/>
          <w:sz w:val="24"/>
          <w:highlight w:val="yellow"/>
        </w:rPr>
      </w:pPr>
      <w:r>
        <w:rPr>
          <w:color w:val="auto"/>
          <w:position w:val="-12"/>
          <w:sz w:val="24"/>
        </w:rPr>
        <w:drawing>
          <wp:inline distT="0" distB="0" distL="114300" distR="114300">
            <wp:extent cx="177800" cy="228600"/>
            <wp:effectExtent l="0" t="0" r="0" b="0"/>
            <wp:docPr id="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2"/>
                    <pic:cNvPicPr>
                      <a:picLocks noChangeAspect="1"/>
                    </pic:cNvPicPr>
                  </pic:nvPicPr>
                  <pic:blipFill>
                    <a:blip r:embed="rId87"/>
                    <a:stretch>
                      <a:fillRect/>
                    </a:stretch>
                  </pic:blipFill>
                  <pic:spPr>
                    <a:xfrm>
                      <a:off x="0" y="0"/>
                      <a:ext cx="177800" cy="228600"/>
                    </a:xfrm>
                    <a:prstGeom prst="rect">
                      <a:avLst/>
                    </a:prstGeom>
                    <a:noFill/>
                    <a:ln>
                      <a:noFill/>
                    </a:ln>
                  </pic:spPr>
                </pic:pic>
              </a:graphicData>
            </a:graphic>
          </wp:inline>
        </w:drawing>
      </w:r>
      <w:r>
        <w:rPr>
          <w:color w:val="auto"/>
          <w:sz w:val="24"/>
        </w:rPr>
        <w:t>：土壤中第</w:t>
      </w:r>
      <w:r>
        <w:rPr>
          <w:i/>
          <w:color w:val="auto"/>
          <w:sz w:val="24"/>
        </w:rPr>
        <w:t>i</w:t>
      </w:r>
      <w:r>
        <w:rPr>
          <w:color w:val="auto"/>
          <w:sz w:val="24"/>
        </w:rPr>
        <w:t>种污染物的实测浓度(mg/kg)；</w:t>
      </w:r>
    </w:p>
    <w:p>
      <w:pPr>
        <w:spacing w:line="360" w:lineRule="auto"/>
        <w:ind w:firstLine="1200" w:firstLineChars="500"/>
        <w:rPr>
          <w:color w:val="auto"/>
          <w:sz w:val="24"/>
        </w:rPr>
      </w:pPr>
      <w:r>
        <w:rPr>
          <w:color w:val="auto"/>
          <w:position w:val="-12"/>
          <w:sz w:val="24"/>
        </w:rPr>
        <w:drawing>
          <wp:inline distT="0" distB="0" distL="114300" distR="114300">
            <wp:extent cx="160655" cy="228600"/>
            <wp:effectExtent l="0" t="0" r="0" b="0"/>
            <wp:docPr id="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3"/>
                    <pic:cNvPicPr>
                      <a:picLocks noChangeAspect="1"/>
                    </pic:cNvPicPr>
                  </pic:nvPicPr>
                  <pic:blipFill>
                    <a:blip r:embed="rId88"/>
                    <a:stretch>
                      <a:fillRect/>
                    </a:stretch>
                  </pic:blipFill>
                  <pic:spPr>
                    <a:xfrm>
                      <a:off x="0" y="0"/>
                      <a:ext cx="160655" cy="228600"/>
                    </a:xfrm>
                    <a:prstGeom prst="rect">
                      <a:avLst/>
                    </a:prstGeom>
                    <a:noFill/>
                    <a:ln>
                      <a:noFill/>
                    </a:ln>
                  </pic:spPr>
                </pic:pic>
              </a:graphicData>
            </a:graphic>
          </wp:inline>
        </w:drawing>
      </w:r>
      <w:r>
        <w:rPr>
          <w:color w:val="auto"/>
          <w:sz w:val="24"/>
        </w:rPr>
        <w:t>：土壤中第</w:t>
      </w:r>
      <w:r>
        <w:rPr>
          <w:i/>
          <w:color w:val="auto"/>
          <w:sz w:val="24"/>
        </w:rPr>
        <w:t>i</w:t>
      </w:r>
      <w:r>
        <w:rPr>
          <w:color w:val="auto"/>
          <w:sz w:val="24"/>
        </w:rPr>
        <w:t>种污染物的评价标准(mg/kg)。</w:t>
      </w:r>
    </w:p>
    <w:p>
      <w:pPr>
        <w:pStyle w:val="7"/>
        <w:numPr>
          <w:ilvl w:val="2"/>
          <w:numId w:val="0"/>
        </w:numPr>
        <w:tabs>
          <w:tab w:val="clear" w:pos="720"/>
        </w:tabs>
        <w:snapToGrid w:val="0"/>
        <w:spacing w:before="159" w:after="79" w:afterLines="25"/>
        <w:jc w:val="both"/>
        <w:textAlignment w:val="auto"/>
        <w:rPr>
          <w:color w:val="auto"/>
        </w:rPr>
      </w:pPr>
      <w:bookmarkStart w:id="572" w:name="_Toc20956"/>
      <w:r>
        <w:rPr>
          <w:rFonts w:hint="eastAsia"/>
          <w:color w:val="auto"/>
        </w:rPr>
        <w:t xml:space="preserve">5.8.4  </w:t>
      </w:r>
      <w:r>
        <w:rPr>
          <w:color w:val="auto"/>
        </w:rPr>
        <w:t>现状监测结果与评价</w:t>
      </w:r>
      <w:bookmarkEnd w:id="572"/>
    </w:p>
    <w:p>
      <w:pPr>
        <w:spacing w:line="360" w:lineRule="auto"/>
        <w:ind w:firstLine="480" w:firstLineChars="200"/>
        <w:rPr>
          <w:color w:val="auto"/>
          <w:sz w:val="24"/>
        </w:rPr>
      </w:pPr>
      <w:r>
        <w:rPr>
          <w:color w:val="auto"/>
          <w:sz w:val="24"/>
        </w:rPr>
        <w:t>土壤现状监测结果见表</w:t>
      </w:r>
      <w:r>
        <w:rPr>
          <w:rFonts w:hint="eastAsia"/>
          <w:color w:val="auto"/>
          <w:sz w:val="24"/>
        </w:rPr>
        <w:t>5</w:t>
      </w:r>
      <w:r>
        <w:rPr>
          <w:color w:val="auto"/>
          <w:sz w:val="24"/>
        </w:rPr>
        <w:t>.8-3，土壤标准指数评价结果见表</w:t>
      </w:r>
      <w:r>
        <w:rPr>
          <w:rFonts w:hint="eastAsia"/>
          <w:color w:val="auto"/>
          <w:sz w:val="24"/>
        </w:rPr>
        <w:t>5</w:t>
      </w:r>
      <w:r>
        <w:rPr>
          <w:color w:val="auto"/>
          <w:sz w:val="24"/>
        </w:rPr>
        <w:t>.8-4。</w:t>
      </w:r>
    </w:p>
    <w:p>
      <w:pPr>
        <w:spacing w:before="159" w:beforeLines="50"/>
        <w:jc w:val="center"/>
        <w:rPr>
          <w:b/>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13"/>
        <w:spacing w:line="360" w:lineRule="auto"/>
        <w:jc w:val="center"/>
        <w:rPr>
          <w:rFonts w:ascii="Times New Roman" w:hAnsi="Times New Roman"/>
          <w:b/>
          <w:color w:val="auto"/>
          <w:sz w:val="21"/>
          <w:szCs w:val="21"/>
        </w:rPr>
      </w:pPr>
      <w:bookmarkStart w:id="573" w:name="_Toc16610593"/>
      <w:r>
        <w:rPr>
          <w:rFonts w:hint="eastAsia" w:ascii="Times New Roman" w:hAnsi="Times New Roman"/>
          <w:b/>
          <w:color w:val="auto"/>
          <w:sz w:val="21"/>
          <w:szCs w:val="21"/>
        </w:rPr>
        <w:t>表5.8-3  项目土壤现状监测结果（a）</w:t>
      </w:r>
    </w:p>
    <w:tbl>
      <w:tblPr>
        <w:tblStyle w:val="23"/>
        <w:tblW w:w="141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261"/>
        <w:gridCol w:w="728"/>
        <w:gridCol w:w="1000"/>
        <w:gridCol w:w="1162"/>
        <w:gridCol w:w="748"/>
        <w:gridCol w:w="1020"/>
        <w:gridCol w:w="1173"/>
        <w:gridCol w:w="731"/>
        <w:gridCol w:w="1003"/>
        <w:gridCol w:w="1170"/>
        <w:gridCol w:w="1003"/>
        <w:gridCol w:w="1037"/>
        <w:gridCol w:w="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restart"/>
            <w:tcBorders>
              <w:tl2br w:val="nil"/>
              <w:tr2bl w:val="nil"/>
            </w:tcBorders>
            <w:vAlign w:val="center"/>
          </w:tcPr>
          <w:p>
            <w:pPr>
              <w:ind w:left="-168" w:leftChars="-80" w:right="-168" w:rightChars="-80"/>
              <w:jc w:val="center"/>
              <w:rPr>
                <w:b/>
                <w:bCs/>
                <w:color w:val="auto"/>
                <w:szCs w:val="21"/>
              </w:rPr>
            </w:pPr>
            <w:r>
              <w:rPr>
                <w:b/>
                <w:bCs/>
                <w:color w:val="auto"/>
                <w:szCs w:val="21"/>
              </w:rPr>
              <w:t>采样日期</w:t>
            </w:r>
          </w:p>
        </w:tc>
        <w:tc>
          <w:tcPr>
            <w:tcW w:w="1261" w:type="dxa"/>
            <w:vMerge w:val="restart"/>
            <w:tcBorders>
              <w:tl2br w:val="nil"/>
              <w:tr2bl w:val="nil"/>
            </w:tcBorders>
            <w:vAlign w:val="center"/>
          </w:tcPr>
          <w:p>
            <w:pPr>
              <w:ind w:left="-168" w:leftChars="-80" w:right="-168" w:rightChars="-80"/>
              <w:jc w:val="center"/>
              <w:rPr>
                <w:b/>
                <w:bCs/>
                <w:color w:val="auto"/>
                <w:szCs w:val="21"/>
              </w:rPr>
            </w:pPr>
            <w:r>
              <w:rPr>
                <w:b/>
                <w:bCs/>
                <w:color w:val="auto"/>
                <w:szCs w:val="21"/>
              </w:rPr>
              <w:t>检测项目</w:t>
            </w:r>
          </w:p>
        </w:tc>
        <w:tc>
          <w:tcPr>
            <w:tcW w:w="9738" w:type="dxa"/>
            <w:gridSpan w:val="10"/>
            <w:tcBorders>
              <w:tl2br w:val="nil"/>
              <w:tr2bl w:val="nil"/>
            </w:tcBorders>
            <w:vAlign w:val="center"/>
          </w:tcPr>
          <w:p>
            <w:pPr>
              <w:widowControl/>
              <w:ind w:left="-168" w:leftChars="-80" w:right="-168" w:rightChars="-80"/>
              <w:jc w:val="center"/>
              <w:textAlignment w:val="center"/>
              <w:rPr>
                <w:b/>
                <w:bCs/>
                <w:color w:val="auto"/>
                <w:szCs w:val="21"/>
              </w:rPr>
            </w:pPr>
            <w:r>
              <w:rPr>
                <w:b/>
                <w:bCs/>
                <w:color w:val="auto"/>
                <w:szCs w:val="21"/>
              </w:rPr>
              <w:t>采样点位、采样深度及检测结果</w:t>
            </w:r>
          </w:p>
        </w:tc>
        <w:tc>
          <w:tcPr>
            <w:tcW w:w="1037" w:type="dxa"/>
            <w:vMerge w:val="restart"/>
            <w:tcBorders>
              <w:tl2br w:val="nil"/>
              <w:tr2bl w:val="nil"/>
            </w:tcBorders>
            <w:vAlign w:val="center"/>
          </w:tcPr>
          <w:p>
            <w:pPr>
              <w:widowControl/>
              <w:ind w:left="-168" w:leftChars="-80" w:right="-168" w:rightChars="-80"/>
              <w:jc w:val="center"/>
              <w:textAlignment w:val="center"/>
              <w:rPr>
                <w:b/>
                <w:bCs/>
                <w:color w:val="auto"/>
                <w:szCs w:val="21"/>
              </w:rPr>
            </w:pPr>
            <w:r>
              <w:rPr>
                <w:b/>
                <w:bCs/>
                <w:color w:val="auto"/>
                <w:szCs w:val="21"/>
              </w:rPr>
              <w:t>筛选值</w:t>
            </w:r>
          </w:p>
        </w:tc>
        <w:tc>
          <w:tcPr>
            <w:tcW w:w="987" w:type="dxa"/>
            <w:vMerge w:val="restart"/>
            <w:tcBorders>
              <w:tl2br w:val="nil"/>
              <w:tr2bl w:val="nil"/>
            </w:tcBorders>
            <w:vAlign w:val="center"/>
          </w:tcPr>
          <w:p>
            <w:pPr>
              <w:widowControl/>
              <w:ind w:left="-168" w:leftChars="-80" w:right="-168" w:rightChars="-80"/>
              <w:jc w:val="center"/>
              <w:textAlignment w:val="center"/>
              <w:rPr>
                <w:rFonts w:hint="eastAsia" w:eastAsia="宋体"/>
                <w:b/>
                <w:bCs/>
                <w:color w:val="auto"/>
                <w:szCs w:val="21"/>
                <w:lang w:val="en-US" w:eastAsia="zh-CN"/>
              </w:rPr>
            </w:pPr>
            <w:r>
              <w:rPr>
                <w:rFonts w:hint="eastAsia"/>
                <w:b/>
                <w:bCs/>
                <w:color w:val="auto"/>
                <w:szCs w:val="21"/>
                <w:lang w:val="en-US" w:eastAsia="zh-CN"/>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68" w:leftChars="-80" w:right="-168" w:rightChars="-80"/>
              <w:jc w:val="center"/>
              <w:rPr>
                <w:color w:val="auto"/>
                <w:szCs w:val="21"/>
              </w:rPr>
            </w:pPr>
          </w:p>
        </w:tc>
        <w:tc>
          <w:tcPr>
            <w:tcW w:w="1261" w:type="dxa"/>
            <w:vMerge w:val="continue"/>
            <w:tcBorders>
              <w:tl2br w:val="nil"/>
              <w:tr2bl w:val="nil"/>
            </w:tcBorders>
            <w:vAlign w:val="center"/>
          </w:tcPr>
          <w:p>
            <w:pPr>
              <w:ind w:left="-168" w:leftChars="-80" w:right="-168" w:rightChars="-80"/>
              <w:jc w:val="center"/>
              <w:rPr>
                <w:color w:val="auto"/>
                <w:szCs w:val="21"/>
              </w:rPr>
            </w:pPr>
          </w:p>
        </w:tc>
        <w:tc>
          <w:tcPr>
            <w:tcW w:w="2890" w:type="dxa"/>
            <w:gridSpan w:val="3"/>
            <w:tcBorders>
              <w:tl2br w:val="nil"/>
              <w:tr2bl w:val="nil"/>
            </w:tcBorders>
            <w:vAlign w:val="center"/>
          </w:tcPr>
          <w:p>
            <w:pPr>
              <w:jc w:val="center"/>
              <w:rPr>
                <w:b/>
                <w:bCs/>
                <w:color w:val="auto"/>
                <w:kern w:val="0"/>
                <w:szCs w:val="21"/>
              </w:rPr>
            </w:pPr>
            <w:r>
              <w:rPr>
                <w:rFonts w:hint="eastAsia"/>
                <w:b/>
                <w:bCs/>
                <w:color w:val="auto"/>
                <w:kern w:val="0"/>
                <w:szCs w:val="21"/>
              </w:rPr>
              <w:t>卷材生产区</w:t>
            </w:r>
            <w:r>
              <w:rPr>
                <w:b/>
                <w:bCs/>
                <w:color w:val="auto"/>
                <w:kern w:val="0"/>
                <w:szCs w:val="21"/>
              </w:rPr>
              <w:t>（</w:t>
            </w:r>
            <w:r>
              <w:rPr>
                <w:rFonts w:hint="eastAsia"/>
                <w:b/>
                <w:bCs/>
                <w:color w:val="auto"/>
                <w:kern w:val="0"/>
                <w:szCs w:val="21"/>
              </w:rPr>
              <w:t>T</w:t>
            </w:r>
            <w:r>
              <w:rPr>
                <w:b/>
                <w:bCs/>
                <w:color w:val="auto"/>
                <w:kern w:val="0"/>
                <w:szCs w:val="21"/>
              </w:rPr>
              <w:t>1）</w:t>
            </w:r>
          </w:p>
        </w:tc>
        <w:tc>
          <w:tcPr>
            <w:tcW w:w="2941" w:type="dxa"/>
            <w:gridSpan w:val="3"/>
            <w:tcBorders>
              <w:tl2br w:val="nil"/>
              <w:tr2bl w:val="nil"/>
            </w:tcBorders>
            <w:vAlign w:val="center"/>
          </w:tcPr>
          <w:p>
            <w:pPr>
              <w:jc w:val="center"/>
              <w:rPr>
                <w:b/>
                <w:bCs/>
                <w:color w:val="auto"/>
                <w:szCs w:val="21"/>
              </w:rPr>
            </w:pPr>
            <w:r>
              <w:rPr>
                <w:rFonts w:hint="eastAsia"/>
                <w:b/>
                <w:bCs/>
                <w:color w:val="auto"/>
                <w:kern w:val="0"/>
                <w:szCs w:val="21"/>
              </w:rPr>
              <w:t>原料堆放区</w:t>
            </w:r>
            <w:r>
              <w:rPr>
                <w:b/>
                <w:bCs/>
                <w:color w:val="auto"/>
                <w:kern w:val="0"/>
                <w:szCs w:val="21"/>
              </w:rPr>
              <w:t>（</w:t>
            </w:r>
            <w:r>
              <w:rPr>
                <w:rFonts w:hint="eastAsia"/>
                <w:b/>
                <w:bCs/>
                <w:color w:val="auto"/>
                <w:kern w:val="0"/>
                <w:szCs w:val="21"/>
              </w:rPr>
              <w:t>T</w:t>
            </w:r>
            <w:r>
              <w:rPr>
                <w:b/>
                <w:bCs/>
                <w:color w:val="auto"/>
                <w:kern w:val="0"/>
                <w:szCs w:val="21"/>
              </w:rPr>
              <w:t>2）</w:t>
            </w:r>
          </w:p>
        </w:tc>
        <w:tc>
          <w:tcPr>
            <w:tcW w:w="2904" w:type="dxa"/>
            <w:gridSpan w:val="3"/>
            <w:tcBorders>
              <w:tl2br w:val="nil"/>
              <w:tr2bl w:val="nil"/>
            </w:tcBorders>
            <w:vAlign w:val="center"/>
          </w:tcPr>
          <w:p>
            <w:pPr>
              <w:jc w:val="center"/>
              <w:rPr>
                <w:b/>
                <w:bCs/>
                <w:color w:val="auto"/>
                <w:szCs w:val="21"/>
              </w:rPr>
            </w:pPr>
            <w:r>
              <w:rPr>
                <w:rFonts w:hint="eastAsia"/>
                <w:b/>
                <w:bCs/>
                <w:color w:val="auto"/>
                <w:szCs w:val="21"/>
              </w:rPr>
              <w:t>湿式处理车间</w:t>
            </w:r>
            <w:r>
              <w:rPr>
                <w:b/>
                <w:bCs/>
                <w:color w:val="auto"/>
                <w:szCs w:val="21"/>
              </w:rPr>
              <w:t>处（</w:t>
            </w:r>
            <w:r>
              <w:rPr>
                <w:rFonts w:hint="eastAsia"/>
                <w:b/>
                <w:bCs/>
                <w:color w:val="auto"/>
                <w:szCs w:val="21"/>
              </w:rPr>
              <w:t>T</w:t>
            </w:r>
            <w:r>
              <w:rPr>
                <w:b/>
                <w:bCs/>
                <w:color w:val="auto"/>
                <w:szCs w:val="21"/>
              </w:rPr>
              <w:t>3）</w:t>
            </w:r>
          </w:p>
        </w:tc>
        <w:tc>
          <w:tcPr>
            <w:tcW w:w="1003" w:type="dxa"/>
            <w:tcBorders>
              <w:tl2br w:val="nil"/>
              <w:tr2bl w:val="nil"/>
            </w:tcBorders>
            <w:vAlign w:val="center"/>
          </w:tcPr>
          <w:p>
            <w:pPr>
              <w:jc w:val="center"/>
              <w:rPr>
                <w:color w:val="auto"/>
                <w:szCs w:val="21"/>
              </w:rPr>
            </w:pPr>
            <w:r>
              <w:rPr>
                <w:rFonts w:hint="eastAsia"/>
                <w:b/>
                <w:bCs/>
                <w:color w:val="auto"/>
                <w:szCs w:val="21"/>
              </w:rPr>
              <w:t>办公区</w:t>
            </w:r>
            <w:r>
              <w:rPr>
                <w:rFonts w:hint="eastAsia"/>
                <w:b/>
                <w:bCs/>
                <w:color w:val="auto"/>
                <w:szCs w:val="21"/>
                <w:lang w:eastAsia="zh-CN"/>
              </w:rPr>
              <w:t>（</w:t>
            </w:r>
            <w:r>
              <w:rPr>
                <w:rFonts w:hint="eastAsia"/>
                <w:b/>
                <w:bCs/>
                <w:color w:val="auto"/>
                <w:szCs w:val="21"/>
              </w:rPr>
              <w:t>T4</w:t>
            </w:r>
            <w:r>
              <w:rPr>
                <w:rFonts w:hint="eastAsia"/>
                <w:b/>
                <w:bCs/>
                <w:color w:val="auto"/>
                <w:szCs w:val="21"/>
                <w:lang w:eastAsia="zh-CN"/>
              </w:rPr>
              <w:t>）</w:t>
            </w:r>
          </w:p>
        </w:tc>
        <w:tc>
          <w:tcPr>
            <w:tcW w:w="1037"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987" w:type="dxa"/>
            <w:vMerge w:val="continue"/>
            <w:tcBorders>
              <w:tl2br w:val="nil"/>
              <w:tr2bl w:val="nil"/>
            </w:tcBorders>
            <w:vAlign w:val="center"/>
          </w:tcPr>
          <w:p>
            <w:pPr>
              <w:widowControl/>
              <w:ind w:left="-168" w:leftChars="-80" w:right="-168" w:rightChars="-80"/>
              <w:jc w:val="center"/>
              <w:textAlignment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trPr>
        <w:tc>
          <w:tcPr>
            <w:tcW w:w="1145" w:type="dxa"/>
            <w:vMerge w:val="continue"/>
            <w:tcBorders>
              <w:tl2br w:val="nil"/>
              <w:tr2bl w:val="nil"/>
            </w:tcBorders>
            <w:vAlign w:val="center"/>
          </w:tcPr>
          <w:p>
            <w:pPr>
              <w:ind w:left="-168" w:leftChars="-80" w:right="-168" w:rightChars="-80"/>
              <w:jc w:val="center"/>
              <w:rPr>
                <w:color w:val="auto"/>
                <w:szCs w:val="21"/>
              </w:rPr>
            </w:pPr>
          </w:p>
        </w:tc>
        <w:tc>
          <w:tcPr>
            <w:tcW w:w="1261" w:type="dxa"/>
            <w:vMerge w:val="continue"/>
            <w:tcBorders>
              <w:tl2br w:val="nil"/>
              <w:tr2bl w:val="nil"/>
            </w:tcBorders>
            <w:vAlign w:val="center"/>
          </w:tcPr>
          <w:p>
            <w:pPr>
              <w:ind w:left="-168" w:leftChars="-80" w:right="-168" w:rightChars="-80"/>
              <w:jc w:val="center"/>
              <w:rPr>
                <w:color w:val="auto"/>
                <w:szCs w:val="21"/>
              </w:rPr>
            </w:pPr>
          </w:p>
        </w:tc>
        <w:tc>
          <w:tcPr>
            <w:tcW w:w="728"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（0~</w:t>
            </w:r>
            <w:r>
              <w:rPr>
                <w:rFonts w:hint="eastAsia"/>
                <w:b/>
                <w:bCs/>
                <w:color w:val="auto"/>
                <w:szCs w:val="21"/>
              </w:rPr>
              <w:t>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000"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50~150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162"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150~300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748"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（0~</w:t>
            </w:r>
            <w:r>
              <w:rPr>
                <w:rFonts w:hint="eastAsia"/>
                <w:b/>
                <w:bCs/>
                <w:color w:val="auto"/>
                <w:szCs w:val="21"/>
              </w:rPr>
              <w:t>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020"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50~150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173"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150~300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731"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（0~</w:t>
            </w:r>
            <w:r>
              <w:rPr>
                <w:rFonts w:hint="eastAsia"/>
                <w:b/>
                <w:bCs/>
                <w:color w:val="auto"/>
                <w:szCs w:val="21"/>
              </w:rPr>
              <w:t>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003"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50~150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170" w:type="dxa"/>
            <w:tcBorders>
              <w:tl2br w:val="nil"/>
              <w:tr2bl w:val="nil"/>
            </w:tcBorders>
            <w:vAlign w:val="center"/>
          </w:tcPr>
          <w:p>
            <w:pPr>
              <w:widowControl/>
              <w:spacing w:line="240" w:lineRule="exact"/>
              <w:ind w:left="-168" w:leftChars="-80" w:right="-168" w:rightChars="-80"/>
              <w:jc w:val="center"/>
              <w:textAlignment w:val="center"/>
              <w:rPr>
                <w:b/>
                <w:bCs/>
                <w:color w:val="auto"/>
                <w:szCs w:val="21"/>
              </w:rPr>
            </w:pPr>
            <w:r>
              <w:rPr>
                <w:b/>
                <w:bCs/>
                <w:color w:val="auto"/>
                <w:szCs w:val="21"/>
              </w:rPr>
              <w:t>（</w:t>
            </w:r>
            <w:r>
              <w:rPr>
                <w:rFonts w:hint="eastAsia"/>
                <w:b/>
                <w:bCs/>
                <w:color w:val="auto"/>
                <w:szCs w:val="21"/>
              </w:rPr>
              <w:t>150~300</w:t>
            </w:r>
            <w:r>
              <w:rPr>
                <w:b/>
                <w:bCs/>
                <w:color w:val="auto"/>
                <w:szCs w:val="21"/>
              </w:rPr>
              <w:t>）</w:t>
            </w:r>
          </w:p>
          <w:p>
            <w:pPr>
              <w:widowControl/>
              <w:spacing w:line="240" w:lineRule="exact"/>
              <w:ind w:left="-168" w:leftChars="-80" w:right="-168" w:rightChars="-80"/>
              <w:jc w:val="center"/>
              <w:textAlignment w:val="center"/>
              <w:rPr>
                <w:b/>
                <w:bCs/>
                <w:color w:val="auto"/>
                <w:szCs w:val="21"/>
              </w:rPr>
            </w:pPr>
            <w:r>
              <w:rPr>
                <w:b/>
                <w:bCs/>
                <w:color w:val="auto"/>
                <w:szCs w:val="21"/>
              </w:rPr>
              <w:t>cm</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b/>
                <w:bCs/>
                <w:color w:val="auto"/>
                <w:szCs w:val="21"/>
              </w:rPr>
              <w:t>（0~</w:t>
            </w:r>
            <w:r>
              <w:rPr>
                <w:rFonts w:hint="eastAsia"/>
                <w:b/>
                <w:bCs/>
                <w:color w:val="auto"/>
                <w:szCs w:val="21"/>
              </w:rPr>
              <w:t>20</w:t>
            </w:r>
            <w:r>
              <w:rPr>
                <w:b/>
                <w:bCs/>
                <w:color w:val="auto"/>
                <w:szCs w:val="21"/>
              </w:rPr>
              <w:t>）cm</w:t>
            </w:r>
          </w:p>
        </w:tc>
        <w:tc>
          <w:tcPr>
            <w:tcW w:w="1037" w:type="dxa"/>
            <w:tcBorders>
              <w:tl2br w:val="nil"/>
              <w:tr2bl w:val="nil"/>
            </w:tcBorders>
            <w:vAlign w:val="center"/>
          </w:tcPr>
          <w:p>
            <w:pPr>
              <w:widowControl/>
              <w:ind w:left="-168" w:leftChars="-80" w:right="-168" w:rightChars="-80"/>
              <w:jc w:val="center"/>
              <w:textAlignment w:val="center"/>
              <w:rPr>
                <w:rFonts w:hint="default" w:eastAsia="宋体"/>
                <w:b/>
                <w:bCs/>
                <w:color w:val="auto"/>
                <w:szCs w:val="21"/>
                <w:lang w:val="en-US" w:eastAsia="zh-CN"/>
              </w:rPr>
            </w:pPr>
            <w:r>
              <w:rPr>
                <w:rFonts w:hint="eastAsia"/>
                <w:b/>
                <w:bCs/>
                <w:color w:val="auto"/>
                <w:szCs w:val="21"/>
                <w:lang w:val="en-US" w:eastAsia="zh-CN"/>
              </w:rPr>
              <w:t>第二类用地</w:t>
            </w:r>
          </w:p>
        </w:tc>
        <w:tc>
          <w:tcPr>
            <w:tcW w:w="987" w:type="dxa"/>
            <w:tcBorders>
              <w:tl2br w:val="nil"/>
              <w:tr2bl w:val="nil"/>
            </w:tcBorders>
            <w:vAlign w:val="center"/>
          </w:tcPr>
          <w:p>
            <w:pPr>
              <w:widowControl/>
              <w:ind w:left="-168" w:leftChars="-80" w:right="-168" w:rightChars="-80"/>
              <w:jc w:val="center"/>
              <w:textAlignment w:val="center"/>
              <w:rPr>
                <w:rFonts w:hint="default" w:eastAsia="宋体"/>
                <w:b/>
                <w:bCs/>
                <w:color w:val="auto"/>
                <w:szCs w:val="21"/>
                <w:lang w:val="en-US" w:eastAsia="zh-CN"/>
              </w:rPr>
            </w:pPr>
            <w:r>
              <w:rPr>
                <w:rFonts w:hint="eastAsia"/>
                <w:b/>
                <w:bCs/>
                <w:color w:val="auto"/>
                <w:szCs w:val="21"/>
                <w:lang w:val="en-US" w:eastAsia="zh-CN"/>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restart"/>
            <w:tcBorders>
              <w:tl2br w:val="nil"/>
              <w:tr2bl w:val="nil"/>
            </w:tcBorders>
            <w:vAlign w:val="center"/>
          </w:tcPr>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tc>
        <w:tc>
          <w:tcPr>
            <w:tcW w:w="1261" w:type="dxa"/>
            <w:tcBorders>
              <w:tl2br w:val="nil"/>
              <w:tr2bl w:val="nil"/>
            </w:tcBorders>
            <w:vAlign w:val="center"/>
          </w:tcPr>
          <w:p>
            <w:pPr>
              <w:jc w:val="center"/>
              <w:rPr>
                <w:color w:val="auto"/>
                <w:szCs w:val="21"/>
              </w:rPr>
            </w:pPr>
            <w:r>
              <w:rPr>
                <w:rFonts w:hint="eastAsia"/>
                <w:color w:val="auto"/>
                <w:szCs w:val="21"/>
              </w:rPr>
              <w:t>石油烃（C</w:t>
            </w:r>
            <w:r>
              <w:rPr>
                <w:rFonts w:hint="eastAsia"/>
                <w:color w:val="auto"/>
                <w:szCs w:val="21"/>
                <w:vertAlign w:val="subscript"/>
              </w:rPr>
              <w:t>10</w:t>
            </w:r>
            <w:r>
              <w:rPr>
                <w:rFonts w:hint="eastAsia"/>
                <w:color w:val="auto"/>
                <w:szCs w:val="21"/>
              </w:rPr>
              <w:t>-C</w:t>
            </w:r>
            <w:r>
              <w:rPr>
                <w:rFonts w:hint="eastAsia"/>
                <w:color w:val="auto"/>
                <w:szCs w:val="21"/>
                <w:vertAlign w:val="subscript"/>
              </w:rPr>
              <w:t>40</w:t>
            </w:r>
            <w:r>
              <w:rPr>
                <w:rFonts w:hint="eastAsia"/>
                <w:color w:val="auto"/>
                <w:szCs w:val="21"/>
              </w:rPr>
              <w:t>）</w:t>
            </w:r>
          </w:p>
        </w:tc>
        <w:tc>
          <w:tcPr>
            <w:tcW w:w="72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88</w:t>
            </w:r>
          </w:p>
        </w:tc>
        <w:tc>
          <w:tcPr>
            <w:tcW w:w="100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75</w:t>
            </w:r>
          </w:p>
        </w:tc>
        <w:tc>
          <w:tcPr>
            <w:tcW w:w="1162"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147</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92</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44</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97</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80</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70</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161</w:t>
            </w:r>
          </w:p>
        </w:tc>
        <w:tc>
          <w:tcPr>
            <w:tcW w:w="1003" w:type="dxa"/>
            <w:tcBorders>
              <w:tl2br w:val="nil"/>
              <w:tr2bl w:val="nil"/>
            </w:tcBorders>
            <w:vAlign w:val="center"/>
          </w:tcPr>
          <w:p>
            <w:pPr>
              <w:widowControl/>
              <w:spacing w:line="360" w:lineRule="auto"/>
              <w:ind w:left="-168" w:leftChars="-80" w:right="-168" w:rightChars="-80"/>
              <w:jc w:val="center"/>
              <w:textAlignment w:val="center"/>
              <w:rPr>
                <w:rFonts w:hint="eastAsia"/>
                <w:color w:val="auto"/>
                <w:szCs w:val="21"/>
              </w:rPr>
            </w:pPr>
            <w:r>
              <w:rPr>
                <w:rFonts w:hint="eastAsia"/>
                <w:color w:val="auto"/>
                <w:szCs w:val="21"/>
              </w:rPr>
              <w:t>86</w:t>
            </w:r>
          </w:p>
        </w:tc>
        <w:tc>
          <w:tcPr>
            <w:tcW w:w="1037" w:type="dxa"/>
            <w:tcBorders>
              <w:tl2br w:val="nil"/>
              <w:tr2bl w:val="nil"/>
            </w:tcBorders>
            <w:vAlign w:val="center"/>
          </w:tcPr>
          <w:p>
            <w:pPr>
              <w:widowControl/>
              <w:ind w:left="-168" w:leftChars="-80" w:right="-168" w:rightChars="-80"/>
              <w:jc w:val="center"/>
              <w:textAlignment w:val="center"/>
              <w:rPr>
                <w:color w:val="auto"/>
                <w:szCs w:val="21"/>
              </w:rPr>
            </w:pPr>
            <w:r>
              <w:rPr>
                <w:rFonts w:hint="eastAsia"/>
                <w:color w:val="auto"/>
                <w:szCs w:val="21"/>
              </w:rPr>
              <w:t>4500</w:t>
            </w:r>
          </w:p>
        </w:tc>
        <w:tc>
          <w:tcPr>
            <w:tcW w:w="987" w:type="dxa"/>
            <w:tcBorders>
              <w:tl2br w:val="nil"/>
              <w:tr2bl w:val="nil"/>
            </w:tcBorders>
            <w:vAlign w:val="center"/>
          </w:tcPr>
          <w:p>
            <w:pPr>
              <w:widowControl/>
              <w:ind w:left="-168" w:leftChars="-80" w:right="-168" w:rightChars="-80"/>
              <w:jc w:val="center"/>
              <w:textAlignment w:val="center"/>
              <w:rPr>
                <w:rFonts w:hint="default" w:eastAsia="宋体"/>
                <w:color w:val="auto"/>
                <w:szCs w:val="21"/>
                <w:lang w:val="en-US" w:eastAsia="zh-CN"/>
              </w:rPr>
            </w:pPr>
            <w:r>
              <w:rPr>
                <w:rFonts w:hint="eastAsia"/>
                <w:color w:val="auto"/>
                <w:szCs w:val="21"/>
                <w:lang w:val="en-US" w:eastAsia="zh-CN"/>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砷</w:t>
            </w:r>
          </w:p>
        </w:tc>
        <w:tc>
          <w:tcPr>
            <w:tcW w:w="728"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94.0</w:t>
            </w:r>
          </w:p>
        </w:tc>
        <w:tc>
          <w:tcPr>
            <w:tcW w:w="1000"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79.3</w:t>
            </w:r>
          </w:p>
        </w:tc>
        <w:tc>
          <w:tcPr>
            <w:tcW w:w="1162"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71.3</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81.4</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38.8</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41.9</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106</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shd w:val="clear" w:color="FFFFFF" w:fill="D9D9D9"/>
              </w:rPr>
            </w:pPr>
            <w:r>
              <w:rPr>
                <w:rFonts w:hint="eastAsia"/>
                <w:color w:val="auto"/>
                <w:szCs w:val="21"/>
                <w:shd w:val="clear" w:color="FFFFFF" w:fill="D9D9D9"/>
              </w:rPr>
              <w:t>107</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31.4</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24.2</w:t>
            </w:r>
          </w:p>
        </w:tc>
        <w:tc>
          <w:tcPr>
            <w:tcW w:w="1037" w:type="dxa"/>
            <w:tcBorders>
              <w:tl2br w:val="nil"/>
              <w:tr2bl w:val="nil"/>
            </w:tcBorders>
            <w:vAlign w:val="center"/>
          </w:tcPr>
          <w:p>
            <w:pPr>
              <w:widowControl/>
              <w:ind w:left="-168" w:leftChars="-80" w:right="-168" w:rightChars="-80"/>
              <w:jc w:val="center"/>
              <w:textAlignment w:val="center"/>
              <w:rPr>
                <w:color w:val="auto"/>
                <w:szCs w:val="21"/>
              </w:rPr>
            </w:pPr>
            <w:r>
              <w:rPr>
                <w:color w:val="auto"/>
                <w:szCs w:val="21"/>
              </w:rPr>
              <w:t>60</w:t>
            </w:r>
          </w:p>
        </w:tc>
        <w:tc>
          <w:tcPr>
            <w:tcW w:w="987" w:type="dxa"/>
            <w:tcBorders>
              <w:tl2br w:val="nil"/>
              <w:tr2bl w:val="nil"/>
            </w:tcBorders>
            <w:vAlign w:val="center"/>
          </w:tcPr>
          <w:p>
            <w:pPr>
              <w:widowControl/>
              <w:ind w:left="-168" w:leftChars="-80" w:right="-168" w:rightChars="-80"/>
              <w:jc w:val="center"/>
              <w:textAlignment w:val="center"/>
              <w:rPr>
                <w:rFonts w:hint="default" w:eastAsia="宋体"/>
                <w:color w:val="auto"/>
                <w:szCs w:val="21"/>
                <w:lang w:val="en-US" w:eastAsia="zh-CN"/>
              </w:rPr>
            </w:pPr>
            <w:r>
              <w:rPr>
                <w:rFonts w:hint="eastAsia"/>
                <w:color w:val="auto"/>
                <w:szCs w:val="21"/>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1261" w:type="dxa"/>
            <w:tcBorders>
              <w:tl2br w:val="nil"/>
              <w:tr2bl w:val="nil"/>
            </w:tcBorders>
            <w:vAlign w:val="center"/>
          </w:tcPr>
          <w:p>
            <w:pPr>
              <w:jc w:val="center"/>
              <w:rPr>
                <w:color w:val="auto"/>
                <w:szCs w:val="21"/>
              </w:rPr>
            </w:pPr>
            <w:r>
              <w:rPr>
                <w:rFonts w:hint="eastAsia"/>
                <w:color w:val="auto"/>
                <w:szCs w:val="21"/>
              </w:rPr>
              <w:t>镉</w:t>
            </w:r>
          </w:p>
        </w:tc>
        <w:tc>
          <w:tcPr>
            <w:tcW w:w="72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0.17</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0.03</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0.20</w:t>
            </w:r>
          </w:p>
        </w:tc>
        <w:tc>
          <w:tcPr>
            <w:tcW w:w="1037" w:type="dxa"/>
            <w:tcBorders>
              <w:tl2br w:val="nil"/>
              <w:tr2bl w:val="nil"/>
            </w:tcBorders>
            <w:vAlign w:val="center"/>
          </w:tcPr>
          <w:p>
            <w:pPr>
              <w:widowControl/>
              <w:ind w:left="-105" w:leftChars="-50" w:right="-105" w:rightChars="-50"/>
              <w:jc w:val="center"/>
              <w:textAlignment w:val="center"/>
              <w:rPr>
                <w:color w:val="auto"/>
                <w:szCs w:val="21"/>
              </w:rPr>
            </w:pPr>
            <w:r>
              <w:rPr>
                <w:color w:val="auto"/>
                <w:szCs w:val="21"/>
              </w:rPr>
              <w:t>65</w:t>
            </w:r>
          </w:p>
        </w:tc>
        <w:tc>
          <w:tcPr>
            <w:tcW w:w="987"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铬（六价）</w:t>
            </w:r>
          </w:p>
        </w:tc>
        <w:tc>
          <w:tcPr>
            <w:tcW w:w="72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1.1</w:t>
            </w:r>
          </w:p>
        </w:tc>
        <w:tc>
          <w:tcPr>
            <w:tcW w:w="100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0.7</w:t>
            </w:r>
          </w:p>
        </w:tc>
        <w:tc>
          <w:tcPr>
            <w:tcW w:w="1162"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4.7</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3.6</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3.5</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3.3</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3.6</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4.2</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5.1</w:t>
            </w:r>
          </w:p>
        </w:tc>
        <w:tc>
          <w:tcPr>
            <w:tcW w:w="1003" w:type="dxa"/>
            <w:tcBorders>
              <w:tl2br w:val="nil"/>
              <w:tr2bl w:val="nil"/>
            </w:tcBorders>
            <w:vAlign w:val="center"/>
          </w:tcPr>
          <w:p>
            <w:pPr>
              <w:widowControl/>
              <w:spacing w:line="360" w:lineRule="auto"/>
              <w:ind w:left="-168" w:leftChars="-80" w:right="-168" w:rightChars="-80"/>
              <w:jc w:val="center"/>
              <w:textAlignment w:val="center"/>
              <w:rPr>
                <w:rFonts w:hint="eastAsia"/>
                <w:color w:val="auto"/>
                <w:szCs w:val="21"/>
              </w:rPr>
            </w:pPr>
            <w:r>
              <w:rPr>
                <w:rFonts w:hint="eastAsia"/>
                <w:color w:val="auto"/>
                <w:szCs w:val="21"/>
              </w:rPr>
              <w:t>3.4</w:t>
            </w:r>
          </w:p>
        </w:tc>
        <w:tc>
          <w:tcPr>
            <w:tcW w:w="1037" w:type="dxa"/>
            <w:tcBorders>
              <w:tl2br w:val="nil"/>
              <w:tr2bl w:val="nil"/>
            </w:tcBorders>
            <w:vAlign w:val="center"/>
          </w:tcPr>
          <w:p>
            <w:pPr>
              <w:widowControl/>
              <w:ind w:left="-105" w:leftChars="-50" w:right="-105" w:rightChars="-50"/>
              <w:jc w:val="center"/>
              <w:textAlignment w:val="center"/>
              <w:rPr>
                <w:color w:val="auto"/>
                <w:szCs w:val="21"/>
              </w:rPr>
            </w:pPr>
            <w:r>
              <w:rPr>
                <w:rFonts w:hint="eastAsia"/>
                <w:color w:val="auto"/>
                <w:szCs w:val="21"/>
              </w:rPr>
              <w:t>5.7</w:t>
            </w:r>
          </w:p>
        </w:tc>
        <w:tc>
          <w:tcPr>
            <w:tcW w:w="987"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铜</w:t>
            </w:r>
          </w:p>
        </w:tc>
        <w:tc>
          <w:tcPr>
            <w:tcW w:w="72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12</w:t>
            </w:r>
          </w:p>
        </w:tc>
        <w:tc>
          <w:tcPr>
            <w:tcW w:w="100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12</w:t>
            </w:r>
          </w:p>
        </w:tc>
        <w:tc>
          <w:tcPr>
            <w:tcW w:w="1162"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10</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19</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51</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33</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20</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21</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14</w:t>
            </w:r>
          </w:p>
        </w:tc>
        <w:tc>
          <w:tcPr>
            <w:tcW w:w="1003" w:type="dxa"/>
            <w:tcBorders>
              <w:tl2br w:val="nil"/>
              <w:tr2bl w:val="nil"/>
            </w:tcBorders>
            <w:vAlign w:val="center"/>
          </w:tcPr>
          <w:p>
            <w:pPr>
              <w:widowControl/>
              <w:spacing w:line="360" w:lineRule="auto"/>
              <w:ind w:left="-168" w:leftChars="-80" w:right="-168" w:rightChars="-80"/>
              <w:jc w:val="center"/>
              <w:textAlignment w:val="center"/>
              <w:rPr>
                <w:rFonts w:hint="eastAsia"/>
                <w:color w:val="auto"/>
                <w:szCs w:val="21"/>
              </w:rPr>
            </w:pPr>
            <w:r>
              <w:rPr>
                <w:rFonts w:hint="eastAsia"/>
                <w:color w:val="auto"/>
                <w:szCs w:val="21"/>
              </w:rPr>
              <w:t>30</w:t>
            </w:r>
          </w:p>
        </w:tc>
        <w:tc>
          <w:tcPr>
            <w:tcW w:w="1037" w:type="dxa"/>
            <w:tcBorders>
              <w:tl2br w:val="nil"/>
              <w:tr2bl w:val="nil"/>
            </w:tcBorders>
            <w:vAlign w:val="center"/>
          </w:tcPr>
          <w:p>
            <w:pPr>
              <w:widowControl/>
              <w:ind w:left="-105" w:leftChars="-50" w:right="-105" w:rightChars="-50"/>
              <w:jc w:val="center"/>
              <w:textAlignment w:val="center"/>
              <w:rPr>
                <w:color w:val="auto"/>
                <w:szCs w:val="21"/>
              </w:rPr>
            </w:pPr>
            <w:r>
              <w:rPr>
                <w:rFonts w:hint="eastAsia"/>
                <w:color w:val="auto"/>
                <w:szCs w:val="21"/>
              </w:rPr>
              <w:t>18000</w:t>
            </w:r>
          </w:p>
        </w:tc>
        <w:tc>
          <w:tcPr>
            <w:tcW w:w="987"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铅</w:t>
            </w:r>
          </w:p>
        </w:tc>
        <w:tc>
          <w:tcPr>
            <w:tcW w:w="728"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14.9</w:t>
            </w:r>
          </w:p>
        </w:tc>
        <w:tc>
          <w:tcPr>
            <w:tcW w:w="1000"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14.3</w:t>
            </w:r>
          </w:p>
        </w:tc>
        <w:tc>
          <w:tcPr>
            <w:tcW w:w="1162"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17.7</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15.3</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38.8</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42.1</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14.9</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17.1</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55.6</w:t>
            </w:r>
          </w:p>
        </w:tc>
        <w:tc>
          <w:tcPr>
            <w:tcW w:w="1003" w:type="dxa"/>
            <w:tcBorders>
              <w:tl2br w:val="nil"/>
              <w:tr2bl w:val="nil"/>
            </w:tcBorders>
            <w:vAlign w:val="center"/>
          </w:tcPr>
          <w:p>
            <w:pPr>
              <w:widowControl/>
              <w:spacing w:line="360" w:lineRule="auto"/>
              <w:ind w:left="-168" w:leftChars="-80" w:right="-168" w:rightChars="-80"/>
              <w:jc w:val="center"/>
              <w:textAlignment w:val="center"/>
              <w:rPr>
                <w:rFonts w:hint="eastAsia"/>
                <w:color w:val="auto"/>
                <w:szCs w:val="21"/>
              </w:rPr>
            </w:pPr>
            <w:r>
              <w:rPr>
                <w:rFonts w:hint="eastAsia"/>
                <w:color w:val="auto"/>
                <w:szCs w:val="21"/>
              </w:rPr>
              <w:t>47.8</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800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汞</w:t>
            </w:r>
          </w:p>
        </w:tc>
        <w:tc>
          <w:tcPr>
            <w:tcW w:w="728" w:type="dxa"/>
            <w:tcBorders>
              <w:tl2br w:val="nil"/>
              <w:tr2bl w:val="nil"/>
            </w:tcBorders>
            <w:vAlign w:val="center"/>
          </w:tcPr>
          <w:p>
            <w:pPr>
              <w:widowControl/>
              <w:spacing w:line="360" w:lineRule="auto"/>
              <w:jc w:val="center"/>
              <w:rPr>
                <w:bCs/>
                <w:color w:val="auto"/>
                <w:szCs w:val="21"/>
              </w:rPr>
            </w:pPr>
            <w:r>
              <w:rPr>
                <w:rFonts w:hint="eastAsia"/>
                <w:color w:val="auto"/>
                <w:kern w:val="0"/>
                <w:szCs w:val="21"/>
              </w:rPr>
              <w:t>2.02</w:t>
            </w:r>
          </w:p>
        </w:tc>
        <w:tc>
          <w:tcPr>
            <w:tcW w:w="1000" w:type="dxa"/>
            <w:tcBorders>
              <w:tl2br w:val="nil"/>
              <w:tr2bl w:val="nil"/>
            </w:tcBorders>
            <w:vAlign w:val="center"/>
          </w:tcPr>
          <w:p>
            <w:pPr>
              <w:widowControl/>
              <w:spacing w:line="360" w:lineRule="auto"/>
              <w:jc w:val="center"/>
              <w:rPr>
                <w:bCs/>
                <w:color w:val="auto"/>
                <w:szCs w:val="21"/>
              </w:rPr>
            </w:pPr>
            <w:r>
              <w:rPr>
                <w:rFonts w:hint="eastAsia"/>
                <w:color w:val="auto"/>
                <w:kern w:val="0"/>
                <w:szCs w:val="21"/>
              </w:rPr>
              <w:t>1.19</w:t>
            </w:r>
          </w:p>
        </w:tc>
        <w:tc>
          <w:tcPr>
            <w:tcW w:w="1162" w:type="dxa"/>
            <w:tcBorders>
              <w:tl2br w:val="nil"/>
              <w:tr2bl w:val="nil"/>
            </w:tcBorders>
            <w:vAlign w:val="center"/>
          </w:tcPr>
          <w:p>
            <w:pPr>
              <w:widowControl/>
              <w:spacing w:line="360" w:lineRule="auto"/>
              <w:jc w:val="center"/>
              <w:rPr>
                <w:bCs/>
                <w:color w:val="auto"/>
                <w:szCs w:val="21"/>
              </w:rPr>
            </w:pPr>
            <w:r>
              <w:rPr>
                <w:rFonts w:hint="eastAsia"/>
                <w:bCs/>
                <w:color w:val="auto"/>
                <w:szCs w:val="21"/>
              </w:rPr>
              <w:t>1.62</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1.18</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1.14</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1.71</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1.30</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1.35</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2.08</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1.98</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38</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镍</w:t>
            </w:r>
          </w:p>
        </w:tc>
        <w:tc>
          <w:tcPr>
            <w:tcW w:w="728"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9</w:t>
            </w:r>
          </w:p>
        </w:tc>
        <w:tc>
          <w:tcPr>
            <w:tcW w:w="1000"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13</w:t>
            </w:r>
          </w:p>
        </w:tc>
        <w:tc>
          <w:tcPr>
            <w:tcW w:w="1162"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19</w:t>
            </w:r>
          </w:p>
        </w:tc>
        <w:tc>
          <w:tcPr>
            <w:tcW w:w="748"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25</w:t>
            </w:r>
          </w:p>
        </w:tc>
        <w:tc>
          <w:tcPr>
            <w:tcW w:w="102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34</w:t>
            </w:r>
          </w:p>
        </w:tc>
        <w:tc>
          <w:tcPr>
            <w:tcW w:w="117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21</w:t>
            </w:r>
          </w:p>
        </w:tc>
        <w:tc>
          <w:tcPr>
            <w:tcW w:w="731"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17</w:t>
            </w:r>
          </w:p>
        </w:tc>
        <w:tc>
          <w:tcPr>
            <w:tcW w:w="1003"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22</w:t>
            </w:r>
          </w:p>
        </w:tc>
        <w:tc>
          <w:tcPr>
            <w:tcW w:w="1170"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19</w:t>
            </w:r>
          </w:p>
        </w:tc>
        <w:tc>
          <w:tcPr>
            <w:tcW w:w="1003" w:type="dxa"/>
            <w:tcBorders>
              <w:tl2br w:val="nil"/>
              <w:tr2bl w:val="nil"/>
            </w:tcBorders>
            <w:vAlign w:val="center"/>
          </w:tcPr>
          <w:p>
            <w:pPr>
              <w:widowControl/>
              <w:spacing w:line="360" w:lineRule="auto"/>
              <w:ind w:left="-168" w:leftChars="-80" w:right="-168" w:rightChars="-80"/>
              <w:jc w:val="center"/>
              <w:textAlignment w:val="center"/>
              <w:rPr>
                <w:rFonts w:hint="eastAsia"/>
                <w:color w:val="auto"/>
                <w:szCs w:val="21"/>
              </w:rPr>
            </w:pPr>
            <w:r>
              <w:rPr>
                <w:rFonts w:hint="eastAsia"/>
                <w:color w:val="auto"/>
                <w:szCs w:val="21"/>
              </w:rPr>
              <w:t>38</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900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四氯化碳</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0.0039</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0.0017</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2.8</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氯仿</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0.0017</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0.0017</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0.0020</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0.0018</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0.0013</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0.0012</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0.0014</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0.0014</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0.0014</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0.0016</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0.9</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氯甲烷</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0.0042</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37</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1,1-二氯乙烷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0.0022</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9</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68" w:leftChars="-80" w:right="-168" w:rightChars="-8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1,2-二氯乙烷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1,1-二氯乙烯</w:t>
            </w:r>
          </w:p>
        </w:tc>
        <w:tc>
          <w:tcPr>
            <w:tcW w:w="728"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66</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顺-1,2-二氯乙烯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596</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反-1,2-二氯乙烯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54</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二氯甲烷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0.0297</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0.1004</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0.0220</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0.0168</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0.0117</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0.0104</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0.0145</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0.0097</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0.1983</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0.0075</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616</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1,2-二氯丙烷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0.0016</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0.0013</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0.0013</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1,1,1,2-四氯乙烷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1,1,2,2-四氯乙烷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6.8</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四氯</w:t>
            </w:r>
            <w:r>
              <w:rPr>
                <w:rFonts w:hint="eastAsia"/>
                <w:color w:val="auto"/>
                <w:szCs w:val="21"/>
              </w:rPr>
              <w:t>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0.0027</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53</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1,1,1-三氯乙烷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840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1,1,2-三氯乙烷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2.8</w:t>
            </w:r>
          </w:p>
        </w:tc>
        <w:tc>
          <w:tcPr>
            <w:tcW w:w="987" w:type="dxa"/>
            <w:tcBorders>
              <w:tl2br w:val="nil"/>
              <w:tr2bl w:val="nil"/>
            </w:tcBorders>
            <w:vAlign w:val="center"/>
          </w:tcPr>
          <w:p>
            <w:pPr>
              <w:ind w:left="-105" w:leftChars="-50" w:right="-105" w:rightChars="-50"/>
              <w:jc w:val="center"/>
              <w:rPr>
                <w:rFonts w:hint="eastAsia" w:eastAsia="宋体"/>
                <w:color w:val="auto"/>
                <w:szCs w:val="21"/>
                <w:lang w:val="en-US" w:eastAsia="zh-CN"/>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三氯乙烯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2.8</w:t>
            </w:r>
          </w:p>
        </w:tc>
        <w:tc>
          <w:tcPr>
            <w:tcW w:w="987" w:type="dxa"/>
            <w:tcBorders>
              <w:tl2br w:val="nil"/>
              <w:tr2bl w:val="nil"/>
            </w:tcBorders>
            <w:vAlign w:val="center"/>
          </w:tcPr>
          <w:p>
            <w:pPr>
              <w:ind w:left="-105" w:leftChars="-50" w:right="-105" w:rightChars="-50"/>
              <w:jc w:val="center"/>
              <w:rPr>
                <w:rFonts w:hint="eastAsia" w:eastAsia="宋体"/>
                <w:color w:val="auto"/>
                <w:szCs w:val="21"/>
                <w:lang w:val="en-US" w:eastAsia="zh-CN"/>
              </w:rPr>
            </w:pPr>
            <w:r>
              <w:rPr>
                <w:rFonts w:hint="eastAsia"/>
                <w:color w:val="auto"/>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1,2,3-三氯丙烷</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0.5</w:t>
            </w:r>
          </w:p>
        </w:tc>
        <w:tc>
          <w:tcPr>
            <w:tcW w:w="987" w:type="dxa"/>
            <w:tcBorders>
              <w:tl2br w:val="nil"/>
              <w:tr2bl w:val="nil"/>
            </w:tcBorders>
            <w:vAlign w:val="center"/>
          </w:tcPr>
          <w:p>
            <w:pPr>
              <w:ind w:left="-105" w:leftChars="-50" w:right="-105" w:rightChars="-50"/>
              <w:jc w:val="center"/>
              <w:rPr>
                <w:rFonts w:hint="eastAsia" w:eastAsia="宋体"/>
                <w:color w:val="auto"/>
                <w:szCs w:val="21"/>
                <w:lang w:val="en-US" w:eastAsia="zh-CN"/>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氯乙烯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0.43</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4</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氯苯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270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1,2-二氯苯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560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1,4-二氯苯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乙苯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0.0057</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28</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苯乙烯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1290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甲苯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1200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间二甲苯+对二甲苯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0.0089</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0.0013</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0.0014</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570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邻二甲苯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0.0077</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0.0012</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bCs/>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640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硝基苯</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76</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苯胺</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260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rFonts w:hint="eastAsia"/>
                <w:color w:val="auto"/>
                <w:szCs w:val="21"/>
              </w:rPr>
              <w:t>2-氯苯酚</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2256</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苯并[a]蒽</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苯并[a]芘</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苯并[</w:t>
            </w:r>
            <w:r>
              <w:rPr>
                <w:rFonts w:hint="eastAsia"/>
                <w:color w:val="auto"/>
                <w:szCs w:val="21"/>
              </w:rPr>
              <w:t>b</w:t>
            </w:r>
            <w:r>
              <w:rPr>
                <w:color w:val="auto"/>
                <w:szCs w:val="21"/>
              </w:rPr>
              <w:t>]荧蒽</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苯并[k]荧蒽</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151</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䓛</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1293</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二苯并[a，h]蒽</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茚并[1,2,3-cd]芘</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15</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萘</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ND</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70</w:t>
            </w:r>
          </w:p>
        </w:tc>
        <w:tc>
          <w:tcPr>
            <w:tcW w:w="987"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145" w:type="dxa"/>
            <w:vMerge w:val="continue"/>
            <w:tcBorders>
              <w:tl2br w:val="nil"/>
              <w:tr2bl w:val="nil"/>
            </w:tcBorders>
            <w:vAlign w:val="center"/>
          </w:tcPr>
          <w:p>
            <w:pPr>
              <w:ind w:left="-126" w:leftChars="-80" w:right="-168" w:rightChars="-80" w:hanging="42" w:hangingChars="20"/>
              <w:jc w:val="center"/>
              <w:rPr>
                <w:color w:val="auto"/>
                <w:szCs w:val="21"/>
              </w:rPr>
            </w:pPr>
          </w:p>
        </w:tc>
        <w:tc>
          <w:tcPr>
            <w:tcW w:w="1261" w:type="dxa"/>
            <w:tcBorders>
              <w:tl2br w:val="nil"/>
              <w:tr2bl w:val="nil"/>
            </w:tcBorders>
            <w:vAlign w:val="center"/>
          </w:tcPr>
          <w:p>
            <w:pPr>
              <w:jc w:val="center"/>
              <w:rPr>
                <w:color w:val="auto"/>
                <w:szCs w:val="21"/>
              </w:rPr>
            </w:pPr>
            <w:r>
              <w:rPr>
                <w:color w:val="auto"/>
                <w:szCs w:val="21"/>
              </w:rPr>
              <w:t>pH值</w:t>
            </w:r>
          </w:p>
        </w:tc>
        <w:tc>
          <w:tcPr>
            <w:tcW w:w="72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4.03</w:t>
            </w:r>
          </w:p>
        </w:tc>
        <w:tc>
          <w:tcPr>
            <w:tcW w:w="100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4.01</w:t>
            </w:r>
          </w:p>
        </w:tc>
        <w:tc>
          <w:tcPr>
            <w:tcW w:w="1162"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4.04</w:t>
            </w:r>
          </w:p>
        </w:tc>
        <w:tc>
          <w:tcPr>
            <w:tcW w:w="748"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4.42</w:t>
            </w:r>
          </w:p>
        </w:tc>
        <w:tc>
          <w:tcPr>
            <w:tcW w:w="102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4.39</w:t>
            </w:r>
          </w:p>
        </w:tc>
        <w:tc>
          <w:tcPr>
            <w:tcW w:w="117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4.43</w:t>
            </w:r>
          </w:p>
        </w:tc>
        <w:tc>
          <w:tcPr>
            <w:tcW w:w="731"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4.28</w:t>
            </w:r>
          </w:p>
        </w:tc>
        <w:tc>
          <w:tcPr>
            <w:tcW w:w="1003"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4.29</w:t>
            </w:r>
          </w:p>
        </w:tc>
        <w:tc>
          <w:tcPr>
            <w:tcW w:w="1170"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4.26</w:t>
            </w:r>
          </w:p>
        </w:tc>
        <w:tc>
          <w:tcPr>
            <w:tcW w:w="1003" w:type="dxa"/>
            <w:tcBorders>
              <w:tl2br w:val="nil"/>
              <w:tr2bl w:val="nil"/>
            </w:tcBorders>
            <w:vAlign w:val="center"/>
          </w:tcPr>
          <w:p>
            <w:pPr>
              <w:widowControl/>
              <w:spacing w:line="360" w:lineRule="auto"/>
              <w:ind w:left="-105" w:leftChars="-50" w:right="-105" w:rightChars="-50"/>
              <w:jc w:val="center"/>
              <w:textAlignment w:val="center"/>
              <w:rPr>
                <w:rFonts w:hint="eastAsia"/>
                <w:color w:val="auto"/>
                <w:szCs w:val="21"/>
              </w:rPr>
            </w:pPr>
            <w:r>
              <w:rPr>
                <w:rFonts w:hint="eastAsia"/>
                <w:color w:val="auto"/>
                <w:szCs w:val="21"/>
              </w:rPr>
              <w:t>4.82</w:t>
            </w:r>
          </w:p>
        </w:tc>
        <w:tc>
          <w:tcPr>
            <w:tcW w:w="1037" w:type="dxa"/>
            <w:tcBorders>
              <w:tl2br w:val="nil"/>
              <w:tr2bl w:val="nil"/>
            </w:tcBorders>
            <w:vAlign w:val="center"/>
          </w:tcPr>
          <w:p>
            <w:pPr>
              <w:ind w:left="-105" w:leftChars="-50" w:right="-105" w:rightChars="-50"/>
              <w:jc w:val="center"/>
              <w:rPr>
                <w:color w:val="auto"/>
                <w:szCs w:val="21"/>
              </w:rPr>
            </w:pPr>
            <w:r>
              <w:rPr>
                <w:rFonts w:hint="eastAsia"/>
                <w:color w:val="auto"/>
                <w:szCs w:val="21"/>
              </w:rPr>
              <w:t>--</w:t>
            </w:r>
          </w:p>
        </w:tc>
        <w:tc>
          <w:tcPr>
            <w:tcW w:w="987" w:type="dxa"/>
            <w:tcBorders>
              <w:tl2br w:val="nil"/>
              <w:tr2bl w:val="nil"/>
            </w:tcBorders>
            <w:vAlign w:val="center"/>
          </w:tcPr>
          <w:p>
            <w:pPr>
              <w:ind w:left="-105" w:leftChars="-50" w:right="-105" w:rightChars="-50"/>
              <w:jc w:val="center"/>
              <w:rPr>
                <w:rFonts w:hint="eastAsia"/>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2406" w:type="dxa"/>
            <w:gridSpan w:val="2"/>
            <w:tcBorders>
              <w:tl2br w:val="nil"/>
              <w:tr2bl w:val="nil"/>
            </w:tcBorders>
            <w:vAlign w:val="center"/>
          </w:tcPr>
          <w:p>
            <w:pPr>
              <w:jc w:val="center"/>
              <w:rPr>
                <w:color w:val="auto"/>
                <w:szCs w:val="21"/>
              </w:rPr>
            </w:pPr>
            <w:r>
              <w:rPr>
                <w:color w:val="auto"/>
                <w:szCs w:val="21"/>
              </w:rPr>
              <w:t>执行标准</w:t>
            </w:r>
          </w:p>
        </w:tc>
        <w:tc>
          <w:tcPr>
            <w:tcW w:w="11762" w:type="dxa"/>
            <w:gridSpan w:val="12"/>
            <w:tcBorders>
              <w:tl2br w:val="nil"/>
              <w:tr2bl w:val="nil"/>
            </w:tcBorders>
            <w:vAlign w:val="center"/>
          </w:tcPr>
          <w:p>
            <w:pPr>
              <w:rPr>
                <w:color w:val="auto"/>
                <w:szCs w:val="21"/>
              </w:rPr>
            </w:pPr>
            <w:r>
              <w:rPr>
                <w:color w:val="auto"/>
                <w:szCs w:val="21"/>
              </w:rPr>
              <w:t>《土壤环境质量 建设用地土壤污染风险管控标准》（试行）（GB 36600-2018）表1建设用地土壤污染风险第二类用地筛选值和管制值</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trPr>
        <w:tc>
          <w:tcPr>
            <w:tcW w:w="2406" w:type="dxa"/>
            <w:gridSpan w:val="2"/>
            <w:tcBorders>
              <w:tl2br w:val="nil"/>
              <w:tr2bl w:val="nil"/>
            </w:tcBorders>
            <w:vAlign w:val="center"/>
          </w:tcPr>
          <w:p>
            <w:pPr>
              <w:jc w:val="center"/>
              <w:rPr>
                <w:color w:val="auto"/>
              </w:rPr>
            </w:pPr>
            <w:r>
              <w:rPr>
                <w:color w:val="auto"/>
                <w:szCs w:val="21"/>
              </w:rPr>
              <w:t>备注</w:t>
            </w:r>
          </w:p>
        </w:tc>
        <w:tc>
          <w:tcPr>
            <w:tcW w:w="11762" w:type="dxa"/>
            <w:gridSpan w:val="12"/>
            <w:tcBorders>
              <w:tl2br w:val="nil"/>
              <w:tr2bl w:val="nil"/>
            </w:tcBorders>
            <w:vAlign w:val="center"/>
          </w:tcPr>
          <w:p>
            <w:pPr>
              <w:widowControl/>
              <w:textAlignment w:val="center"/>
              <w:rPr>
                <w:color w:val="auto"/>
              </w:rPr>
            </w:pPr>
            <w:r>
              <w:rPr>
                <w:color w:val="auto"/>
                <w:szCs w:val="21"/>
              </w:rPr>
              <w:t>1.“--”表示标准未对该项目限值作出要求</w:t>
            </w:r>
            <w:r>
              <w:rPr>
                <w:rFonts w:hint="eastAsia"/>
                <w:color w:val="auto"/>
                <w:szCs w:val="21"/>
              </w:rPr>
              <w:t>；</w:t>
            </w:r>
          </w:p>
          <w:p>
            <w:pPr>
              <w:widowControl/>
              <w:textAlignment w:val="center"/>
              <w:rPr>
                <w:color w:val="auto"/>
              </w:rPr>
            </w:pPr>
            <w:r>
              <w:rPr>
                <w:color w:val="auto"/>
                <w:szCs w:val="21"/>
              </w:rPr>
              <w:t>2“</w:t>
            </w:r>
            <w:r>
              <w:rPr>
                <w:color w:val="auto"/>
              </w:rPr>
              <w:t>ND</w:t>
            </w:r>
            <w:r>
              <w:rPr>
                <w:color w:val="auto"/>
                <w:szCs w:val="21"/>
              </w:rPr>
              <w:t>”</w:t>
            </w:r>
            <w:r>
              <w:rPr>
                <w:color w:val="auto"/>
              </w:rPr>
              <w:t>表示检测结果低于方法最低检出限；</w:t>
            </w:r>
          </w:p>
          <w:p>
            <w:pPr>
              <w:rPr>
                <w:color w:val="auto"/>
              </w:rPr>
            </w:pPr>
            <w:r>
              <w:rPr>
                <w:color w:val="auto"/>
              </w:rPr>
              <w:t>3.监测期间天气状况</w:t>
            </w:r>
            <w:r>
              <w:rPr>
                <w:rFonts w:hint="eastAsia"/>
                <w:color w:val="auto"/>
              </w:rPr>
              <w:t>：晴</w:t>
            </w:r>
            <w:r>
              <w:rPr>
                <w:color w:val="auto"/>
              </w:rPr>
              <w:t>。</w:t>
            </w:r>
          </w:p>
        </w:tc>
      </w:tr>
    </w:tbl>
    <w:p>
      <w:pPr>
        <w:pStyle w:val="13"/>
        <w:rPr>
          <w:rFonts w:ascii="Times New Roman" w:hAnsi="Times New Roman"/>
          <w:b/>
          <w:color w:val="auto"/>
          <w:sz w:val="24"/>
        </w:rPr>
        <w:sectPr>
          <w:pgSz w:w="16838" w:h="11906" w:orient="landscape"/>
          <w:pgMar w:top="11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p>
    <w:p>
      <w:pPr>
        <w:pStyle w:val="13"/>
        <w:spacing w:line="360" w:lineRule="auto"/>
        <w:jc w:val="center"/>
        <w:rPr>
          <w:rFonts w:ascii="Times New Roman" w:hAnsi="Times New Roman"/>
          <w:b/>
          <w:color w:val="auto"/>
          <w:sz w:val="24"/>
        </w:rPr>
      </w:pPr>
      <w:r>
        <w:rPr>
          <w:rFonts w:ascii="Times New Roman" w:hAnsi="Times New Roman"/>
          <w:b/>
          <w:color w:val="auto"/>
          <w:sz w:val="21"/>
          <w:szCs w:val="21"/>
        </w:rPr>
        <w:t>表5.8-3  项目土壤现状监测结果（b）</w:t>
      </w:r>
    </w:p>
    <w:tbl>
      <w:tblPr>
        <w:tblStyle w:val="23"/>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6"/>
        <w:gridCol w:w="2154"/>
        <w:gridCol w:w="2836"/>
        <w:gridCol w:w="905"/>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restart"/>
            <w:tcBorders>
              <w:tl2br w:val="nil"/>
              <w:tr2bl w:val="nil"/>
            </w:tcBorders>
            <w:vAlign w:val="center"/>
          </w:tcPr>
          <w:p>
            <w:pPr>
              <w:ind w:left="-168" w:leftChars="-80" w:right="-168" w:rightChars="-80"/>
              <w:jc w:val="center"/>
              <w:rPr>
                <w:b/>
                <w:bCs/>
                <w:color w:val="auto"/>
                <w:szCs w:val="21"/>
              </w:rPr>
            </w:pPr>
            <w:r>
              <w:rPr>
                <w:b/>
                <w:bCs/>
                <w:color w:val="auto"/>
                <w:szCs w:val="21"/>
              </w:rPr>
              <w:t>采样日期</w:t>
            </w:r>
          </w:p>
        </w:tc>
        <w:tc>
          <w:tcPr>
            <w:tcW w:w="2154" w:type="dxa"/>
            <w:vMerge w:val="restart"/>
            <w:tcBorders>
              <w:tl2br w:val="nil"/>
              <w:tr2bl w:val="nil"/>
            </w:tcBorders>
            <w:vAlign w:val="center"/>
          </w:tcPr>
          <w:p>
            <w:pPr>
              <w:ind w:left="-168" w:leftChars="-80" w:right="-168" w:rightChars="-80"/>
              <w:jc w:val="center"/>
              <w:rPr>
                <w:b/>
                <w:bCs/>
                <w:color w:val="auto"/>
                <w:szCs w:val="21"/>
              </w:rPr>
            </w:pPr>
            <w:r>
              <w:rPr>
                <w:b/>
                <w:bCs/>
                <w:color w:val="auto"/>
                <w:szCs w:val="21"/>
              </w:rPr>
              <w:t>检测项目</w:t>
            </w:r>
          </w:p>
        </w:tc>
        <w:tc>
          <w:tcPr>
            <w:tcW w:w="2836" w:type="dxa"/>
            <w:tcBorders>
              <w:tl2br w:val="nil"/>
              <w:tr2bl w:val="nil"/>
            </w:tcBorders>
            <w:vAlign w:val="center"/>
          </w:tcPr>
          <w:p>
            <w:pPr>
              <w:ind w:left="-168" w:leftChars="-80" w:right="-168" w:rightChars="-80"/>
              <w:jc w:val="center"/>
              <w:rPr>
                <w:b/>
                <w:bCs/>
                <w:color w:val="auto"/>
                <w:szCs w:val="21"/>
              </w:rPr>
            </w:pPr>
            <w:r>
              <w:rPr>
                <w:b/>
                <w:bCs/>
                <w:color w:val="auto"/>
                <w:szCs w:val="21"/>
              </w:rPr>
              <w:t>采样点位、采样深度及检测结果</w:t>
            </w:r>
          </w:p>
        </w:tc>
        <w:tc>
          <w:tcPr>
            <w:tcW w:w="905" w:type="dxa"/>
            <w:vMerge w:val="restart"/>
            <w:tcBorders>
              <w:tl2br w:val="nil"/>
              <w:tr2bl w:val="nil"/>
            </w:tcBorders>
            <w:vAlign w:val="center"/>
          </w:tcPr>
          <w:p>
            <w:pPr>
              <w:widowControl/>
              <w:ind w:left="-168" w:leftChars="-80" w:right="-168" w:rightChars="-80"/>
              <w:jc w:val="center"/>
              <w:textAlignment w:val="center"/>
              <w:rPr>
                <w:b/>
                <w:bCs/>
                <w:color w:val="auto"/>
                <w:szCs w:val="21"/>
              </w:rPr>
            </w:pPr>
            <w:r>
              <w:rPr>
                <w:b/>
                <w:bCs/>
                <w:color w:val="auto"/>
                <w:szCs w:val="21"/>
              </w:rPr>
              <w:t>筛选值</w:t>
            </w:r>
          </w:p>
        </w:tc>
        <w:tc>
          <w:tcPr>
            <w:tcW w:w="908" w:type="dxa"/>
            <w:vMerge w:val="restart"/>
            <w:tcBorders>
              <w:tl2br w:val="nil"/>
              <w:tr2bl w:val="nil"/>
            </w:tcBorders>
            <w:vAlign w:val="center"/>
          </w:tcPr>
          <w:p>
            <w:pPr>
              <w:widowControl/>
              <w:ind w:left="-168" w:leftChars="-80" w:right="-168" w:rightChars="-80"/>
              <w:jc w:val="center"/>
              <w:textAlignment w:val="center"/>
              <w:rPr>
                <w:rFonts w:hint="eastAsia" w:eastAsia="宋体"/>
                <w:b/>
                <w:bCs/>
                <w:color w:val="auto"/>
                <w:szCs w:val="21"/>
                <w:lang w:val="en-US" w:eastAsia="zh-CN"/>
              </w:rPr>
            </w:pPr>
            <w:r>
              <w:rPr>
                <w:rFonts w:hint="eastAsia"/>
                <w:b/>
                <w:bCs/>
                <w:color w:val="auto"/>
                <w:szCs w:val="21"/>
                <w:lang w:val="en-US" w:eastAsia="zh-CN"/>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68" w:leftChars="-80" w:right="-168" w:rightChars="-80"/>
              <w:jc w:val="center"/>
              <w:rPr>
                <w:color w:val="auto"/>
                <w:szCs w:val="21"/>
              </w:rPr>
            </w:pPr>
          </w:p>
        </w:tc>
        <w:tc>
          <w:tcPr>
            <w:tcW w:w="2154" w:type="dxa"/>
            <w:vMerge w:val="continue"/>
            <w:tcBorders>
              <w:tl2br w:val="nil"/>
              <w:tr2bl w:val="nil"/>
            </w:tcBorders>
            <w:vAlign w:val="center"/>
          </w:tcPr>
          <w:p>
            <w:pPr>
              <w:ind w:left="-168" w:leftChars="-80" w:right="-168" w:rightChars="-80"/>
              <w:jc w:val="center"/>
              <w:rPr>
                <w:color w:val="auto"/>
                <w:szCs w:val="21"/>
              </w:rPr>
            </w:pPr>
          </w:p>
        </w:tc>
        <w:tc>
          <w:tcPr>
            <w:tcW w:w="2836" w:type="dxa"/>
            <w:tcBorders>
              <w:tl2br w:val="nil"/>
              <w:tr2bl w:val="nil"/>
            </w:tcBorders>
            <w:vAlign w:val="center"/>
          </w:tcPr>
          <w:p>
            <w:pPr>
              <w:ind w:left="-168" w:leftChars="-80" w:right="-168" w:rightChars="-80"/>
              <w:jc w:val="center"/>
              <w:rPr>
                <w:b/>
                <w:bCs/>
                <w:color w:val="auto"/>
                <w:szCs w:val="21"/>
              </w:rPr>
            </w:pPr>
            <w:r>
              <w:rPr>
                <w:b/>
                <w:bCs/>
                <w:color w:val="auto"/>
                <w:szCs w:val="21"/>
              </w:rPr>
              <w:t>项目</w:t>
            </w:r>
            <w:r>
              <w:rPr>
                <w:rFonts w:hint="eastAsia"/>
                <w:b/>
                <w:bCs/>
                <w:color w:val="auto"/>
                <w:szCs w:val="21"/>
              </w:rPr>
              <w:t>外西南方空地T5</w:t>
            </w:r>
          </w:p>
        </w:tc>
        <w:tc>
          <w:tcPr>
            <w:tcW w:w="905"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908" w:type="dxa"/>
            <w:vMerge w:val="continue"/>
            <w:tcBorders>
              <w:tl2br w:val="nil"/>
              <w:tr2bl w:val="nil"/>
            </w:tcBorders>
            <w:vAlign w:val="center"/>
          </w:tcPr>
          <w:p>
            <w:pPr>
              <w:widowControl/>
              <w:ind w:left="-168" w:leftChars="-80" w:right="-168" w:rightChars="-80"/>
              <w:jc w:val="center"/>
              <w:textAlignment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68" w:leftChars="-80" w:right="-168" w:rightChars="-80"/>
              <w:jc w:val="center"/>
              <w:rPr>
                <w:color w:val="auto"/>
                <w:szCs w:val="21"/>
              </w:rPr>
            </w:pPr>
          </w:p>
        </w:tc>
        <w:tc>
          <w:tcPr>
            <w:tcW w:w="2154" w:type="dxa"/>
            <w:vMerge w:val="continue"/>
            <w:tcBorders>
              <w:tl2br w:val="nil"/>
              <w:tr2bl w:val="nil"/>
            </w:tcBorders>
            <w:vAlign w:val="center"/>
          </w:tcPr>
          <w:p>
            <w:pPr>
              <w:ind w:left="-168" w:leftChars="-80" w:right="-168" w:rightChars="-80"/>
              <w:jc w:val="center"/>
              <w:rPr>
                <w:color w:val="auto"/>
                <w:szCs w:val="21"/>
              </w:rPr>
            </w:pPr>
          </w:p>
        </w:tc>
        <w:tc>
          <w:tcPr>
            <w:tcW w:w="2836" w:type="dxa"/>
            <w:tcBorders>
              <w:tl2br w:val="nil"/>
              <w:tr2bl w:val="nil"/>
            </w:tcBorders>
            <w:vAlign w:val="center"/>
          </w:tcPr>
          <w:p>
            <w:pPr>
              <w:widowControl/>
              <w:spacing w:line="360" w:lineRule="auto"/>
              <w:ind w:left="-168" w:leftChars="-80" w:right="-168" w:rightChars="-80"/>
              <w:jc w:val="center"/>
              <w:textAlignment w:val="center"/>
              <w:rPr>
                <w:b/>
                <w:bCs/>
                <w:color w:val="auto"/>
                <w:szCs w:val="21"/>
              </w:rPr>
            </w:pPr>
            <w:r>
              <w:rPr>
                <w:b/>
                <w:bCs/>
                <w:color w:val="auto"/>
                <w:szCs w:val="21"/>
              </w:rPr>
              <w:t>（0~</w:t>
            </w:r>
            <w:r>
              <w:rPr>
                <w:rFonts w:hint="eastAsia"/>
                <w:b/>
                <w:bCs/>
                <w:color w:val="auto"/>
                <w:szCs w:val="21"/>
              </w:rPr>
              <w:t>20</w:t>
            </w:r>
            <w:r>
              <w:rPr>
                <w:b/>
                <w:bCs/>
                <w:color w:val="auto"/>
                <w:szCs w:val="21"/>
              </w:rPr>
              <w:t>）cm</w:t>
            </w:r>
          </w:p>
        </w:tc>
        <w:tc>
          <w:tcPr>
            <w:tcW w:w="905" w:type="dxa"/>
            <w:tcBorders>
              <w:tl2br w:val="nil"/>
              <w:tr2bl w:val="nil"/>
            </w:tcBorders>
            <w:vAlign w:val="center"/>
          </w:tcPr>
          <w:p>
            <w:pPr>
              <w:widowControl/>
              <w:ind w:left="-168" w:leftChars="-80" w:right="-168" w:rightChars="-80"/>
              <w:jc w:val="center"/>
              <w:textAlignment w:val="center"/>
              <w:rPr>
                <w:rFonts w:hint="default" w:eastAsia="宋体"/>
                <w:b/>
                <w:bCs/>
                <w:color w:val="auto"/>
                <w:szCs w:val="21"/>
                <w:lang w:val="en-US" w:eastAsia="zh-CN"/>
              </w:rPr>
            </w:pPr>
            <w:r>
              <w:rPr>
                <w:rFonts w:hint="eastAsia"/>
                <w:b/>
                <w:bCs/>
                <w:color w:val="auto"/>
                <w:szCs w:val="21"/>
                <w:lang w:val="en-US" w:eastAsia="zh-CN"/>
              </w:rPr>
              <w:t>pH</w:t>
            </w:r>
            <w:r>
              <w:rPr>
                <w:rFonts w:hint="default" w:ascii="Arial" w:hAnsi="Arial" w:cs="Arial"/>
                <w:b/>
                <w:bCs/>
                <w:color w:val="auto"/>
                <w:szCs w:val="21"/>
                <w:lang w:val="en-US" w:eastAsia="zh-CN"/>
              </w:rPr>
              <w:t>≤</w:t>
            </w:r>
            <w:r>
              <w:rPr>
                <w:rFonts w:hint="eastAsia"/>
                <w:b/>
                <w:bCs/>
                <w:color w:val="auto"/>
                <w:szCs w:val="21"/>
                <w:lang w:val="en-US" w:eastAsia="zh-CN"/>
              </w:rPr>
              <w:t>5.5</w:t>
            </w:r>
          </w:p>
        </w:tc>
        <w:tc>
          <w:tcPr>
            <w:tcW w:w="908" w:type="dxa"/>
            <w:tcBorders>
              <w:tl2br w:val="nil"/>
              <w:tr2bl w:val="nil"/>
            </w:tcBorders>
            <w:vAlign w:val="center"/>
          </w:tcPr>
          <w:p>
            <w:pPr>
              <w:widowControl/>
              <w:ind w:left="-168" w:leftChars="-80" w:right="-168" w:rightChars="-80"/>
              <w:jc w:val="center"/>
              <w:textAlignment w:val="center"/>
              <w:rPr>
                <w:b/>
                <w:bCs/>
                <w:color w:val="auto"/>
                <w:szCs w:val="21"/>
              </w:rPr>
            </w:pPr>
            <w:r>
              <w:rPr>
                <w:rFonts w:hint="eastAsia"/>
                <w:b/>
                <w:bCs/>
                <w:color w:val="auto"/>
                <w:szCs w:val="21"/>
                <w:lang w:val="en-US" w:eastAsia="zh-CN"/>
              </w:rPr>
              <w:t>pH</w:t>
            </w:r>
            <w:r>
              <w:rPr>
                <w:rFonts w:hint="default" w:ascii="Arial" w:hAnsi="Arial" w:cs="Arial"/>
                <w:b/>
                <w:bCs/>
                <w:color w:val="auto"/>
                <w:szCs w:val="21"/>
                <w:lang w:val="en-US" w:eastAsia="zh-CN"/>
              </w:rPr>
              <w:t>≤</w:t>
            </w:r>
            <w:r>
              <w:rPr>
                <w:rFonts w:hint="eastAsia"/>
                <w:b/>
                <w:bCs/>
                <w:color w:val="auto"/>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restart"/>
            <w:tcBorders>
              <w:tl2br w:val="nil"/>
              <w:tr2bl w:val="nil"/>
            </w:tcBorders>
            <w:vAlign w:val="center"/>
          </w:tcPr>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p>
          <w:p>
            <w:pPr>
              <w:pStyle w:val="50"/>
              <w:ind w:left="-168" w:leftChars="-80" w:right="-168" w:rightChars="-80"/>
              <w:jc w:val="center"/>
              <w:rPr>
                <w:rFonts w:ascii="Times New Roman" w:hAnsi="Times New Roman" w:cs="Times New Roman"/>
                <w:color w:val="auto"/>
              </w:rPr>
            </w:pPr>
            <w:r>
              <w:rPr>
                <w:rFonts w:ascii="Times New Roman" w:hAnsi="Times New Roman" w:cs="Times New Roman"/>
                <w:color w:val="auto"/>
              </w:rPr>
              <w:t>2020-05-</w:t>
            </w:r>
            <w:r>
              <w:rPr>
                <w:rFonts w:hint="eastAsia" w:ascii="Times New Roman" w:hAnsi="Times New Roman" w:cs="Times New Roman"/>
                <w:color w:val="auto"/>
              </w:rPr>
              <w:t>18</w:t>
            </w:r>
          </w:p>
        </w:tc>
        <w:tc>
          <w:tcPr>
            <w:tcW w:w="2154" w:type="dxa"/>
            <w:tcBorders>
              <w:tl2br w:val="nil"/>
              <w:tr2bl w:val="nil"/>
            </w:tcBorders>
            <w:vAlign w:val="center"/>
          </w:tcPr>
          <w:p>
            <w:pPr>
              <w:jc w:val="center"/>
              <w:rPr>
                <w:color w:val="auto"/>
                <w:szCs w:val="21"/>
              </w:rPr>
            </w:pPr>
            <w:r>
              <w:rPr>
                <w:rFonts w:hint="eastAsia"/>
                <w:color w:val="auto"/>
                <w:szCs w:val="21"/>
              </w:rPr>
              <w:t>石油烃（C</w:t>
            </w:r>
            <w:r>
              <w:rPr>
                <w:rFonts w:hint="eastAsia"/>
                <w:color w:val="auto"/>
                <w:szCs w:val="21"/>
                <w:vertAlign w:val="subscript"/>
              </w:rPr>
              <w:t>10</w:t>
            </w:r>
            <w:r>
              <w:rPr>
                <w:rFonts w:hint="eastAsia"/>
                <w:color w:val="auto"/>
                <w:szCs w:val="21"/>
              </w:rPr>
              <w:t>-C</w:t>
            </w:r>
            <w:r>
              <w:rPr>
                <w:rFonts w:hint="eastAsia"/>
                <w:color w:val="auto"/>
                <w:szCs w:val="21"/>
                <w:vertAlign w:val="subscript"/>
              </w:rPr>
              <w:t>40</w:t>
            </w:r>
            <w:r>
              <w:rPr>
                <w:rFonts w:hint="eastAsia"/>
                <w:color w:val="auto"/>
                <w:szCs w:val="21"/>
              </w:rPr>
              <w:t>）</w:t>
            </w:r>
          </w:p>
        </w:tc>
        <w:tc>
          <w:tcPr>
            <w:tcW w:w="2836"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51</w:t>
            </w:r>
          </w:p>
        </w:tc>
        <w:tc>
          <w:tcPr>
            <w:tcW w:w="905" w:type="dxa"/>
            <w:tcBorders>
              <w:tl2br w:val="nil"/>
              <w:tr2bl w:val="nil"/>
            </w:tcBorders>
            <w:vAlign w:val="center"/>
          </w:tcPr>
          <w:p>
            <w:pPr>
              <w:widowControl/>
              <w:ind w:left="-168" w:leftChars="-80" w:right="-168" w:rightChars="-80"/>
              <w:jc w:val="center"/>
              <w:textAlignment w:val="center"/>
              <w:rPr>
                <w:color w:val="auto"/>
                <w:szCs w:val="21"/>
              </w:rPr>
            </w:pPr>
            <w:r>
              <w:rPr>
                <w:rFonts w:hint="eastAsia"/>
                <w:color w:val="auto"/>
                <w:szCs w:val="21"/>
                <w:lang w:eastAsia="zh-CN"/>
              </w:rPr>
              <w:t>—</w:t>
            </w:r>
          </w:p>
        </w:tc>
        <w:tc>
          <w:tcPr>
            <w:tcW w:w="908" w:type="dxa"/>
            <w:tcBorders>
              <w:tl2br w:val="nil"/>
              <w:tr2bl w:val="nil"/>
            </w:tcBorders>
            <w:vAlign w:val="center"/>
          </w:tcPr>
          <w:p>
            <w:pPr>
              <w:widowControl/>
              <w:ind w:left="-168" w:leftChars="-80" w:right="-168" w:rightChars="-80"/>
              <w:jc w:val="center"/>
              <w:textAlignment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砷</w:t>
            </w:r>
          </w:p>
        </w:tc>
        <w:tc>
          <w:tcPr>
            <w:tcW w:w="2836"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shd w:val="clear" w:color="FFFFFF" w:fill="D9D9D9"/>
              </w:rPr>
              <w:t>47.5</w:t>
            </w:r>
          </w:p>
        </w:tc>
        <w:tc>
          <w:tcPr>
            <w:tcW w:w="905" w:type="dxa"/>
            <w:tcBorders>
              <w:tl2br w:val="nil"/>
              <w:tr2bl w:val="nil"/>
            </w:tcBorders>
            <w:vAlign w:val="center"/>
          </w:tcPr>
          <w:p>
            <w:pPr>
              <w:widowControl/>
              <w:ind w:left="-168" w:leftChars="-80" w:right="-168" w:rightChars="-80"/>
              <w:jc w:val="center"/>
              <w:textAlignment w:val="center"/>
              <w:rPr>
                <w:rFonts w:hint="default" w:eastAsia="宋体"/>
                <w:color w:val="auto"/>
                <w:szCs w:val="21"/>
                <w:lang w:val="en-US" w:eastAsia="zh-CN"/>
              </w:rPr>
            </w:pPr>
            <w:r>
              <w:rPr>
                <w:rFonts w:hint="eastAsia"/>
                <w:color w:val="auto"/>
                <w:szCs w:val="21"/>
                <w:lang w:val="en-US" w:eastAsia="zh-CN"/>
              </w:rPr>
              <w:t>40</w:t>
            </w:r>
          </w:p>
        </w:tc>
        <w:tc>
          <w:tcPr>
            <w:tcW w:w="908" w:type="dxa"/>
            <w:tcBorders>
              <w:tl2br w:val="nil"/>
              <w:tr2bl w:val="nil"/>
            </w:tcBorders>
            <w:vAlign w:val="center"/>
          </w:tcPr>
          <w:p>
            <w:pPr>
              <w:widowControl/>
              <w:ind w:left="-168" w:leftChars="-80" w:right="-168" w:rightChars="-80"/>
              <w:jc w:val="center"/>
              <w:textAlignment w:val="center"/>
              <w:rPr>
                <w:rFonts w:hint="default"/>
                <w:color w:val="auto"/>
                <w:szCs w:val="21"/>
                <w:lang w:val="en-US" w:eastAsia="zh-CN"/>
              </w:rPr>
            </w:pPr>
            <w:r>
              <w:rPr>
                <w:rFonts w:hint="eastAsia"/>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2154" w:type="dxa"/>
            <w:tcBorders>
              <w:tl2br w:val="nil"/>
              <w:tr2bl w:val="nil"/>
            </w:tcBorders>
            <w:vAlign w:val="center"/>
          </w:tcPr>
          <w:p>
            <w:pPr>
              <w:jc w:val="center"/>
              <w:rPr>
                <w:color w:val="auto"/>
                <w:szCs w:val="21"/>
              </w:rPr>
            </w:pPr>
            <w:r>
              <w:rPr>
                <w:rFonts w:hint="eastAsia"/>
                <w:color w:val="auto"/>
                <w:szCs w:val="21"/>
              </w:rPr>
              <w:t>镉</w:t>
            </w:r>
          </w:p>
        </w:tc>
        <w:tc>
          <w:tcPr>
            <w:tcW w:w="2836"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0.3</w:t>
            </w:r>
          </w:p>
        </w:tc>
        <w:tc>
          <w:tcPr>
            <w:tcW w:w="908" w:type="dxa"/>
            <w:tcBorders>
              <w:tl2br w:val="nil"/>
              <w:tr2bl w:val="nil"/>
            </w:tcBorders>
            <w:vAlign w:val="center"/>
          </w:tcPr>
          <w:p>
            <w:pPr>
              <w:widowControl/>
              <w:ind w:left="-105" w:leftChars="-50" w:right="-105" w:rightChars="-50"/>
              <w:jc w:val="center"/>
              <w:textAlignment w:val="center"/>
              <w:rPr>
                <w:rFonts w:hint="default"/>
                <w:color w:val="auto"/>
                <w:szCs w:val="21"/>
                <w:lang w:val="en-US" w:eastAsia="zh-CN"/>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widowControl/>
              <w:ind w:left="-168" w:leftChars="-80" w:right="-168" w:rightChars="-80"/>
              <w:jc w:val="center"/>
              <w:textAlignment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铬（六价）</w:t>
            </w:r>
          </w:p>
        </w:tc>
        <w:tc>
          <w:tcPr>
            <w:tcW w:w="2836"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2.9</w:t>
            </w:r>
          </w:p>
        </w:tc>
        <w:tc>
          <w:tcPr>
            <w:tcW w:w="905"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150</w:t>
            </w:r>
          </w:p>
        </w:tc>
        <w:tc>
          <w:tcPr>
            <w:tcW w:w="908"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铜</w:t>
            </w:r>
          </w:p>
        </w:tc>
        <w:tc>
          <w:tcPr>
            <w:tcW w:w="2836" w:type="dxa"/>
            <w:tcBorders>
              <w:tl2br w:val="nil"/>
              <w:tr2bl w:val="nil"/>
            </w:tcBorders>
            <w:vAlign w:val="center"/>
          </w:tcPr>
          <w:p>
            <w:pPr>
              <w:widowControl/>
              <w:spacing w:line="360" w:lineRule="auto"/>
              <w:ind w:left="-168" w:leftChars="-80" w:right="-168" w:rightChars="-80"/>
              <w:jc w:val="center"/>
              <w:textAlignment w:val="center"/>
              <w:rPr>
                <w:color w:val="auto"/>
                <w:szCs w:val="21"/>
              </w:rPr>
            </w:pPr>
            <w:r>
              <w:rPr>
                <w:rFonts w:hint="eastAsia"/>
                <w:color w:val="auto"/>
                <w:szCs w:val="21"/>
              </w:rPr>
              <w:t>38</w:t>
            </w:r>
          </w:p>
        </w:tc>
        <w:tc>
          <w:tcPr>
            <w:tcW w:w="905" w:type="dxa"/>
            <w:tcBorders>
              <w:tl2br w:val="nil"/>
              <w:tr2bl w:val="nil"/>
            </w:tcBorders>
            <w:vAlign w:val="center"/>
          </w:tcPr>
          <w:p>
            <w:pPr>
              <w:widowControl/>
              <w:ind w:left="-105" w:leftChars="-50" w:right="-105" w:rightChars="-50"/>
              <w:jc w:val="center"/>
              <w:textAlignment w:val="center"/>
              <w:rPr>
                <w:rFonts w:hint="default" w:eastAsia="宋体"/>
                <w:color w:val="auto"/>
                <w:szCs w:val="21"/>
                <w:lang w:val="en-US" w:eastAsia="zh-CN"/>
              </w:rPr>
            </w:pPr>
            <w:r>
              <w:rPr>
                <w:rFonts w:hint="eastAsia"/>
                <w:color w:val="auto"/>
                <w:szCs w:val="21"/>
                <w:lang w:val="en-US" w:eastAsia="zh-CN"/>
              </w:rPr>
              <w:t>50</w:t>
            </w:r>
          </w:p>
        </w:tc>
        <w:tc>
          <w:tcPr>
            <w:tcW w:w="908" w:type="dxa"/>
            <w:tcBorders>
              <w:tl2br w:val="nil"/>
              <w:tr2bl w:val="nil"/>
            </w:tcBorders>
            <w:vAlign w:val="center"/>
          </w:tcPr>
          <w:p>
            <w:pPr>
              <w:widowControl/>
              <w:ind w:left="-105" w:leftChars="-50" w:right="-105" w:rightChars="-50"/>
              <w:jc w:val="center"/>
              <w:textAlignment w:val="center"/>
              <w:rPr>
                <w:rFonts w:hint="eastAsia" w:eastAsia="宋体"/>
                <w:color w:val="auto"/>
                <w:szCs w:val="21"/>
                <w:lang w:eastAsia="zh-CN"/>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铅</w:t>
            </w:r>
          </w:p>
        </w:tc>
        <w:tc>
          <w:tcPr>
            <w:tcW w:w="2836"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44.0</w:t>
            </w:r>
          </w:p>
        </w:tc>
        <w:tc>
          <w:tcPr>
            <w:tcW w:w="905"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70</w:t>
            </w:r>
          </w:p>
        </w:tc>
        <w:tc>
          <w:tcPr>
            <w:tcW w:w="908"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汞</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shd w:val="clear" w:color="FFFFFF" w:fill="D9D9D9"/>
              </w:rPr>
              <w:t>1.86</w:t>
            </w:r>
          </w:p>
        </w:tc>
        <w:tc>
          <w:tcPr>
            <w:tcW w:w="905"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1.3</w:t>
            </w:r>
          </w:p>
        </w:tc>
        <w:tc>
          <w:tcPr>
            <w:tcW w:w="908" w:type="dxa"/>
            <w:tcBorders>
              <w:tl2br w:val="nil"/>
              <w:tr2bl w:val="nil"/>
            </w:tcBorders>
            <w:vAlign w:val="center"/>
          </w:tcPr>
          <w:p>
            <w:pPr>
              <w:ind w:left="-105" w:leftChars="-50" w:right="-105" w:rightChars="-50"/>
              <w:jc w:val="center"/>
              <w:rPr>
                <w:rFonts w:hint="default"/>
                <w:color w:val="auto"/>
                <w:szCs w:val="21"/>
                <w:lang w:val="en-US" w:eastAsia="zh-CN"/>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镍</w:t>
            </w:r>
          </w:p>
        </w:tc>
        <w:tc>
          <w:tcPr>
            <w:tcW w:w="2836" w:type="dxa"/>
            <w:tcBorders>
              <w:tl2br w:val="nil"/>
              <w:tr2bl w:val="nil"/>
            </w:tcBorders>
            <w:vAlign w:val="center"/>
          </w:tcPr>
          <w:p>
            <w:pPr>
              <w:widowControl/>
              <w:spacing w:line="360" w:lineRule="auto"/>
              <w:ind w:left="-168" w:leftChars="-80" w:right="-168" w:rightChars="-80"/>
              <w:jc w:val="center"/>
              <w:textAlignment w:val="center"/>
              <w:rPr>
                <w:bCs/>
                <w:color w:val="auto"/>
                <w:szCs w:val="21"/>
              </w:rPr>
            </w:pPr>
            <w:r>
              <w:rPr>
                <w:rFonts w:hint="eastAsia"/>
                <w:color w:val="auto"/>
                <w:szCs w:val="21"/>
              </w:rPr>
              <w:t>36</w:t>
            </w:r>
          </w:p>
        </w:tc>
        <w:tc>
          <w:tcPr>
            <w:tcW w:w="905" w:type="dxa"/>
            <w:tcBorders>
              <w:tl2br w:val="nil"/>
              <w:tr2bl w:val="nil"/>
            </w:tcBorders>
            <w:vAlign w:val="center"/>
          </w:tcPr>
          <w:p>
            <w:pPr>
              <w:ind w:left="-105" w:leftChars="-50" w:right="-105" w:rightChars="-50"/>
              <w:jc w:val="center"/>
              <w:rPr>
                <w:rFonts w:hint="default"/>
                <w:color w:val="auto"/>
                <w:szCs w:val="21"/>
                <w:lang w:val="en-US"/>
              </w:rPr>
            </w:pPr>
            <w:r>
              <w:rPr>
                <w:rFonts w:hint="eastAsia"/>
                <w:color w:val="auto"/>
                <w:szCs w:val="21"/>
                <w:lang w:val="en-US" w:eastAsia="zh-CN"/>
              </w:rPr>
              <w:t>60</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四氯化碳</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氯仿</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0.0016</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氯甲烷</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1,1-二氯乙烷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68" w:leftChars="-80" w:right="-168" w:rightChars="-8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1,2-二氯乙烷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1,1-二氯乙烯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bCs/>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顺-1,2-二氯乙烯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反-1,2-二氯乙烯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二氯甲烷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0.0100</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1,2-二氯丙烷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1,1,1,2-四氯乙烷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1,1,2,2-四氯乙烷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四氯</w:t>
            </w:r>
            <w:r>
              <w:rPr>
                <w:rFonts w:hint="eastAsia"/>
                <w:color w:val="auto"/>
                <w:szCs w:val="21"/>
              </w:rPr>
              <w:t>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1,1,1-三氯乙烷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1,1,2-三氯乙烷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三氯乙烯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1,2,3-三氯丙烷</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氯苯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1,2-二氯苯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1,4-二氯苯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乙苯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苯乙烯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甲苯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间二甲苯+对二甲苯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邻二甲苯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bCs/>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硝基苯</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苯胺</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rFonts w:hint="eastAsia"/>
                <w:color w:val="auto"/>
                <w:szCs w:val="21"/>
              </w:rPr>
              <w:t>2-氯苯酚</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苯并[a]蒽</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苯并[a]芘</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rFonts w:hint="default" w:eastAsia="宋体"/>
                <w:color w:val="auto"/>
                <w:szCs w:val="21"/>
                <w:lang w:val="en-US" w:eastAsia="zh-CN"/>
              </w:rPr>
            </w:pPr>
            <w:r>
              <w:rPr>
                <w:rFonts w:hint="eastAsia"/>
                <w:color w:val="auto"/>
                <w:szCs w:val="21"/>
                <w:lang w:val="en-US" w:eastAsia="zh-CN"/>
              </w:rPr>
              <w:t>0.55</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苯并[</w:t>
            </w:r>
            <w:r>
              <w:rPr>
                <w:rFonts w:hint="eastAsia"/>
                <w:color w:val="auto"/>
                <w:szCs w:val="21"/>
              </w:rPr>
              <w:t>b</w:t>
            </w:r>
            <w:r>
              <w:rPr>
                <w:color w:val="auto"/>
                <w:szCs w:val="21"/>
              </w:rPr>
              <w:t>]荧蒽</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苯并[k]荧蒽</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䓛</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二苯并[a，h]蒽</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茚并[1,2,3-cd]芘</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color w:val="auto"/>
                <w:szCs w:val="21"/>
              </w:rPr>
              <w:t>萘</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ND</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vMerge w:val="continue"/>
            <w:tcBorders>
              <w:tl2br w:val="nil"/>
              <w:tr2bl w:val="nil"/>
            </w:tcBorders>
            <w:vAlign w:val="center"/>
          </w:tcPr>
          <w:p>
            <w:pPr>
              <w:ind w:left="-126" w:leftChars="-80" w:right="-168" w:rightChars="-80" w:hanging="42" w:hangingChars="20"/>
              <w:jc w:val="center"/>
              <w:rPr>
                <w:color w:val="auto"/>
                <w:szCs w:val="21"/>
              </w:rPr>
            </w:pPr>
          </w:p>
        </w:tc>
        <w:tc>
          <w:tcPr>
            <w:tcW w:w="2154" w:type="dxa"/>
            <w:tcBorders>
              <w:tl2br w:val="nil"/>
              <w:tr2bl w:val="nil"/>
            </w:tcBorders>
            <w:vAlign w:val="center"/>
          </w:tcPr>
          <w:p>
            <w:pPr>
              <w:jc w:val="center"/>
              <w:rPr>
                <w:color w:val="auto"/>
                <w:szCs w:val="21"/>
              </w:rPr>
            </w:pPr>
            <w:r>
              <w:rPr>
                <w:rFonts w:hint="eastAsia" w:ascii="宋体" w:hAnsi="宋体"/>
                <w:color w:val="auto"/>
                <w:szCs w:val="21"/>
              </w:rPr>
              <w:t>pH值</w:t>
            </w:r>
          </w:p>
        </w:tc>
        <w:tc>
          <w:tcPr>
            <w:tcW w:w="2836" w:type="dxa"/>
            <w:tcBorders>
              <w:tl2br w:val="nil"/>
              <w:tr2bl w:val="nil"/>
            </w:tcBorders>
            <w:vAlign w:val="center"/>
          </w:tcPr>
          <w:p>
            <w:pPr>
              <w:widowControl/>
              <w:spacing w:line="360" w:lineRule="auto"/>
              <w:ind w:left="-105" w:leftChars="-50" w:right="-105" w:rightChars="-50"/>
              <w:jc w:val="center"/>
              <w:textAlignment w:val="center"/>
              <w:rPr>
                <w:color w:val="auto"/>
                <w:szCs w:val="21"/>
              </w:rPr>
            </w:pPr>
            <w:r>
              <w:rPr>
                <w:rFonts w:hint="eastAsia"/>
                <w:color w:val="auto"/>
                <w:szCs w:val="21"/>
              </w:rPr>
              <w:t>4.88</w:t>
            </w:r>
          </w:p>
        </w:tc>
        <w:tc>
          <w:tcPr>
            <w:tcW w:w="905" w:type="dxa"/>
            <w:tcBorders>
              <w:tl2br w:val="nil"/>
              <w:tr2bl w:val="nil"/>
            </w:tcBorders>
            <w:vAlign w:val="center"/>
          </w:tcPr>
          <w:p>
            <w:pPr>
              <w:ind w:left="-105" w:leftChars="-50" w:right="-105" w:rightChars="-50"/>
              <w:jc w:val="center"/>
              <w:rPr>
                <w:color w:val="auto"/>
                <w:szCs w:val="21"/>
              </w:rPr>
            </w:pPr>
            <w:r>
              <w:rPr>
                <w:rFonts w:hint="eastAsia"/>
                <w:color w:val="auto"/>
                <w:szCs w:val="21"/>
                <w:lang w:eastAsia="zh-CN"/>
              </w:rPr>
              <w:t>—</w:t>
            </w:r>
          </w:p>
        </w:tc>
        <w:tc>
          <w:tcPr>
            <w:tcW w:w="908" w:type="dxa"/>
            <w:tcBorders>
              <w:tl2br w:val="nil"/>
              <w:tr2bl w:val="nil"/>
            </w:tcBorders>
            <w:vAlign w:val="center"/>
          </w:tcPr>
          <w:p>
            <w:pPr>
              <w:ind w:left="-105" w:leftChars="-50" w:right="-105" w:rightChars="-50"/>
              <w:jc w:val="center"/>
              <w:rPr>
                <w:rFonts w:hint="eastAsia"/>
                <w:color w:val="auto"/>
                <w:szCs w:val="21"/>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tcBorders>
              <w:tl2br w:val="nil"/>
              <w:tr2bl w:val="nil"/>
            </w:tcBorders>
            <w:vAlign w:val="center"/>
          </w:tcPr>
          <w:p>
            <w:pPr>
              <w:ind w:left="-126" w:leftChars="-80" w:right="-168" w:rightChars="-80" w:hanging="42" w:hangingChars="20"/>
              <w:jc w:val="center"/>
              <w:rPr>
                <w:color w:val="auto"/>
                <w:szCs w:val="21"/>
              </w:rPr>
            </w:pPr>
            <w:r>
              <w:rPr>
                <w:color w:val="auto"/>
                <w:szCs w:val="21"/>
              </w:rPr>
              <w:t>执行标准</w:t>
            </w:r>
          </w:p>
        </w:tc>
        <w:tc>
          <w:tcPr>
            <w:tcW w:w="6803" w:type="dxa"/>
            <w:gridSpan w:val="4"/>
            <w:tcBorders>
              <w:tl2br w:val="nil"/>
              <w:tr2bl w:val="nil"/>
            </w:tcBorders>
            <w:vAlign w:val="center"/>
          </w:tcPr>
          <w:p>
            <w:pPr>
              <w:rPr>
                <w:rFonts w:hint="eastAsia"/>
                <w:color w:val="auto"/>
                <w:szCs w:val="21"/>
              </w:rPr>
            </w:pPr>
            <w:r>
              <w:rPr>
                <w:rFonts w:hint="eastAsia"/>
                <w:color w:val="auto"/>
                <w:szCs w:val="21"/>
              </w:rPr>
              <w:t>《土壤环境质量 农用地土壤污染风险管控标准（试行）》（GB 15618-2018）</w:t>
            </w:r>
            <w:r>
              <w:rPr>
                <w:rFonts w:hint="eastAsia"/>
                <w:color w:val="auto"/>
                <w:szCs w:val="21"/>
                <w:lang w:val="en-US" w:eastAsia="zh-CN"/>
              </w:rPr>
              <w:t>其他类</w:t>
            </w:r>
            <w:r>
              <w:rPr>
                <w:color w:val="auto"/>
                <w:szCs w:val="21"/>
              </w:rPr>
              <w:t>风险筛选值</w:t>
            </w:r>
            <w:r>
              <w:rPr>
                <w:rFonts w:hint="eastAsia"/>
                <w:color w:val="auto"/>
                <w:szCs w:val="21"/>
                <w:lang w:eastAsia="zh-CN"/>
              </w:rPr>
              <w:t>（</w:t>
            </w:r>
            <w:r>
              <w:rPr>
                <w:rFonts w:hint="eastAsia"/>
                <w:color w:val="auto"/>
                <w:szCs w:val="21"/>
                <w:lang w:val="en-US" w:eastAsia="zh-CN"/>
              </w:rPr>
              <w:t>基本项目、其他项目</w:t>
            </w:r>
            <w:r>
              <w:rPr>
                <w:rFonts w:hint="eastAsia"/>
                <w:color w:val="auto"/>
                <w:szCs w:val="21"/>
                <w:lang w:eastAsia="zh-CN"/>
              </w:rPr>
              <w:t>）、</w:t>
            </w:r>
            <w:r>
              <w:rPr>
                <w:color w:val="auto"/>
                <w:szCs w:val="21"/>
              </w:rPr>
              <w:t>和</w:t>
            </w:r>
            <w:r>
              <w:rPr>
                <w:rFonts w:hint="eastAsia"/>
                <w:color w:val="auto"/>
                <w:szCs w:val="21"/>
                <w:lang w:val="en-US" w:eastAsia="zh-CN"/>
              </w:rPr>
              <w:t>风险</w:t>
            </w:r>
            <w:r>
              <w:rPr>
                <w:color w:val="auto"/>
                <w:szCs w:val="21"/>
              </w:rPr>
              <w:t>管制值</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8" w:hRule="atLeast"/>
        </w:trPr>
        <w:tc>
          <w:tcPr>
            <w:tcW w:w="1716" w:type="dxa"/>
            <w:tcBorders>
              <w:tl2br w:val="nil"/>
              <w:tr2bl w:val="nil"/>
            </w:tcBorders>
            <w:vAlign w:val="center"/>
          </w:tcPr>
          <w:p>
            <w:pPr>
              <w:ind w:left="-126" w:leftChars="-80" w:right="-168" w:rightChars="-80" w:hanging="42" w:hangingChars="20"/>
              <w:jc w:val="center"/>
              <w:rPr>
                <w:color w:val="auto"/>
                <w:szCs w:val="21"/>
              </w:rPr>
            </w:pPr>
            <w:r>
              <w:rPr>
                <w:color w:val="auto"/>
                <w:szCs w:val="21"/>
              </w:rPr>
              <w:t>备注</w:t>
            </w:r>
          </w:p>
        </w:tc>
        <w:tc>
          <w:tcPr>
            <w:tcW w:w="6803" w:type="dxa"/>
            <w:gridSpan w:val="4"/>
            <w:tcBorders>
              <w:tl2br w:val="nil"/>
              <w:tr2bl w:val="nil"/>
            </w:tcBorders>
            <w:vAlign w:val="center"/>
          </w:tcPr>
          <w:p>
            <w:pPr>
              <w:widowControl/>
              <w:textAlignment w:val="center"/>
              <w:rPr>
                <w:color w:val="auto"/>
              </w:rPr>
            </w:pPr>
            <w:r>
              <w:rPr>
                <w:color w:val="auto"/>
                <w:szCs w:val="21"/>
              </w:rPr>
              <w:t>1.“</w:t>
            </w:r>
            <w:r>
              <w:rPr>
                <w:rFonts w:hint="eastAsia"/>
                <w:color w:val="auto"/>
                <w:szCs w:val="21"/>
                <w:lang w:eastAsia="zh-CN"/>
              </w:rPr>
              <w:t>—</w:t>
            </w:r>
            <w:r>
              <w:rPr>
                <w:color w:val="auto"/>
                <w:szCs w:val="21"/>
              </w:rPr>
              <w:t>”表示标准未对该项目限值作出要求</w:t>
            </w:r>
            <w:r>
              <w:rPr>
                <w:rFonts w:hint="eastAsia"/>
                <w:color w:val="auto"/>
                <w:szCs w:val="21"/>
              </w:rPr>
              <w:t>；</w:t>
            </w:r>
          </w:p>
          <w:p>
            <w:pPr>
              <w:widowControl/>
              <w:textAlignment w:val="center"/>
              <w:rPr>
                <w:color w:val="auto"/>
              </w:rPr>
            </w:pPr>
            <w:r>
              <w:rPr>
                <w:color w:val="auto"/>
                <w:szCs w:val="21"/>
              </w:rPr>
              <w:t>2“</w:t>
            </w:r>
            <w:r>
              <w:rPr>
                <w:color w:val="auto"/>
              </w:rPr>
              <w:t>ND</w:t>
            </w:r>
            <w:r>
              <w:rPr>
                <w:color w:val="auto"/>
                <w:szCs w:val="21"/>
              </w:rPr>
              <w:t>”</w:t>
            </w:r>
            <w:r>
              <w:rPr>
                <w:color w:val="auto"/>
              </w:rPr>
              <w:t>表示检测结果低于方法最低检出限；</w:t>
            </w:r>
          </w:p>
          <w:p>
            <w:pPr>
              <w:rPr>
                <w:rFonts w:hint="eastAsia"/>
                <w:color w:val="auto"/>
                <w:szCs w:val="21"/>
              </w:rPr>
            </w:pPr>
            <w:r>
              <w:rPr>
                <w:color w:val="auto"/>
              </w:rPr>
              <w:t>3.监测期间天气状况</w:t>
            </w:r>
            <w:r>
              <w:rPr>
                <w:rFonts w:hint="eastAsia"/>
                <w:color w:val="auto"/>
              </w:rPr>
              <w:t>：晴</w:t>
            </w:r>
            <w:r>
              <w:rPr>
                <w:color w:val="auto"/>
              </w:rPr>
              <w:t>。</w:t>
            </w:r>
          </w:p>
        </w:tc>
      </w:tr>
    </w:tbl>
    <w:p>
      <w:pPr>
        <w:pStyle w:val="13"/>
        <w:rPr>
          <w:rFonts w:ascii="Times New Roman" w:hAnsi="Times New Roman"/>
          <w:b/>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spacing w:before="159" w:beforeLines="50" w:line="360" w:lineRule="auto"/>
        <w:jc w:val="center"/>
        <w:rPr>
          <w:b/>
          <w:color w:val="auto"/>
          <w:szCs w:val="21"/>
        </w:rPr>
      </w:pPr>
      <w:bookmarkStart w:id="574" w:name="_Ref4231094"/>
      <w:r>
        <w:rPr>
          <w:b/>
          <w:color w:val="auto"/>
          <w:szCs w:val="21"/>
        </w:rPr>
        <w:t>表</w:t>
      </w:r>
      <w:bookmarkEnd w:id="574"/>
      <w:r>
        <w:rPr>
          <w:rFonts w:hint="eastAsia"/>
          <w:b/>
          <w:color w:val="auto"/>
          <w:szCs w:val="21"/>
        </w:rPr>
        <w:t>5.8</w:t>
      </w:r>
      <w:r>
        <w:rPr>
          <w:b/>
          <w:color w:val="auto"/>
          <w:szCs w:val="21"/>
        </w:rPr>
        <w:t>-4</w:t>
      </w:r>
      <w:r>
        <w:rPr>
          <w:rFonts w:hint="eastAsia"/>
          <w:b/>
          <w:color w:val="auto"/>
          <w:szCs w:val="21"/>
        </w:rPr>
        <w:t xml:space="preserve">  </w:t>
      </w:r>
      <w:r>
        <w:rPr>
          <w:b/>
          <w:color w:val="auto"/>
          <w:szCs w:val="21"/>
        </w:rPr>
        <w:t>土壤环境现状监测结</w:t>
      </w:r>
      <w:r>
        <w:rPr>
          <w:rFonts w:hint="eastAsia"/>
          <w:b/>
          <w:color w:val="auto"/>
          <w:szCs w:val="21"/>
        </w:rPr>
        <w:t>统计表</w:t>
      </w:r>
    </w:p>
    <w:tbl>
      <w:tblPr>
        <w:tblStyle w:val="23"/>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2"/>
        <w:gridCol w:w="1245"/>
        <w:gridCol w:w="1245"/>
        <w:gridCol w:w="1245"/>
        <w:gridCol w:w="1245"/>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292" w:type="dxa"/>
            <w:vAlign w:val="center"/>
          </w:tcPr>
          <w:p>
            <w:pPr>
              <w:widowControl/>
              <w:spacing w:line="300" w:lineRule="auto"/>
              <w:jc w:val="center"/>
              <w:rPr>
                <w:color w:val="auto"/>
                <w:kern w:val="0"/>
                <w:szCs w:val="21"/>
              </w:rPr>
            </w:pPr>
            <w:r>
              <w:rPr>
                <w:color w:val="auto"/>
                <w:kern w:val="0"/>
                <w:szCs w:val="21"/>
              </w:rPr>
              <w:t>监测项目</w:t>
            </w:r>
          </w:p>
        </w:tc>
        <w:tc>
          <w:tcPr>
            <w:tcW w:w="1245" w:type="dxa"/>
            <w:vAlign w:val="center"/>
          </w:tcPr>
          <w:p>
            <w:pPr>
              <w:widowControl/>
              <w:spacing w:line="300" w:lineRule="auto"/>
              <w:jc w:val="center"/>
              <w:rPr>
                <w:color w:val="auto"/>
                <w:kern w:val="0"/>
                <w:szCs w:val="21"/>
              </w:rPr>
            </w:pPr>
            <w:r>
              <w:rPr>
                <w:color w:val="auto"/>
                <w:kern w:val="0"/>
                <w:szCs w:val="21"/>
              </w:rPr>
              <w:t>T1</w:t>
            </w:r>
          </w:p>
        </w:tc>
        <w:tc>
          <w:tcPr>
            <w:tcW w:w="1245" w:type="dxa"/>
            <w:vAlign w:val="center"/>
          </w:tcPr>
          <w:p>
            <w:pPr>
              <w:widowControl/>
              <w:spacing w:line="300" w:lineRule="auto"/>
              <w:jc w:val="center"/>
              <w:rPr>
                <w:color w:val="auto"/>
                <w:kern w:val="0"/>
                <w:szCs w:val="21"/>
              </w:rPr>
            </w:pPr>
            <w:r>
              <w:rPr>
                <w:color w:val="auto"/>
                <w:kern w:val="0"/>
                <w:szCs w:val="21"/>
              </w:rPr>
              <w:t>T2</w:t>
            </w:r>
          </w:p>
        </w:tc>
        <w:tc>
          <w:tcPr>
            <w:tcW w:w="1245" w:type="dxa"/>
            <w:vAlign w:val="center"/>
          </w:tcPr>
          <w:p>
            <w:pPr>
              <w:widowControl/>
              <w:spacing w:line="300" w:lineRule="auto"/>
              <w:jc w:val="center"/>
              <w:rPr>
                <w:color w:val="auto"/>
                <w:kern w:val="0"/>
                <w:szCs w:val="21"/>
              </w:rPr>
            </w:pPr>
            <w:r>
              <w:rPr>
                <w:color w:val="auto"/>
                <w:kern w:val="0"/>
                <w:szCs w:val="21"/>
              </w:rPr>
              <w:t>T3</w:t>
            </w:r>
          </w:p>
        </w:tc>
        <w:tc>
          <w:tcPr>
            <w:tcW w:w="1245" w:type="dxa"/>
            <w:vAlign w:val="center"/>
          </w:tcPr>
          <w:p>
            <w:pPr>
              <w:widowControl/>
              <w:spacing w:line="300" w:lineRule="auto"/>
              <w:jc w:val="center"/>
              <w:rPr>
                <w:color w:val="auto"/>
                <w:kern w:val="0"/>
                <w:szCs w:val="21"/>
              </w:rPr>
            </w:pPr>
            <w:r>
              <w:rPr>
                <w:color w:val="auto"/>
                <w:kern w:val="0"/>
                <w:szCs w:val="21"/>
              </w:rPr>
              <w:t>T4</w:t>
            </w:r>
          </w:p>
        </w:tc>
        <w:tc>
          <w:tcPr>
            <w:tcW w:w="1248" w:type="dxa"/>
            <w:vAlign w:val="center"/>
          </w:tcPr>
          <w:p>
            <w:pPr>
              <w:widowControl/>
              <w:spacing w:line="300" w:lineRule="auto"/>
              <w:jc w:val="center"/>
              <w:rPr>
                <w:color w:val="auto"/>
                <w:kern w:val="0"/>
                <w:szCs w:val="21"/>
              </w:rPr>
            </w:pPr>
            <w:r>
              <w:rPr>
                <w:color w:val="auto"/>
                <w:kern w:val="0"/>
                <w:szCs w:val="21"/>
              </w:rPr>
              <w:t>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rFonts w:hint="eastAsia"/>
                <w:color w:val="auto"/>
                <w:szCs w:val="21"/>
              </w:rPr>
              <w:t>石油烃（C</w:t>
            </w:r>
            <w:r>
              <w:rPr>
                <w:rFonts w:hint="eastAsia"/>
                <w:color w:val="auto"/>
                <w:szCs w:val="21"/>
                <w:vertAlign w:val="subscript"/>
              </w:rPr>
              <w:t>10</w:t>
            </w:r>
            <w:r>
              <w:rPr>
                <w:rFonts w:hint="eastAsia"/>
                <w:color w:val="auto"/>
                <w:szCs w:val="21"/>
              </w:rPr>
              <w:t>-C</w:t>
            </w:r>
            <w:r>
              <w:rPr>
                <w:rFonts w:hint="eastAsia"/>
                <w:color w:val="auto"/>
                <w:szCs w:val="21"/>
                <w:vertAlign w:val="subscript"/>
              </w:rPr>
              <w:t>40</w:t>
            </w:r>
            <w:r>
              <w:rPr>
                <w:rFonts w:hint="eastAsia"/>
                <w:color w:val="auto"/>
                <w:szCs w:val="21"/>
              </w:rPr>
              <w:t>）</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砷</w:t>
            </w:r>
          </w:p>
        </w:tc>
        <w:tc>
          <w:tcPr>
            <w:tcW w:w="1245" w:type="dxa"/>
            <w:vAlign w:val="center"/>
          </w:tcPr>
          <w:p>
            <w:pPr>
              <w:widowControl/>
              <w:spacing w:line="300" w:lineRule="auto"/>
              <w:jc w:val="center"/>
              <w:rPr>
                <w:color w:val="auto"/>
                <w:kern w:val="0"/>
                <w:szCs w:val="21"/>
                <w:shd w:val="clear" w:color="FFFFFF" w:fill="D9D9D9"/>
              </w:rPr>
            </w:pPr>
            <w:r>
              <w:rPr>
                <w:rFonts w:hint="eastAsia"/>
                <w:color w:val="auto"/>
                <w:kern w:val="0"/>
                <w:szCs w:val="21"/>
                <w:shd w:val="clear" w:color="FFFFFF" w:fill="D9D9D9"/>
                <w:lang w:val="en-US" w:eastAsia="zh-CN"/>
              </w:rPr>
              <w:t>不</w:t>
            </w:r>
            <w:r>
              <w:rPr>
                <w:rFonts w:hint="eastAsia"/>
                <w:color w:val="auto"/>
                <w:kern w:val="0"/>
                <w:szCs w:val="21"/>
                <w:shd w:val="clear" w:color="FFFFFF" w:fill="D9D9D9"/>
              </w:rPr>
              <w:t>达标</w:t>
            </w:r>
          </w:p>
        </w:tc>
        <w:tc>
          <w:tcPr>
            <w:tcW w:w="1245" w:type="dxa"/>
            <w:vAlign w:val="center"/>
          </w:tcPr>
          <w:p>
            <w:pPr>
              <w:widowControl/>
              <w:spacing w:line="300" w:lineRule="auto"/>
              <w:jc w:val="center"/>
              <w:rPr>
                <w:color w:val="auto"/>
                <w:kern w:val="0"/>
                <w:szCs w:val="21"/>
                <w:shd w:val="clear" w:color="FFFFFF" w:fill="D9D9D9"/>
              </w:rPr>
            </w:pPr>
            <w:r>
              <w:rPr>
                <w:rFonts w:hint="eastAsia"/>
                <w:color w:val="auto"/>
                <w:kern w:val="0"/>
                <w:szCs w:val="21"/>
                <w:shd w:val="clear" w:color="FFFFFF" w:fill="D9D9D9"/>
                <w:lang w:val="en-US" w:eastAsia="zh-CN"/>
              </w:rPr>
              <w:t>不</w:t>
            </w:r>
            <w:r>
              <w:rPr>
                <w:rFonts w:hint="eastAsia"/>
                <w:color w:val="auto"/>
                <w:kern w:val="0"/>
                <w:szCs w:val="21"/>
                <w:shd w:val="clear" w:color="FFFFFF" w:fill="D9D9D9"/>
              </w:rPr>
              <w:t>达标</w:t>
            </w:r>
          </w:p>
        </w:tc>
        <w:tc>
          <w:tcPr>
            <w:tcW w:w="1245" w:type="dxa"/>
            <w:vAlign w:val="center"/>
          </w:tcPr>
          <w:p>
            <w:pPr>
              <w:widowControl/>
              <w:spacing w:line="300" w:lineRule="auto"/>
              <w:jc w:val="center"/>
              <w:rPr>
                <w:color w:val="auto"/>
                <w:kern w:val="0"/>
                <w:szCs w:val="21"/>
                <w:shd w:val="clear" w:color="FFFFFF" w:fill="D9D9D9"/>
              </w:rPr>
            </w:pPr>
            <w:r>
              <w:rPr>
                <w:rFonts w:hint="eastAsia"/>
                <w:color w:val="auto"/>
                <w:kern w:val="0"/>
                <w:szCs w:val="21"/>
                <w:shd w:val="clear" w:color="FFFFFF" w:fill="D9D9D9"/>
                <w:lang w:val="en-US" w:eastAsia="zh-CN"/>
              </w:rPr>
              <w:t>不</w:t>
            </w:r>
            <w:r>
              <w:rPr>
                <w:rFonts w:hint="eastAsia"/>
                <w:color w:val="auto"/>
                <w:kern w:val="0"/>
                <w:szCs w:val="21"/>
                <w:shd w:val="clear" w:color="FFFFFF" w:fill="D9D9D9"/>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shd w:val="clear" w:color="FFFFFF" w:fill="D9D9D9"/>
                <w:lang w:val="en-US" w:eastAsia="zh-CN"/>
              </w:rPr>
              <w:t>不</w:t>
            </w:r>
            <w:r>
              <w:rPr>
                <w:rFonts w:hint="eastAsia"/>
                <w:color w:val="auto"/>
                <w:kern w:val="0"/>
                <w:szCs w:val="21"/>
                <w:shd w:val="clear" w:color="FFFFFF" w:fill="D9D9D9"/>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rFonts w:hint="eastAsia"/>
                <w:color w:val="auto"/>
                <w:szCs w:val="21"/>
              </w:rPr>
              <w:t>镉</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铬（六价）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8" w:type="dxa"/>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铜</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铅</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汞</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shd w:val="clear" w:color="FFFFFF" w:fill="D9D9D9"/>
                <w:lang w:val="en-US" w:eastAsia="zh-CN"/>
              </w:rPr>
              <w:t>不</w:t>
            </w:r>
            <w:r>
              <w:rPr>
                <w:rFonts w:hint="eastAsia"/>
                <w:color w:val="auto"/>
                <w:kern w:val="0"/>
                <w:szCs w:val="21"/>
                <w:shd w:val="clear" w:color="FFFFFF" w:fill="D9D9D9"/>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镍</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四氯化碳</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氯仿</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氯甲烷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1,1-二氯乙烷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1,2-二氯乙烷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8" w:type="dxa"/>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1,1-二氯乙烯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顺-1,2-二氯乙烯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反-1,2-二氯乙烯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二氯甲烷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1,2-二氯丙烷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1,1,1,2-四氯乙烷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1,1,2,2-四氯乙烷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四氯</w:t>
            </w:r>
            <w:r>
              <w:rPr>
                <w:rFonts w:hint="eastAsia"/>
                <w:color w:val="auto"/>
                <w:szCs w:val="21"/>
              </w:rPr>
              <w:t>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1,1,1-三氯乙烷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1,1,2-三氯乙烷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三氯乙烯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1,2,3-三氯丙烷</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氯苯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1,2-二氯苯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1,4-二氯苯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乙苯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苯乙烯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甲苯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间二甲苯+对二甲苯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邻二甲苯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硝基苯</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苯胺</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rFonts w:hint="eastAsia"/>
                <w:color w:val="auto"/>
                <w:szCs w:val="21"/>
              </w:rPr>
              <w:t>2-氯苯酚</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苯并[a]蒽</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苯并[a]芘</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苯并[</w:t>
            </w:r>
            <w:r>
              <w:rPr>
                <w:rFonts w:hint="eastAsia"/>
                <w:color w:val="auto"/>
                <w:szCs w:val="21"/>
              </w:rPr>
              <w:t>b</w:t>
            </w:r>
            <w:r>
              <w:rPr>
                <w:color w:val="auto"/>
                <w:szCs w:val="21"/>
              </w:rPr>
              <w:t>]荧蒽</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8" w:type="dxa"/>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苯并[k]荧蒽</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䓛</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二苯并[a，h]蒽</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8" w:type="dxa"/>
            <w:vAlign w:val="center"/>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rPr>
            </w:pPr>
            <w:r>
              <w:rPr>
                <w:color w:val="auto"/>
                <w:szCs w:val="21"/>
              </w:rPr>
              <w:t>茚并[1,2,3-cd]芘</w:t>
            </w:r>
          </w:p>
        </w:tc>
        <w:tc>
          <w:tcPr>
            <w:tcW w:w="1245" w:type="dxa"/>
            <w:vAlign w:val="center"/>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5" w:type="dxa"/>
          </w:tcPr>
          <w:p>
            <w:pPr>
              <w:widowControl/>
              <w:spacing w:line="300" w:lineRule="auto"/>
              <w:jc w:val="center"/>
              <w:rPr>
                <w:color w:val="auto"/>
                <w:kern w:val="0"/>
                <w:szCs w:val="21"/>
              </w:rPr>
            </w:pPr>
            <w:r>
              <w:rPr>
                <w:rFonts w:hint="eastAsia"/>
                <w:color w:val="auto"/>
                <w:kern w:val="0"/>
                <w:szCs w:val="21"/>
              </w:rPr>
              <w:t>达标</w:t>
            </w:r>
          </w:p>
        </w:tc>
        <w:tc>
          <w:tcPr>
            <w:tcW w:w="1248" w:type="dxa"/>
          </w:tcPr>
          <w:p>
            <w:pPr>
              <w:widowControl/>
              <w:spacing w:line="300" w:lineRule="auto"/>
              <w:jc w:val="center"/>
              <w:rPr>
                <w:color w:val="auto"/>
                <w:kern w:val="0"/>
                <w:szCs w:val="21"/>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kern w:val="0"/>
                <w:szCs w:val="21"/>
                <w:u w:val="single"/>
              </w:rPr>
            </w:pPr>
            <w:r>
              <w:rPr>
                <w:color w:val="auto"/>
                <w:szCs w:val="21"/>
              </w:rPr>
              <w:t>萘</w:t>
            </w:r>
          </w:p>
        </w:tc>
        <w:tc>
          <w:tcPr>
            <w:tcW w:w="1245" w:type="dxa"/>
            <w:vAlign w:val="center"/>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8" w:type="dxa"/>
          </w:tcPr>
          <w:p>
            <w:pPr>
              <w:widowControl/>
              <w:spacing w:line="300" w:lineRule="auto"/>
              <w:jc w:val="center"/>
              <w:rPr>
                <w:color w:val="auto"/>
                <w:szCs w:val="21"/>
                <w:u w:val="single"/>
              </w:rPr>
            </w:pPr>
            <w:r>
              <w:rPr>
                <w:rFonts w:hint="eastAsia"/>
                <w:color w:val="auto"/>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292" w:type="dxa"/>
            <w:vAlign w:val="center"/>
          </w:tcPr>
          <w:p>
            <w:pPr>
              <w:spacing w:line="300" w:lineRule="auto"/>
              <w:jc w:val="center"/>
              <w:rPr>
                <w:color w:val="auto"/>
                <w:szCs w:val="21"/>
              </w:rPr>
            </w:pPr>
            <w:r>
              <w:rPr>
                <w:rFonts w:hint="eastAsia"/>
                <w:color w:val="auto"/>
                <w:szCs w:val="21"/>
              </w:rPr>
              <w:t>Ph值</w:t>
            </w:r>
          </w:p>
        </w:tc>
        <w:tc>
          <w:tcPr>
            <w:tcW w:w="1245" w:type="dxa"/>
            <w:vAlign w:val="center"/>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5" w:type="dxa"/>
          </w:tcPr>
          <w:p>
            <w:pPr>
              <w:widowControl/>
              <w:spacing w:line="300" w:lineRule="auto"/>
              <w:jc w:val="center"/>
              <w:rPr>
                <w:color w:val="auto"/>
                <w:szCs w:val="21"/>
                <w:u w:val="single"/>
              </w:rPr>
            </w:pPr>
            <w:r>
              <w:rPr>
                <w:rFonts w:hint="eastAsia"/>
                <w:color w:val="auto"/>
                <w:kern w:val="0"/>
                <w:szCs w:val="21"/>
              </w:rPr>
              <w:t>达标</w:t>
            </w:r>
          </w:p>
        </w:tc>
        <w:tc>
          <w:tcPr>
            <w:tcW w:w="1248" w:type="dxa"/>
          </w:tcPr>
          <w:p>
            <w:pPr>
              <w:widowControl/>
              <w:spacing w:line="300" w:lineRule="auto"/>
              <w:jc w:val="center"/>
              <w:rPr>
                <w:color w:val="auto"/>
                <w:szCs w:val="21"/>
                <w:u w:val="single"/>
              </w:rPr>
            </w:pPr>
            <w:r>
              <w:rPr>
                <w:rFonts w:hint="eastAsia"/>
                <w:color w:val="auto"/>
                <w:kern w:val="0"/>
                <w:szCs w:val="21"/>
              </w:rPr>
              <w:t>达标</w:t>
            </w:r>
          </w:p>
        </w:tc>
      </w:tr>
    </w:tbl>
    <w:p>
      <w:pPr>
        <w:tabs>
          <w:tab w:val="left" w:pos="360"/>
        </w:tabs>
        <w:snapToGrid w:val="0"/>
        <w:spacing w:before="159" w:beforeLines="50" w:line="360" w:lineRule="auto"/>
        <w:ind w:firstLine="480" w:firstLineChars="200"/>
        <w:rPr>
          <w:rFonts w:hint="eastAsia"/>
          <w:color w:val="auto"/>
          <w:sz w:val="24"/>
          <w:lang w:val="en-US" w:eastAsia="zh-CN"/>
        </w:rPr>
      </w:pPr>
      <w:bookmarkStart w:id="575" w:name="_Toc24524"/>
      <w:r>
        <w:rPr>
          <w:rFonts w:hint="eastAsia"/>
          <w:color w:val="auto"/>
          <w:sz w:val="24"/>
        </w:rPr>
        <w:t>本项目</w:t>
      </w:r>
      <w:r>
        <w:rPr>
          <w:rFonts w:hint="eastAsia"/>
          <w:color w:val="auto"/>
          <w:sz w:val="24"/>
          <w:lang w:val="en-US" w:eastAsia="zh-CN"/>
        </w:rPr>
        <w:t>厂界内卷材生产区北面角落（T1）、原料堆放区（T2）、湿式处理车间（T3）</w:t>
      </w:r>
      <w:r>
        <w:rPr>
          <w:rFonts w:hint="eastAsia"/>
          <w:color w:val="auto"/>
          <w:sz w:val="24"/>
        </w:rPr>
        <w:t>的检测项目中，</w:t>
      </w:r>
      <w:r>
        <w:rPr>
          <w:rFonts w:hint="eastAsia"/>
          <w:color w:val="auto"/>
          <w:sz w:val="24"/>
          <w:lang w:val="en-US" w:eastAsia="zh-CN"/>
        </w:rPr>
        <w:t>砷</w:t>
      </w:r>
      <w:r>
        <w:rPr>
          <w:rFonts w:hint="eastAsia"/>
          <w:color w:val="auto"/>
          <w:sz w:val="24"/>
        </w:rPr>
        <w:t>检出值超过《建设用地 土壤污染风险管控标准（试行）》（GB36600-2018）中第二类用地风险筛选值，</w:t>
      </w:r>
      <w:r>
        <w:rPr>
          <w:rFonts w:hint="eastAsia"/>
          <w:color w:val="auto"/>
          <w:sz w:val="24"/>
          <w:lang w:val="en-US" w:eastAsia="zh-CN"/>
        </w:rPr>
        <w:t>但</w:t>
      </w:r>
      <w:r>
        <w:rPr>
          <w:rFonts w:hint="eastAsia"/>
          <w:color w:val="auto"/>
          <w:sz w:val="24"/>
        </w:rPr>
        <w:t>低于其风险管制值，其它</w:t>
      </w:r>
      <w:r>
        <w:rPr>
          <w:rFonts w:hint="eastAsia"/>
          <w:color w:val="auto"/>
          <w:sz w:val="24"/>
          <w:lang w:val="en-US" w:eastAsia="zh-CN"/>
        </w:rPr>
        <w:t>污染物含量低于《建设用地 土壤污染风险管控标准（试行）》（GB36600-2018）中第二类用地风险筛选值。</w:t>
      </w:r>
    </w:p>
    <w:p>
      <w:pPr>
        <w:tabs>
          <w:tab w:val="left" w:pos="360"/>
        </w:tabs>
        <w:snapToGrid w:val="0"/>
        <w:spacing w:before="159" w:beforeLines="50" w:line="360" w:lineRule="auto"/>
        <w:ind w:firstLine="480" w:firstLineChars="200"/>
        <w:rPr>
          <w:rFonts w:hint="eastAsia"/>
          <w:color w:val="auto"/>
          <w:sz w:val="24"/>
          <w:lang w:val="en-US" w:eastAsia="zh-CN"/>
        </w:rPr>
      </w:pPr>
      <w:r>
        <w:rPr>
          <w:rFonts w:hint="eastAsia"/>
          <w:color w:val="auto"/>
          <w:sz w:val="24"/>
          <w:lang w:val="en-US" w:eastAsia="zh-CN"/>
        </w:rPr>
        <w:t>本项目厂界外西南方空地（T5）检测项目中，砷、汞检出值超过《土壤环境质量 农用地土壤污染风险管控标准（试行）》（GB 15618-2018）其他类风险筛选值，但低于其放心管制值，其他污染物含量均低于《土壤环境质量 农用地土壤污染风险管控标准（试行）》（GB 15618-2018）其他类风险筛选值。</w:t>
      </w:r>
    </w:p>
    <w:p>
      <w:pPr>
        <w:tabs>
          <w:tab w:val="left" w:pos="360"/>
        </w:tabs>
        <w:snapToGrid w:val="0"/>
        <w:spacing w:before="159" w:beforeLines="50" w:line="360" w:lineRule="auto"/>
        <w:ind w:firstLine="480" w:firstLineChars="200"/>
        <w:rPr>
          <w:rFonts w:hint="eastAsia"/>
          <w:color w:val="auto"/>
          <w:sz w:val="24"/>
          <w:lang w:val="en-US" w:eastAsia="zh-CN"/>
        </w:rPr>
      </w:pPr>
      <w:r>
        <w:rPr>
          <w:rFonts w:hint="eastAsia"/>
          <w:color w:val="auto"/>
          <w:sz w:val="24"/>
        </w:rPr>
        <w:t>检测</w:t>
      </w:r>
      <w:r>
        <w:rPr>
          <w:rFonts w:hint="eastAsia"/>
          <w:color w:val="auto"/>
          <w:sz w:val="24"/>
          <w:lang w:eastAsia="zh-CN"/>
        </w:rPr>
        <w:t>结果表明：项目所在区域土壤中砷</w:t>
      </w:r>
      <w:r>
        <w:rPr>
          <w:rFonts w:hint="eastAsia"/>
          <w:color w:val="auto"/>
          <w:sz w:val="24"/>
          <w:lang w:val="en-US" w:eastAsia="zh-CN"/>
        </w:rPr>
        <w:t>、汞</w:t>
      </w:r>
      <w:r>
        <w:rPr>
          <w:rFonts w:hint="eastAsia"/>
          <w:color w:val="auto"/>
          <w:sz w:val="24"/>
        </w:rPr>
        <w:t>本底值超过</w:t>
      </w:r>
      <w:r>
        <w:rPr>
          <w:rFonts w:hint="eastAsia"/>
          <w:color w:val="auto"/>
          <w:sz w:val="24"/>
          <w:lang w:val="en-US" w:eastAsia="zh-CN"/>
        </w:rPr>
        <w:t>相应</w:t>
      </w:r>
      <w:r>
        <w:rPr>
          <w:rFonts w:hint="eastAsia"/>
          <w:color w:val="auto"/>
          <w:sz w:val="24"/>
        </w:rPr>
        <w:t>风险筛选值，低于风险</w:t>
      </w:r>
      <w:r>
        <w:rPr>
          <w:rFonts w:hint="eastAsia"/>
          <w:color w:val="auto"/>
          <w:sz w:val="24"/>
          <w:lang w:eastAsia="zh-CN"/>
        </w:rPr>
        <w:t>管制值。砷、汞</w:t>
      </w:r>
      <w:r>
        <w:rPr>
          <w:color w:val="auto"/>
          <w:sz w:val="24"/>
        </w:rPr>
        <w:t>含量高于筛选值可能与项目所在区域背景值较高有关。</w:t>
      </w:r>
      <w:r>
        <w:rPr>
          <w:rFonts w:hint="eastAsia"/>
          <w:color w:val="auto"/>
          <w:sz w:val="24"/>
        </w:rPr>
        <w:t>此外，根据本报告书章节“5.</w:t>
      </w:r>
      <w:r>
        <w:rPr>
          <w:rFonts w:hint="eastAsia"/>
          <w:color w:val="auto"/>
          <w:sz w:val="24"/>
          <w:lang w:val="en-US" w:eastAsia="zh-CN"/>
        </w:rPr>
        <w:t xml:space="preserve">4 </w:t>
      </w:r>
      <w:r>
        <w:rPr>
          <w:rFonts w:hint="eastAsia"/>
          <w:color w:val="auto"/>
          <w:sz w:val="24"/>
        </w:rPr>
        <w:t>地表水环境质量现状调查与评价”中的监测分析，沙埗溪各监测断面指标符合《地表水环境质量标准》（GB 3838-2002）的Ⅳ类水域标准限值要求。</w:t>
      </w:r>
      <w:r>
        <w:rPr>
          <w:rFonts w:hint="eastAsia"/>
          <w:color w:val="auto"/>
          <w:sz w:val="24"/>
          <w:lang w:val="en-US" w:eastAsia="zh-CN"/>
        </w:rPr>
        <w:t xml:space="preserve">    </w:t>
      </w:r>
    </w:p>
    <w:p>
      <w:pPr>
        <w:tabs>
          <w:tab w:val="left" w:pos="360"/>
        </w:tabs>
        <w:snapToGrid w:val="0"/>
        <w:spacing w:before="159" w:beforeLines="50" w:line="360" w:lineRule="auto"/>
        <w:ind w:firstLine="480" w:firstLineChars="200"/>
        <w:rPr>
          <w:color w:val="auto"/>
          <w:sz w:val="24"/>
        </w:rPr>
      </w:pPr>
      <w:r>
        <w:rPr>
          <w:rFonts w:hint="eastAsia"/>
          <w:color w:val="auto"/>
          <w:sz w:val="24"/>
        </w:rPr>
        <w:t>综上所述，可排除项目场地</w:t>
      </w:r>
      <w:r>
        <w:rPr>
          <w:rFonts w:hint="eastAsia"/>
          <w:color w:val="auto"/>
          <w:sz w:val="24"/>
          <w:lang w:val="en-US" w:eastAsia="zh-CN"/>
        </w:rPr>
        <w:t>及周边</w:t>
      </w:r>
      <w:r>
        <w:rPr>
          <w:rFonts w:hint="eastAsia"/>
          <w:color w:val="auto"/>
          <w:sz w:val="24"/>
        </w:rPr>
        <w:t>（</w:t>
      </w:r>
      <w:r>
        <w:rPr>
          <w:rFonts w:hint="eastAsia"/>
          <w:color w:val="auto"/>
          <w:sz w:val="24"/>
          <w:lang w:val="en-US" w:eastAsia="zh-CN"/>
        </w:rPr>
        <w:t>T1、T2、T3、T5</w:t>
      </w:r>
      <w:r>
        <w:rPr>
          <w:rFonts w:hint="eastAsia"/>
          <w:color w:val="auto"/>
          <w:sz w:val="24"/>
        </w:rPr>
        <w:t>）</w:t>
      </w:r>
      <w:r>
        <w:rPr>
          <w:rFonts w:hint="eastAsia"/>
          <w:color w:val="auto"/>
          <w:sz w:val="24"/>
          <w:lang w:val="en-US" w:eastAsia="zh-CN"/>
        </w:rPr>
        <w:t>砷、汞</w:t>
      </w:r>
      <w:r>
        <w:rPr>
          <w:rFonts w:hint="eastAsia"/>
          <w:color w:val="auto"/>
          <w:sz w:val="24"/>
        </w:rPr>
        <w:t>可能存在的风险。</w:t>
      </w:r>
    </w:p>
    <w:p>
      <w:pPr>
        <w:pStyle w:val="7"/>
        <w:numPr>
          <w:ilvl w:val="2"/>
          <w:numId w:val="0"/>
        </w:numPr>
        <w:tabs>
          <w:tab w:val="clear" w:pos="720"/>
        </w:tabs>
        <w:snapToGrid w:val="0"/>
        <w:spacing w:before="159" w:after="79" w:afterLines="25"/>
        <w:jc w:val="both"/>
        <w:textAlignment w:val="auto"/>
        <w:rPr>
          <w:color w:val="auto"/>
        </w:rPr>
      </w:pPr>
      <w:r>
        <w:rPr>
          <w:rFonts w:hint="eastAsia"/>
          <w:color w:val="auto"/>
        </w:rPr>
        <w:t xml:space="preserve">5.8.5  </w:t>
      </w:r>
      <w:r>
        <w:rPr>
          <w:color w:val="auto"/>
        </w:rPr>
        <w:t>土壤污染防治行动计划</w:t>
      </w:r>
      <w:bookmarkEnd w:id="575"/>
    </w:p>
    <w:p>
      <w:pPr>
        <w:tabs>
          <w:tab w:val="left" w:pos="360"/>
        </w:tabs>
        <w:snapToGrid w:val="0"/>
        <w:spacing w:before="159" w:beforeLines="50" w:line="360" w:lineRule="auto"/>
        <w:ind w:firstLine="480" w:firstLineChars="200"/>
        <w:rPr>
          <w:color w:val="auto"/>
          <w:sz w:val="24"/>
        </w:rPr>
      </w:pPr>
      <w:r>
        <w:rPr>
          <w:rFonts w:hint="eastAsia"/>
          <w:color w:val="auto"/>
          <w:sz w:val="24"/>
        </w:rPr>
        <w:t>2017年清远市人民政府下发《清远市土壤污染防治行动计划工作方案》的通知，相关内容如下：</w:t>
      </w:r>
    </w:p>
    <w:p>
      <w:pPr>
        <w:tabs>
          <w:tab w:val="left" w:pos="360"/>
        </w:tabs>
        <w:snapToGrid w:val="0"/>
        <w:spacing w:before="159" w:beforeLines="50" w:line="360" w:lineRule="auto"/>
        <w:ind w:firstLine="480" w:firstLineChars="200"/>
        <w:rPr>
          <w:color w:val="auto"/>
          <w:sz w:val="24"/>
        </w:rPr>
      </w:pPr>
      <w:r>
        <w:rPr>
          <w:color w:val="auto"/>
          <w:sz w:val="24"/>
        </w:rPr>
        <w:t>总体要求：深入贯彻党的十八大和十八届三中、四中、五中、六中全会和习近平总书记系列重要讲话精神，坚持创新、协调、绿色、开放、共享的发展理念，围绕“三个定位、两个率先”总体目标，以改善土壤环境质量为核心，总结清远市电子废弃物污染整治理经验，全面落实《土十条》、《省实施方案》的各项要求，以保障农产品质量和人居环境安全为出发点，坚持预防为主、保护优先、风险管控，突出重点区域、行业和污染物，实施分类别、分用途、分阶段治理，严控新增污染、逐步减少存量，形成政府主导、企业担责、公众参与、社会监督的土壤污染防治体系，切实解决关系人民群众切身利益的突出土壤环境问题，促进土地资源永续利用。</w:t>
      </w:r>
    </w:p>
    <w:p>
      <w:pPr>
        <w:tabs>
          <w:tab w:val="left" w:pos="360"/>
        </w:tabs>
        <w:snapToGrid w:val="0"/>
        <w:spacing w:before="159" w:beforeLines="50" w:line="360" w:lineRule="auto"/>
        <w:ind w:firstLine="480" w:firstLineChars="200"/>
        <w:rPr>
          <w:color w:val="auto"/>
          <w:sz w:val="24"/>
        </w:rPr>
      </w:pPr>
      <w:r>
        <w:rPr>
          <w:color w:val="auto"/>
          <w:sz w:val="24"/>
        </w:rPr>
        <w:t>工作目标：到2018年底，全市土壤环境监管体系基本建立，土壤环境质量监测网络投入运行，农用地土壤环境质量状况进一步查清，建设用地分用途风险管控制度全面实施。到2020年，土壤环境综合监管能力得到显著提升，全市土壤污染加重趋势得到初步遏制，土壤环境质量总体保持稳定，农用地和建设用地土壤环境安全得到基本保障，受污染土壤环境风险得到有效控制。到2030年，全市土壤环境质量稳中向好，农用地和建设用地土壤环境安全得到有效保障，土壤环境风险得到全面管控。到本世纪中叶，土壤环境质量全面改善，生态系统实现良性循环。</w:t>
      </w:r>
    </w:p>
    <w:p>
      <w:pPr>
        <w:tabs>
          <w:tab w:val="left" w:pos="360"/>
        </w:tabs>
        <w:snapToGrid w:val="0"/>
        <w:spacing w:before="159" w:beforeLines="50" w:line="360" w:lineRule="auto"/>
        <w:ind w:firstLine="480" w:firstLineChars="200"/>
        <w:rPr>
          <w:color w:val="auto"/>
          <w:sz w:val="24"/>
        </w:rPr>
      </w:pPr>
      <w:r>
        <w:rPr>
          <w:color w:val="auto"/>
          <w:sz w:val="24"/>
        </w:rPr>
        <w:t>主要指标：到2020年，受污染耕地安全利用率达到90%左右，污染地块安全利用率达到90%以上。到2030年，受污染耕地安全利用率达到95%以上，污染地块安全利用率达到95%以上。</w:t>
      </w:r>
    </w:p>
    <w:p>
      <w:pPr>
        <w:pStyle w:val="5"/>
        <w:numPr>
          <w:ilvl w:val="1"/>
          <w:numId w:val="0"/>
        </w:numPr>
        <w:tabs>
          <w:tab w:val="clear" w:pos="720"/>
        </w:tabs>
        <w:spacing w:before="159" w:after="159"/>
        <w:rPr>
          <w:color w:val="auto"/>
          <w:sz w:val="32"/>
          <w:szCs w:val="32"/>
        </w:rPr>
      </w:pPr>
      <w:bookmarkStart w:id="576" w:name="_Toc13839"/>
      <w:bookmarkStart w:id="577" w:name="_Toc20691"/>
      <w:r>
        <w:rPr>
          <w:rFonts w:hint="eastAsia"/>
          <w:color w:val="auto"/>
          <w:sz w:val="32"/>
          <w:szCs w:val="32"/>
        </w:rPr>
        <w:t xml:space="preserve">5.9  </w:t>
      </w:r>
      <w:r>
        <w:rPr>
          <w:color w:val="auto"/>
          <w:sz w:val="32"/>
          <w:szCs w:val="32"/>
        </w:rPr>
        <w:t>河流底泥环境现状监测与评价</w:t>
      </w:r>
      <w:bookmarkEnd w:id="573"/>
      <w:bookmarkEnd w:id="576"/>
      <w:bookmarkEnd w:id="577"/>
    </w:p>
    <w:p>
      <w:pPr>
        <w:pStyle w:val="37"/>
        <w:ind w:firstLine="480"/>
        <w:rPr>
          <w:color w:val="auto"/>
        </w:rPr>
      </w:pPr>
      <w:r>
        <w:rPr>
          <w:color w:val="auto"/>
        </w:rPr>
        <w:t>为了掌握本项目区域河流底泥环境背景值，为今后的可持续发展规划提供数据支持和依据，秉着“优先收集、实测为辅”的原则，本次评价引用《清远市财源五金铸造有限公司检测报告》（</w:t>
      </w:r>
      <w:r>
        <w:rPr>
          <w:color w:val="auto"/>
          <w:szCs w:val="24"/>
        </w:rPr>
        <w:t>编号：QHT-WNS2018083021</w:t>
      </w:r>
      <w:r>
        <w:rPr>
          <w:rFonts w:hint="eastAsia"/>
          <w:color w:val="auto"/>
          <w:szCs w:val="24"/>
        </w:rPr>
        <w:t>，见附件13</w:t>
      </w:r>
      <w:r>
        <w:rPr>
          <w:color w:val="auto"/>
        </w:rPr>
        <w:t>）的监测数据。</w:t>
      </w:r>
    </w:p>
    <w:p>
      <w:pPr>
        <w:pStyle w:val="37"/>
        <w:ind w:firstLine="480"/>
        <w:rPr>
          <w:color w:val="auto"/>
        </w:rPr>
      </w:pPr>
      <w:r>
        <w:rPr>
          <w:color w:val="auto"/>
        </w:rPr>
        <w:t>（1）监测点</w:t>
      </w:r>
    </w:p>
    <w:p>
      <w:pPr>
        <w:pStyle w:val="40"/>
        <w:rPr>
          <w:color w:val="auto"/>
        </w:rPr>
      </w:pPr>
    </w:p>
    <w:p>
      <w:pPr>
        <w:pStyle w:val="40"/>
        <w:rPr>
          <w:color w:val="auto"/>
        </w:rPr>
      </w:pPr>
      <w:r>
        <w:rPr>
          <w:color w:val="auto"/>
        </w:rPr>
        <w:t>表</w:t>
      </w:r>
      <w:r>
        <w:rPr>
          <w:rFonts w:hint="eastAsia"/>
          <w:color w:val="auto"/>
        </w:rPr>
        <w:t>5</w:t>
      </w:r>
      <w:r>
        <w:rPr>
          <w:color w:val="auto"/>
        </w:rPr>
        <w:t>.9</w:t>
      </w:r>
      <w:r>
        <w:rPr>
          <w:color w:val="auto"/>
        </w:rPr>
        <w:noBreakHyphen/>
      </w:r>
      <w:r>
        <w:rPr>
          <w:color w:val="auto"/>
        </w:rPr>
        <w:t>1</w:t>
      </w:r>
      <w:r>
        <w:rPr>
          <w:rFonts w:hint="eastAsia"/>
          <w:color w:val="auto"/>
        </w:rPr>
        <w:t xml:space="preserve"> </w:t>
      </w:r>
      <w:r>
        <w:rPr>
          <w:color w:val="auto"/>
        </w:rPr>
        <w:t xml:space="preserve"> 河流底泥环境质量现状监测采样点布置</w:t>
      </w:r>
    </w:p>
    <w:tbl>
      <w:tblPr>
        <w:tblStyle w:val="23"/>
        <w:tblW w:w="85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7"/>
        <w:gridCol w:w="3786"/>
        <w:gridCol w:w="37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57" w:type="dxa"/>
            <w:tcBorders>
              <w:top w:val="single" w:color="000000" w:sz="4" w:space="0"/>
              <w:left w:val="single" w:color="000000" w:sz="4" w:space="0"/>
              <w:bottom w:val="single" w:color="000000" w:sz="4" w:space="0"/>
              <w:right w:val="single" w:color="000000" w:sz="4" w:space="0"/>
            </w:tcBorders>
            <w:vAlign w:val="center"/>
          </w:tcPr>
          <w:p>
            <w:pPr>
              <w:pStyle w:val="33"/>
              <w:rPr>
                <w:rFonts w:ascii="Times New Roman"/>
                <w:bCs/>
                <w:color w:val="auto"/>
                <w:sz w:val="18"/>
                <w:szCs w:val="18"/>
              </w:rPr>
            </w:pPr>
            <w:r>
              <w:rPr>
                <w:rFonts w:ascii="Times New Roman"/>
                <w:bCs/>
                <w:color w:val="auto"/>
                <w:sz w:val="18"/>
                <w:szCs w:val="18"/>
              </w:rPr>
              <w:t>序号</w:t>
            </w:r>
          </w:p>
        </w:tc>
        <w:tc>
          <w:tcPr>
            <w:tcW w:w="378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ind w:left="-105" w:leftChars="-50" w:right="-105" w:rightChars="-50"/>
              <w:jc w:val="center"/>
              <w:rPr>
                <w:bCs/>
                <w:color w:val="auto"/>
                <w:sz w:val="18"/>
                <w:szCs w:val="18"/>
              </w:rPr>
            </w:pPr>
            <w:r>
              <w:rPr>
                <w:bCs/>
                <w:color w:val="auto"/>
                <w:sz w:val="18"/>
                <w:szCs w:val="18"/>
              </w:rPr>
              <w:t>断面位置</w:t>
            </w:r>
          </w:p>
        </w:tc>
        <w:tc>
          <w:tcPr>
            <w:tcW w:w="378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ind w:left="-105" w:leftChars="-50" w:right="-105" w:rightChars="-50"/>
              <w:jc w:val="center"/>
              <w:rPr>
                <w:bCs/>
                <w:color w:val="auto"/>
                <w:sz w:val="18"/>
                <w:szCs w:val="18"/>
              </w:rPr>
            </w:pPr>
            <w:r>
              <w:rPr>
                <w:bCs/>
                <w:color w:val="auto"/>
                <w:sz w:val="18"/>
                <w:szCs w:val="18"/>
              </w:rPr>
              <w:t>水体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3" w:hRule="atLeast"/>
          <w:jc w:val="center"/>
        </w:trPr>
        <w:tc>
          <w:tcPr>
            <w:tcW w:w="957" w:type="dxa"/>
            <w:tcBorders>
              <w:top w:val="single" w:color="000000" w:sz="4" w:space="0"/>
              <w:left w:val="single" w:color="000000" w:sz="4" w:space="0"/>
              <w:bottom w:val="single" w:color="000000" w:sz="4" w:space="0"/>
              <w:right w:val="single" w:color="000000" w:sz="4" w:space="0"/>
            </w:tcBorders>
            <w:vAlign w:val="center"/>
          </w:tcPr>
          <w:p>
            <w:pPr>
              <w:pStyle w:val="33"/>
              <w:rPr>
                <w:rFonts w:ascii="Times New Roman"/>
                <w:bCs/>
                <w:color w:val="auto"/>
                <w:sz w:val="18"/>
                <w:szCs w:val="18"/>
              </w:rPr>
            </w:pPr>
            <w:r>
              <w:rPr>
                <w:rFonts w:ascii="Times New Roman"/>
                <w:bCs/>
                <w:color w:val="auto"/>
                <w:sz w:val="18"/>
                <w:szCs w:val="18"/>
              </w:rPr>
              <w:t>1</w:t>
            </w:r>
          </w:p>
        </w:tc>
        <w:tc>
          <w:tcPr>
            <w:tcW w:w="3786"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sz w:val="18"/>
                <w:szCs w:val="18"/>
              </w:rPr>
            </w:pPr>
            <w:r>
              <w:rPr>
                <w:bCs/>
                <w:color w:val="auto"/>
                <w:sz w:val="18"/>
                <w:szCs w:val="18"/>
              </w:rPr>
              <w:t>石角污水处理厂排污口上游500m</w:t>
            </w:r>
          </w:p>
        </w:tc>
        <w:tc>
          <w:tcPr>
            <w:tcW w:w="3785"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sz w:val="18"/>
                <w:szCs w:val="18"/>
              </w:rPr>
            </w:pPr>
            <w:r>
              <w:rPr>
                <w:bCs/>
                <w:color w:val="auto"/>
                <w:sz w:val="18"/>
                <w:szCs w:val="18"/>
              </w:rPr>
              <w:t>沙埗溪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57" w:type="dxa"/>
            <w:tcBorders>
              <w:top w:val="single" w:color="000000" w:sz="4" w:space="0"/>
              <w:left w:val="single" w:color="000000" w:sz="4" w:space="0"/>
              <w:bottom w:val="single" w:color="000000" w:sz="4" w:space="0"/>
              <w:right w:val="single" w:color="000000" w:sz="4" w:space="0"/>
            </w:tcBorders>
            <w:vAlign w:val="center"/>
          </w:tcPr>
          <w:p>
            <w:pPr>
              <w:pStyle w:val="33"/>
              <w:rPr>
                <w:rFonts w:ascii="Times New Roman"/>
                <w:color w:val="auto"/>
                <w:sz w:val="18"/>
                <w:szCs w:val="18"/>
              </w:rPr>
            </w:pPr>
            <w:r>
              <w:rPr>
                <w:rFonts w:ascii="Times New Roman"/>
                <w:color w:val="auto"/>
                <w:sz w:val="18"/>
                <w:szCs w:val="18"/>
              </w:rPr>
              <w:t>2</w:t>
            </w:r>
          </w:p>
        </w:tc>
        <w:tc>
          <w:tcPr>
            <w:tcW w:w="3786"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18"/>
                <w:szCs w:val="18"/>
              </w:rPr>
            </w:pPr>
            <w:r>
              <w:rPr>
                <w:color w:val="auto"/>
                <w:sz w:val="18"/>
                <w:szCs w:val="18"/>
              </w:rPr>
              <w:t>石角污水处理厂排污口下游1000m</w:t>
            </w:r>
          </w:p>
        </w:tc>
        <w:tc>
          <w:tcPr>
            <w:tcW w:w="3785"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18"/>
                <w:szCs w:val="18"/>
              </w:rPr>
            </w:pPr>
            <w:r>
              <w:rPr>
                <w:color w:val="auto"/>
                <w:sz w:val="18"/>
                <w:szCs w:val="18"/>
              </w:rPr>
              <w:t>沙埗溪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57" w:type="dxa"/>
            <w:tcBorders>
              <w:top w:val="single" w:color="000000" w:sz="4" w:space="0"/>
              <w:left w:val="single" w:color="000000" w:sz="4" w:space="0"/>
              <w:bottom w:val="single" w:color="000000" w:sz="4" w:space="0"/>
              <w:right w:val="single" w:color="000000" w:sz="4" w:space="0"/>
            </w:tcBorders>
            <w:vAlign w:val="center"/>
          </w:tcPr>
          <w:p>
            <w:pPr>
              <w:pStyle w:val="33"/>
              <w:rPr>
                <w:rFonts w:ascii="Times New Roman"/>
                <w:color w:val="auto"/>
                <w:sz w:val="18"/>
                <w:szCs w:val="18"/>
              </w:rPr>
            </w:pPr>
            <w:r>
              <w:rPr>
                <w:rFonts w:ascii="Times New Roman"/>
                <w:color w:val="auto"/>
                <w:sz w:val="18"/>
                <w:szCs w:val="18"/>
              </w:rPr>
              <w:t>3</w:t>
            </w:r>
          </w:p>
        </w:tc>
        <w:tc>
          <w:tcPr>
            <w:tcW w:w="3786"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18"/>
                <w:szCs w:val="18"/>
              </w:rPr>
            </w:pPr>
            <w:r>
              <w:rPr>
                <w:color w:val="auto"/>
                <w:sz w:val="18"/>
                <w:szCs w:val="18"/>
              </w:rPr>
              <w:t>石角污水处理厂排污口下游2000m</w:t>
            </w:r>
          </w:p>
        </w:tc>
        <w:tc>
          <w:tcPr>
            <w:tcW w:w="3785" w:type="dxa"/>
            <w:tcBorders>
              <w:top w:val="single" w:color="000000" w:sz="4" w:space="0"/>
              <w:left w:val="single" w:color="000000" w:sz="4" w:space="0"/>
              <w:bottom w:val="single" w:color="000000" w:sz="4" w:space="0"/>
              <w:right w:val="single" w:color="000000" w:sz="4" w:space="0"/>
            </w:tcBorders>
            <w:vAlign w:val="center"/>
          </w:tcPr>
          <w:p>
            <w:pPr>
              <w:jc w:val="center"/>
              <w:rPr>
                <w:color w:val="auto"/>
                <w:sz w:val="18"/>
                <w:szCs w:val="18"/>
              </w:rPr>
            </w:pPr>
            <w:r>
              <w:rPr>
                <w:color w:val="auto"/>
                <w:sz w:val="18"/>
                <w:szCs w:val="18"/>
              </w:rPr>
              <w:t>沙埗溪</w:t>
            </w:r>
          </w:p>
        </w:tc>
      </w:tr>
    </w:tbl>
    <w:p>
      <w:pPr>
        <w:pStyle w:val="37"/>
        <w:ind w:firstLine="480"/>
        <w:rPr>
          <w:color w:val="auto"/>
        </w:rPr>
      </w:pPr>
      <w:r>
        <w:rPr>
          <w:color w:val="auto"/>
        </w:rPr>
        <w:t>（2）监测项目</w:t>
      </w:r>
    </w:p>
    <w:p>
      <w:pPr>
        <w:pStyle w:val="37"/>
        <w:ind w:firstLine="480"/>
        <w:rPr>
          <w:color w:val="auto"/>
        </w:rPr>
      </w:pPr>
      <w:r>
        <w:rPr>
          <w:color w:val="auto"/>
        </w:rPr>
        <w:t>pH、铜（Cu）、锌（Zn）、镉（Cd）、铬（Cr）、铅（Pb）、镍（Ni）、砷（As）、汞（Hg）。</w:t>
      </w:r>
    </w:p>
    <w:p>
      <w:pPr>
        <w:pStyle w:val="37"/>
        <w:ind w:left="482" w:firstLine="0" w:firstLineChars="0"/>
        <w:rPr>
          <w:color w:val="auto"/>
        </w:rPr>
      </w:pPr>
      <w:r>
        <w:rPr>
          <w:color w:val="auto"/>
        </w:rPr>
        <w:t>（3）监测时间</w:t>
      </w:r>
    </w:p>
    <w:p>
      <w:pPr>
        <w:spacing w:line="360" w:lineRule="auto"/>
        <w:ind w:firstLine="480"/>
        <w:rPr>
          <w:color w:val="auto"/>
          <w:sz w:val="24"/>
        </w:rPr>
      </w:pPr>
      <w:r>
        <w:rPr>
          <w:color w:val="auto"/>
          <w:sz w:val="24"/>
        </w:rPr>
        <w:t>监测单位：深圳市清华环科检测技术有限公司；</w:t>
      </w:r>
    </w:p>
    <w:p>
      <w:pPr>
        <w:spacing w:line="360" w:lineRule="auto"/>
        <w:ind w:firstLine="480"/>
        <w:rPr>
          <w:color w:val="auto"/>
          <w:sz w:val="24"/>
        </w:rPr>
      </w:pPr>
      <w:r>
        <w:rPr>
          <w:color w:val="auto"/>
          <w:sz w:val="24"/>
        </w:rPr>
        <w:t>监测时间：2018年8月17日；</w:t>
      </w:r>
    </w:p>
    <w:p>
      <w:pPr>
        <w:spacing w:line="360" w:lineRule="auto"/>
        <w:ind w:firstLine="480"/>
        <w:rPr>
          <w:color w:val="auto"/>
          <w:sz w:val="24"/>
        </w:rPr>
      </w:pPr>
      <w:r>
        <w:rPr>
          <w:color w:val="auto"/>
          <w:sz w:val="24"/>
        </w:rPr>
        <w:t>监测采样频次：监测一天，每个点采样分析一次。</w:t>
      </w:r>
    </w:p>
    <w:p>
      <w:pPr>
        <w:pStyle w:val="37"/>
        <w:ind w:left="482" w:firstLine="0" w:firstLineChars="0"/>
        <w:rPr>
          <w:color w:val="auto"/>
        </w:rPr>
      </w:pPr>
      <w:r>
        <w:rPr>
          <w:color w:val="auto"/>
        </w:rPr>
        <w:t>（4）分析方法</w:t>
      </w:r>
    </w:p>
    <w:p>
      <w:pPr>
        <w:pStyle w:val="37"/>
        <w:ind w:firstLine="480"/>
        <w:rPr>
          <w:color w:val="auto"/>
        </w:rPr>
      </w:pPr>
      <w:r>
        <w:rPr>
          <w:color w:val="auto"/>
        </w:rPr>
        <w:t>各监测项目的检验标准、使用仪器及检出限见</w:t>
      </w:r>
      <w:r>
        <w:rPr>
          <w:rFonts w:hint="eastAsia"/>
          <w:color w:val="auto"/>
        </w:rPr>
        <w:t>下表</w:t>
      </w:r>
      <w:r>
        <w:rPr>
          <w:color w:val="auto"/>
        </w:rPr>
        <w:t>。</w:t>
      </w:r>
    </w:p>
    <w:p>
      <w:pPr>
        <w:pStyle w:val="40"/>
        <w:rPr>
          <w:color w:val="auto"/>
        </w:rPr>
      </w:pPr>
      <w:r>
        <w:rPr>
          <w:color w:val="auto"/>
        </w:rPr>
        <w:t>表</w:t>
      </w:r>
      <w:r>
        <w:rPr>
          <w:rFonts w:hint="eastAsia"/>
          <w:color w:val="auto"/>
        </w:rPr>
        <w:t>5.</w:t>
      </w:r>
      <w:r>
        <w:rPr>
          <w:color w:val="auto"/>
        </w:rPr>
        <w:t>9</w:t>
      </w:r>
      <w:r>
        <w:rPr>
          <w:color w:val="auto"/>
        </w:rPr>
        <w:noBreakHyphen/>
      </w:r>
      <w:r>
        <w:rPr>
          <w:color w:val="auto"/>
        </w:rPr>
        <w:t>2</w:t>
      </w:r>
      <w:r>
        <w:rPr>
          <w:rFonts w:hint="eastAsia"/>
          <w:color w:val="auto"/>
        </w:rPr>
        <w:t xml:space="preserve">  </w:t>
      </w:r>
      <w:r>
        <w:rPr>
          <w:color w:val="auto"/>
        </w:rPr>
        <w:t>各项目的分析方法、使用仪器、最低检出浓度</w:t>
      </w:r>
    </w:p>
    <w:tbl>
      <w:tblPr>
        <w:tblStyle w:val="2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946"/>
        <w:gridCol w:w="2121"/>
        <w:gridCol w:w="1822"/>
        <w:gridCol w:w="1861"/>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1697" w:type="dxa"/>
            <w:gridSpan w:val="2"/>
            <w:vAlign w:val="center"/>
          </w:tcPr>
          <w:p>
            <w:pPr>
              <w:jc w:val="center"/>
              <w:rPr>
                <w:color w:val="auto"/>
                <w:szCs w:val="21"/>
              </w:rPr>
            </w:pPr>
            <w:r>
              <w:rPr>
                <w:color w:val="auto"/>
                <w:szCs w:val="21"/>
              </w:rPr>
              <w:t>分析项目</w:t>
            </w:r>
          </w:p>
        </w:tc>
        <w:tc>
          <w:tcPr>
            <w:tcW w:w="2121" w:type="dxa"/>
            <w:vAlign w:val="center"/>
          </w:tcPr>
          <w:p>
            <w:pPr>
              <w:jc w:val="center"/>
              <w:rPr>
                <w:color w:val="auto"/>
                <w:szCs w:val="21"/>
              </w:rPr>
            </w:pPr>
            <w:r>
              <w:rPr>
                <w:color w:val="auto"/>
                <w:szCs w:val="21"/>
              </w:rPr>
              <w:t>分析方法</w:t>
            </w:r>
          </w:p>
        </w:tc>
        <w:tc>
          <w:tcPr>
            <w:tcW w:w="1822" w:type="dxa"/>
            <w:vAlign w:val="center"/>
          </w:tcPr>
          <w:p>
            <w:pPr>
              <w:jc w:val="center"/>
              <w:rPr>
                <w:color w:val="auto"/>
                <w:szCs w:val="21"/>
              </w:rPr>
            </w:pPr>
            <w:r>
              <w:rPr>
                <w:color w:val="auto"/>
                <w:szCs w:val="21"/>
              </w:rPr>
              <w:t>方法标准号</w:t>
            </w:r>
          </w:p>
        </w:tc>
        <w:tc>
          <w:tcPr>
            <w:tcW w:w="1861" w:type="dxa"/>
            <w:vAlign w:val="center"/>
          </w:tcPr>
          <w:p>
            <w:pPr>
              <w:jc w:val="center"/>
              <w:rPr>
                <w:color w:val="auto"/>
                <w:szCs w:val="21"/>
              </w:rPr>
            </w:pPr>
            <w:r>
              <w:rPr>
                <w:color w:val="auto"/>
                <w:szCs w:val="21"/>
              </w:rPr>
              <w:t>仪器名称及型号</w:t>
            </w:r>
          </w:p>
        </w:tc>
        <w:tc>
          <w:tcPr>
            <w:tcW w:w="1027" w:type="dxa"/>
            <w:vAlign w:val="center"/>
          </w:tcPr>
          <w:p>
            <w:pPr>
              <w:jc w:val="center"/>
              <w:rPr>
                <w:color w:val="auto"/>
                <w:szCs w:val="21"/>
              </w:rPr>
            </w:pPr>
            <w:r>
              <w:rPr>
                <w:color w:val="auto"/>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restart"/>
            <w:vAlign w:val="center"/>
          </w:tcPr>
          <w:p>
            <w:pPr>
              <w:jc w:val="center"/>
              <w:rPr>
                <w:color w:val="auto"/>
                <w:szCs w:val="21"/>
              </w:rPr>
            </w:pPr>
            <w:r>
              <w:rPr>
                <w:color w:val="auto"/>
                <w:szCs w:val="21"/>
              </w:rPr>
              <w:t>底泥</w:t>
            </w:r>
          </w:p>
        </w:tc>
        <w:tc>
          <w:tcPr>
            <w:tcW w:w="946" w:type="dxa"/>
            <w:vAlign w:val="center"/>
          </w:tcPr>
          <w:p>
            <w:pPr>
              <w:jc w:val="center"/>
              <w:rPr>
                <w:color w:val="auto"/>
                <w:szCs w:val="21"/>
              </w:rPr>
            </w:pPr>
            <w:r>
              <w:rPr>
                <w:color w:val="auto"/>
                <w:szCs w:val="21"/>
              </w:rPr>
              <w:t>pH</w:t>
            </w:r>
          </w:p>
        </w:tc>
        <w:tc>
          <w:tcPr>
            <w:tcW w:w="2121" w:type="dxa"/>
            <w:vAlign w:val="center"/>
          </w:tcPr>
          <w:p>
            <w:pPr>
              <w:autoSpaceDE w:val="0"/>
              <w:autoSpaceDN w:val="0"/>
              <w:adjustRightInd w:val="0"/>
              <w:jc w:val="center"/>
              <w:rPr>
                <w:color w:val="auto"/>
                <w:szCs w:val="21"/>
              </w:rPr>
            </w:pPr>
            <w:r>
              <w:rPr>
                <w:color w:val="auto"/>
                <w:szCs w:val="21"/>
              </w:rPr>
              <w:t>pH值的测定</w:t>
            </w:r>
          </w:p>
        </w:tc>
        <w:tc>
          <w:tcPr>
            <w:tcW w:w="1822" w:type="dxa"/>
            <w:vAlign w:val="center"/>
          </w:tcPr>
          <w:p>
            <w:pPr>
              <w:autoSpaceDE w:val="0"/>
              <w:autoSpaceDN w:val="0"/>
              <w:adjustRightInd w:val="0"/>
              <w:jc w:val="center"/>
              <w:rPr>
                <w:color w:val="auto"/>
                <w:szCs w:val="21"/>
              </w:rPr>
            </w:pPr>
            <w:r>
              <w:rPr>
                <w:color w:val="auto"/>
                <w:szCs w:val="21"/>
              </w:rPr>
              <w:t>NY/T 1377－2007</w:t>
            </w:r>
          </w:p>
        </w:tc>
        <w:tc>
          <w:tcPr>
            <w:tcW w:w="1861" w:type="dxa"/>
            <w:vAlign w:val="center"/>
          </w:tcPr>
          <w:p>
            <w:pPr>
              <w:autoSpaceDE w:val="0"/>
              <w:autoSpaceDN w:val="0"/>
              <w:adjustRightInd w:val="0"/>
              <w:jc w:val="center"/>
              <w:rPr>
                <w:color w:val="auto"/>
                <w:szCs w:val="21"/>
              </w:rPr>
            </w:pPr>
            <w:r>
              <w:rPr>
                <w:color w:val="auto"/>
                <w:szCs w:val="21"/>
              </w:rPr>
              <w:t>酸度计 PHS-3E</w:t>
            </w:r>
          </w:p>
        </w:tc>
        <w:tc>
          <w:tcPr>
            <w:tcW w:w="1027" w:type="dxa"/>
            <w:vAlign w:val="center"/>
          </w:tcPr>
          <w:p>
            <w:pPr>
              <w:autoSpaceDE w:val="0"/>
              <w:autoSpaceDN w:val="0"/>
              <w:adjustRightInd w:val="0"/>
              <w:jc w:val="center"/>
              <w:rPr>
                <w:color w:val="auto"/>
                <w:szCs w:val="21"/>
              </w:rPr>
            </w:pPr>
            <w:r>
              <w:rPr>
                <w:color w:val="auto"/>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铜</w:t>
            </w:r>
          </w:p>
        </w:tc>
        <w:tc>
          <w:tcPr>
            <w:tcW w:w="2121" w:type="dxa"/>
            <w:vAlign w:val="center"/>
          </w:tcPr>
          <w:p>
            <w:pPr>
              <w:autoSpaceDE w:val="0"/>
              <w:autoSpaceDN w:val="0"/>
              <w:adjustRightInd w:val="0"/>
              <w:jc w:val="center"/>
              <w:rPr>
                <w:color w:val="auto"/>
                <w:szCs w:val="21"/>
              </w:rPr>
            </w:pPr>
            <w:r>
              <w:rPr>
                <w:color w:val="auto"/>
                <w:szCs w:val="21"/>
              </w:rPr>
              <w:t>火焰原子吸收分光光度法</w:t>
            </w:r>
          </w:p>
        </w:tc>
        <w:tc>
          <w:tcPr>
            <w:tcW w:w="1822" w:type="dxa"/>
            <w:vAlign w:val="center"/>
          </w:tcPr>
          <w:p>
            <w:pPr>
              <w:jc w:val="center"/>
              <w:rPr>
                <w:color w:val="auto"/>
                <w:szCs w:val="21"/>
              </w:rPr>
            </w:pPr>
            <w:r>
              <w:rPr>
                <w:color w:val="auto"/>
                <w:szCs w:val="21"/>
              </w:rPr>
              <w:t>GB/T 17138-1997</w:t>
            </w:r>
          </w:p>
        </w:tc>
        <w:tc>
          <w:tcPr>
            <w:tcW w:w="1861" w:type="dxa"/>
            <w:vAlign w:val="center"/>
          </w:tcPr>
          <w:p>
            <w:pPr>
              <w:autoSpaceDE w:val="0"/>
              <w:autoSpaceDN w:val="0"/>
              <w:adjustRightInd w:val="0"/>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铅</w:t>
            </w:r>
          </w:p>
        </w:tc>
        <w:tc>
          <w:tcPr>
            <w:tcW w:w="2121" w:type="dxa"/>
            <w:vAlign w:val="center"/>
          </w:tcPr>
          <w:p>
            <w:pPr>
              <w:jc w:val="center"/>
              <w:rPr>
                <w:color w:val="auto"/>
                <w:szCs w:val="21"/>
              </w:rPr>
            </w:pPr>
            <w:r>
              <w:rPr>
                <w:color w:val="auto"/>
                <w:szCs w:val="21"/>
              </w:rPr>
              <w:t>火焰原子吸收分光光度法（KI-MIBK萃取）</w:t>
            </w:r>
          </w:p>
        </w:tc>
        <w:tc>
          <w:tcPr>
            <w:tcW w:w="1822" w:type="dxa"/>
            <w:vAlign w:val="center"/>
          </w:tcPr>
          <w:p>
            <w:pPr>
              <w:jc w:val="center"/>
              <w:rPr>
                <w:color w:val="auto"/>
                <w:szCs w:val="21"/>
              </w:rPr>
            </w:pPr>
            <w:r>
              <w:rPr>
                <w:color w:val="auto"/>
                <w:szCs w:val="21"/>
              </w:rPr>
              <w:t>GB/T 17140-1997</w:t>
            </w:r>
          </w:p>
        </w:tc>
        <w:tc>
          <w:tcPr>
            <w:tcW w:w="1861" w:type="dxa"/>
            <w:vAlign w:val="center"/>
          </w:tcPr>
          <w:p>
            <w:pPr>
              <w:autoSpaceDE w:val="0"/>
              <w:autoSpaceDN w:val="0"/>
              <w:adjustRightInd w:val="0"/>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锌</w:t>
            </w:r>
          </w:p>
        </w:tc>
        <w:tc>
          <w:tcPr>
            <w:tcW w:w="2121" w:type="dxa"/>
            <w:vAlign w:val="center"/>
          </w:tcPr>
          <w:p>
            <w:pPr>
              <w:jc w:val="center"/>
              <w:rPr>
                <w:color w:val="auto"/>
                <w:szCs w:val="21"/>
              </w:rPr>
            </w:pPr>
            <w:r>
              <w:rPr>
                <w:color w:val="auto"/>
                <w:szCs w:val="21"/>
              </w:rPr>
              <w:t>火焰原子吸收分光光度法</w:t>
            </w:r>
          </w:p>
        </w:tc>
        <w:tc>
          <w:tcPr>
            <w:tcW w:w="1822" w:type="dxa"/>
            <w:vAlign w:val="center"/>
          </w:tcPr>
          <w:p>
            <w:pPr>
              <w:jc w:val="center"/>
              <w:rPr>
                <w:color w:val="auto"/>
                <w:szCs w:val="21"/>
              </w:rPr>
            </w:pPr>
            <w:r>
              <w:rPr>
                <w:color w:val="auto"/>
                <w:szCs w:val="21"/>
              </w:rPr>
              <w:t>GB/T 17138-1997</w:t>
            </w:r>
          </w:p>
        </w:tc>
        <w:tc>
          <w:tcPr>
            <w:tcW w:w="1861" w:type="dxa"/>
            <w:vAlign w:val="center"/>
          </w:tcPr>
          <w:p>
            <w:pPr>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0.5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镉</w:t>
            </w:r>
          </w:p>
        </w:tc>
        <w:tc>
          <w:tcPr>
            <w:tcW w:w="2121" w:type="dxa"/>
            <w:vAlign w:val="center"/>
          </w:tcPr>
          <w:p>
            <w:pPr>
              <w:autoSpaceDE w:val="0"/>
              <w:autoSpaceDN w:val="0"/>
              <w:adjustRightInd w:val="0"/>
              <w:jc w:val="center"/>
              <w:textAlignment w:val="baseline"/>
              <w:rPr>
                <w:color w:val="auto"/>
                <w:szCs w:val="21"/>
              </w:rPr>
            </w:pPr>
            <w:r>
              <w:rPr>
                <w:color w:val="auto"/>
                <w:szCs w:val="21"/>
              </w:rPr>
              <w:t>火焰原子吸收分光光度法(KI-MIBK萃取)</w:t>
            </w:r>
          </w:p>
        </w:tc>
        <w:tc>
          <w:tcPr>
            <w:tcW w:w="1822" w:type="dxa"/>
            <w:vAlign w:val="center"/>
          </w:tcPr>
          <w:p>
            <w:pPr>
              <w:jc w:val="center"/>
              <w:rPr>
                <w:color w:val="auto"/>
                <w:szCs w:val="21"/>
              </w:rPr>
            </w:pPr>
            <w:r>
              <w:rPr>
                <w:color w:val="auto"/>
                <w:szCs w:val="21"/>
              </w:rPr>
              <w:t>GB/T 17140-1997</w:t>
            </w:r>
          </w:p>
        </w:tc>
        <w:tc>
          <w:tcPr>
            <w:tcW w:w="1861" w:type="dxa"/>
            <w:vAlign w:val="center"/>
          </w:tcPr>
          <w:p>
            <w:pPr>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0.05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砷</w:t>
            </w:r>
          </w:p>
        </w:tc>
        <w:tc>
          <w:tcPr>
            <w:tcW w:w="2121" w:type="dxa"/>
            <w:vAlign w:val="center"/>
          </w:tcPr>
          <w:p>
            <w:pPr>
              <w:autoSpaceDE w:val="0"/>
              <w:autoSpaceDN w:val="0"/>
              <w:adjustRightInd w:val="0"/>
              <w:jc w:val="center"/>
              <w:textAlignment w:val="baseline"/>
              <w:rPr>
                <w:color w:val="auto"/>
                <w:szCs w:val="21"/>
              </w:rPr>
            </w:pPr>
            <w:r>
              <w:rPr>
                <w:color w:val="auto"/>
                <w:szCs w:val="21"/>
              </w:rPr>
              <w:t xml:space="preserve">原子荧光法 </w:t>
            </w:r>
          </w:p>
        </w:tc>
        <w:tc>
          <w:tcPr>
            <w:tcW w:w="1822" w:type="dxa"/>
            <w:vAlign w:val="center"/>
          </w:tcPr>
          <w:p>
            <w:pPr>
              <w:autoSpaceDE w:val="0"/>
              <w:autoSpaceDN w:val="0"/>
              <w:adjustRightInd w:val="0"/>
              <w:jc w:val="center"/>
              <w:textAlignment w:val="baseline"/>
              <w:rPr>
                <w:color w:val="auto"/>
                <w:szCs w:val="21"/>
              </w:rPr>
            </w:pPr>
            <w:r>
              <w:rPr>
                <w:color w:val="auto"/>
                <w:szCs w:val="21"/>
              </w:rPr>
              <w:t>GB/T2215.2-2008</w:t>
            </w:r>
          </w:p>
        </w:tc>
        <w:tc>
          <w:tcPr>
            <w:tcW w:w="1861" w:type="dxa"/>
            <w:vAlign w:val="center"/>
          </w:tcPr>
          <w:p>
            <w:pPr>
              <w:autoSpaceDE w:val="0"/>
              <w:autoSpaceDN w:val="0"/>
              <w:adjustRightInd w:val="0"/>
              <w:jc w:val="center"/>
              <w:textAlignment w:val="baseline"/>
              <w:rPr>
                <w:color w:val="auto"/>
                <w:szCs w:val="21"/>
              </w:rPr>
            </w:pPr>
            <w:r>
              <w:rPr>
                <w:color w:val="auto"/>
                <w:szCs w:val="21"/>
              </w:rPr>
              <w:t>原子荧光仪 AF-610B</w:t>
            </w:r>
          </w:p>
        </w:tc>
        <w:tc>
          <w:tcPr>
            <w:tcW w:w="1027" w:type="dxa"/>
            <w:vAlign w:val="center"/>
          </w:tcPr>
          <w:p>
            <w:pPr>
              <w:autoSpaceDE w:val="0"/>
              <w:autoSpaceDN w:val="0"/>
              <w:adjustRightInd w:val="0"/>
              <w:jc w:val="center"/>
              <w:textAlignment w:val="baseline"/>
              <w:rPr>
                <w:color w:val="auto"/>
                <w:szCs w:val="21"/>
              </w:rPr>
            </w:pPr>
            <w:r>
              <w:rPr>
                <w:color w:val="auto"/>
                <w:szCs w:val="21"/>
              </w:rPr>
              <w:t>0.01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镍</w:t>
            </w:r>
          </w:p>
        </w:tc>
        <w:tc>
          <w:tcPr>
            <w:tcW w:w="2121" w:type="dxa"/>
            <w:vAlign w:val="center"/>
          </w:tcPr>
          <w:p>
            <w:pPr>
              <w:jc w:val="center"/>
              <w:rPr>
                <w:color w:val="auto"/>
                <w:szCs w:val="21"/>
              </w:rPr>
            </w:pPr>
            <w:r>
              <w:rPr>
                <w:color w:val="auto"/>
                <w:szCs w:val="21"/>
              </w:rPr>
              <w:t>火焰原子吸收分光光度法</w:t>
            </w:r>
          </w:p>
        </w:tc>
        <w:tc>
          <w:tcPr>
            <w:tcW w:w="1822" w:type="dxa"/>
            <w:vAlign w:val="center"/>
          </w:tcPr>
          <w:p>
            <w:pPr>
              <w:jc w:val="center"/>
              <w:rPr>
                <w:color w:val="auto"/>
                <w:szCs w:val="21"/>
              </w:rPr>
            </w:pPr>
            <w:r>
              <w:rPr>
                <w:color w:val="auto"/>
                <w:szCs w:val="21"/>
              </w:rPr>
              <w:t>GB/T 17139-1997</w:t>
            </w:r>
          </w:p>
        </w:tc>
        <w:tc>
          <w:tcPr>
            <w:tcW w:w="1861" w:type="dxa"/>
            <w:vAlign w:val="center"/>
          </w:tcPr>
          <w:p>
            <w:pPr>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汞</w:t>
            </w:r>
          </w:p>
        </w:tc>
        <w:tc>
          <w:tcPr>
            <w:tcW w:w="2121" w:type="dxa"/>
            <w:vAlign w:val="center"/>
          </w:tcPr>
          <w:p>
            <w:pPr>
              <w:autoSpaceDE w:val="0"/>
              <w:autoSpaceDN w:val="0"/>
              <w:adjustRightInd w:val="0"/>
              <w:jc w:val="center"/>
              <w:textAlignment w:val="baseline"/>
              <w:rPr>
                <w:color w:val="auto"/>
                <w:szCs w:val="21"/>
              </w:rPr>
            </w:pPr>
            <w:r>
              <w:rPr>
                <w:color w:val="auto"/>
                <w:szCs w:val="21"/>
              </w:rPr>
              <w:t>原子荧光光度法</w:t>
            </w:r>
          </w:p>
        </w:tc>
        <w:tc>
          <w:tcPr>
            <w:tcW w:w="1822" w:type="dxa"/>
            <w:vAlign w:val="center"/>
          </w:tcPr>
          <w:p>
            <w:pPr>
              <w:jc w:val="center"/>
              <w:rPr>
                <w:color w:val="auto"/>
                <w:szCs w:val="21"/>
              </w:rPr>
            </w:pPr>
            <w:r>
              <w:rPr>
                <w:color w:val="auto"/>
                <w:szCs w:val="21"/>
              </w:rPr>
              <w:t>NY/T1121.10-2006</w:t>
            </w:r>
          </w:p>
        </w:tc>
        <w:tc>
          <w:tcPr>
            <w:tcW w:w="1861" w:type="dxa"/>
            <w:vAlign w:val="center"/>
          </w:tcPr>
          <w:p>
            <w:pPr>
              <w:jc w:val="center"/>
              <w:rPr>
                <w:color w:val="auto"/>
                <w:szCs w:val="21"/>
              </w:rPr>
            </w:pPr>
            <w:r>
              <w:rPr>
                <w:color w:val="auto"/>
                <w:szCs w:val="21"/>
              </w:rPr>
              <w:t>原子荧光光度计AF-610B</w:t>
            </w:r>
          </w:p>
        </w:tc>
        <w:tc>
          <w:tcPr>
            <w:tcW w:w="1027" w:type="dxa"/>
            <w:vAlign w:val="center"/>
          </w:tcPr>
          <w:p>
            <w:pPr>
              <w:jc w:val="center"/>
              <w:rPr>
                <w:color w:val="auto"/>
                <w:szCs w:val="21"/>
              </w:rPr>
            </w:pPr>
            <w:r>
              <w:rPr>
                <w:color w:val="auto"/>
                <w:szCs w:val="21"/>
              </w:rPr>
              <w:t>0.002mg/kg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1" w:type="dxa"/>
            <w:vMerge w:val="continue"/>
            <w:vAlign w:val="center"/>
          </w:tcPr>
          <w:p>
            <w:pPr>
              <w:jc w:val="center"/>
              <w:rPr>
                <w:color w:val="auto"/>
                <w:szCs w:val="21"/>
              </w:rPr>
            </w:pPr>
          </w:p>
        </w:tc>
        <w:tc>
          <w:tcPr>
            <w:tcW w:w="946" w:type="dxa"/>
            <w:vAlign w:val="center"/>
          </w:tcPr>
          <w:p>
            <w:pPr>
              <w:jc w:val="center"/>
              <w:rPr>
                <w:color w:val="auto"/>
                <w:szCs w:val="21"/>
              </w:rPr>
            </w:pPr>
            <w:r>
              <w:rPr>
                <w:color w:val="auto"/>
                <w:szCs w:val="21"/>
              </w:rPr>
              <w:t>总铬</w:t>
            </w:r>
          </w:p>
        </w:tc>
        <w:tc>
          <w:tcPr>
            <w:tcW w:w="2121" w:type="dxa"/>
            <w:vAlign w:val="center"/>
          </w:tcPr>
          <w:p>
            <w:pPr>
              <w:jc w:val="center"/>
              <w:rPr>
                <w:color w:val="auto"/>
                <w:szCs w:val="21"/>
              </w:rPr>
            </w:pPr>
            <w:r>
              <w:rPr>
                <w:color w:val="auto"/>
                <w:szCs w:val="21"/>
              </w:rPr>
              <w:t>火焰原子吸收分光光度法</w:t>
            </w:r>
          </w:p>
        </w:tc>
        <w:tc>
          <w:tcPr>
            <w:tcW w:w="1822" w:type="dxa"/>
            <w:vAlign w:val="center"/>
          </w:tcPr>
          <w:p>
            <w:pPr>
              <w:jc w:val="center"/>
              <w:rPr>
                <w:color w:val="auto"/>
                <w:szCs w:val="21"/>
              </w:rPr>
            </w:pPr>
            <w:r>
              <w:rPr>
                <w:color w:val="auto"/>
                <w:szCs w:val="21"/>
              </w:rPr>
              <w:t>HJ 491-2009</w:t>
            </w:r>
          </w:p>
        </w:tc>
        <w:tc>
          <w:tcPr>
            <w:tcW w:w="1861" w:type="dxa"/>
            <w:vAlign w:val="center"/>
          </w:tcPr>
          <w:p>
            <w:pPr>
              <w:jc w:val="center"/>
              <w:rPr>
                <w:color w:val="auto"/>
                <w:szCs w:val="21"/>
              </w:rPr>
            </w:pPr>
            <w:r>
              <w:rPr>
                <w:color w:val="auto"/>
                <w:szCs w:val="21"/>
              </w:rPr>
              <w:t>原子吸收分光光度计 WFX-130B</w:t>
            </w:r>
          </w:p>
        </w:tc>
        <w:tc>
          <w:tcPr>
            <w:tcW w:w="1027" w:type="dxa"/>
            <w:vAlign w:val="center"/>
          </w:tcPr>
          <w:p>
            <w:pPr>
              <w:jc w:val="center"/>
              <w:rPr>
                <w:color w:val="auto"/>
                <w:szCs w:val="21"/>
              </w:rPr>
            </w:pPr>
            <w:r>
              <w:rPr>
                <w:color w:val="auto"/>
                <w:szCs w:val="21"/>
              </w:rPr>
              <w:t>5 mg/kg</w:t>
            </w:r>
          </w:p>
        </w:tc>
      </w:tr>
    </w:tbl>
    <w:p>
      <w:pPr>
        <w:pStyle w:val="37"/>
        <w:ind w:firstLine="480"/>
        <w:rPr>
          <w:color w:val="auto"/>
        </w:rPr>
      </w:pPr>
      <w:r>
        <w:rPr>
          <w:color w:val="auto"/>
        </w:rPr>
        <w:t>（5）评价标准</w:t>
      </w:r>
    </w:p>
    <w:p>
      <w:pPr>
        <w:spacing w:line="360" w:lineRule="auto"/>
        <w:ind w:firstLine="480" w:firstLineChars="200"/>
        <w:rPr>
          <w:color w:val="auto"/>
        </w:rPr>
      </w:pPr>
      <w:r>
        <w:rPr>
          <w:color w:val="auto"/>
          <w:sz w:val="24"/>
        </w:rPr>
        <w:t>沙埗溪底泥监测因子均参照执行《土壤环境质量 农用地土壤污染风险管控标准（试行）》（GB 15618-2018）的其他用地管制值进行评价。</w:t>
      </w:r>
    </w:p>
    <w:p>
      <w:pPr>
        <w:pStyle w:val="36"/>
        <w:rPr>
          <w:color w:val="auto"/>
        </w:rPr>
      </w:pPr>
      <w:r>
        <w:rPr>
          <w:color w:val="auto"/>
        </w:rPr>
        <w:t>（6）监测结果</w:t>
      </w:r>
    </w:p>
    <w:p>
      <w:pPr>
        <w:pStyle w:val="40"/>
        <w:rPr>
          <w:color w:val="auto"/>
        </w:rPr>
      </w:pPr>
      <w:r>
        <w:rPr>
          <w:color w:val="auto"/>
        </w:rPr>
        <w:t>表</w:t>
      </w:r>
      <w:r>
        <w:rPr>
          <w:rFonts w:hint="eastAsia"/>
          <w:color w:val="auto"/>
        </w:rPr>
        <w:t>5</w:t>
      </w:r>
      <w:r>
        <w:rPr>
          <w:color w:val="auto"/>
        </w:rPr>
        <w:t>.9</w:t>
      </w:r>
      <w:r>
        <w:rPr>
          <w:color w:val="auto"/>
        </w:rPr>
        <w:noBreakHyphen/>
      </w:r>
      <w:r>
        <w:rPr>
          <w:color w:val="auto"/>
        </w:rPr>
        <w:t>3  河流底泥环境单因子指数评价结果</w:t>
      </w:r>
    </w:p>
    <w:tbl>
      <w:tblPr>
        <w:tblStyle w:val="23"/>
        <w:tblW w:w="8336" w:type="dxa"/>
        <w:tblInd w:w="0" w:type="dxa"/>
        <w:tblLayout w:type="fixed"/>
        <w:tblCellMar>
          <w:top w:w="15" w:type="dxa"/>
          <w:left w:w="15" w:type="dxa"/>
          <w:bottom w:w="15" w:type="dxa"/>
          <w:right w:w="15" w:type="dxa"/>
        </w:tblCellMar>
      </w:tblPr>
      <w:tblGrid>
        <w:gridCol w:w="1571"/>
        <w:gridCol w:w="1571"/>
        <w:gridCol w:w="1790"/>
        <w:gridCol w:w="1833"/>
        <w:gridCol w:w="1571"/>
      </w:tblGrid>
      <w:tr>
        <w:tblPrEx>
          <w:tblCellMar>
            <w:top w:w="15" w:type="dxa"/>
            <w:left w:w="15" w:type="dxa"/>
            <w:bottom w:w="15" w:type="dxa"/>
            <w:right w:w="15" w:type="dxa"/>
          </w:tblCellMar>
        </w:tblPrEx>
        <w:trPr>
          <w:trHeight w:val="227" w:hRule="atLeast"/>
        </w:trPr>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监测因子</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监测情况</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W1石角镇污水处理厂排污口上游500m</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W2石角镇污水处理厂排污口下游1000m</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W3石角镇污水处理厂排污口下游2000m</w:t>
            </w:r>
          </w:p>
        </w:tc>
      </w:tr>
      <w:tr>
        <w:tblPrEx>
          <w:tblCellMar>
            <w:top w:w="15" w:type="dxa"/>
            <w:left w:w="15" w:type="dxa"/>
            <w:bottom w:w="15" w:type="dxa"/>
            <w:right w:w="15" w:type="dxa"/>
          </w:tblCellMar>
        </w:tblPrEx>
        <w:trPr>
          <w:trHeight w:val="227" w:hRule="atLeast"/>
        </w:trPr>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PH值</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7.22</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7.42</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7.35</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镉</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0.1</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0.17</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0.2</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0.33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0.57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0.67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汞</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0.181</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0.121</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0.214</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0.08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0.05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0.09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砷</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10.5</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12.6</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8.68</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0.35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0.42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0.29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铅</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16.5</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22</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76.4</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0.14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0.18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0.64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铜</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39</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86</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59</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0.39</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0.86</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0.59</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锌</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104</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130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215</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0.42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0.52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0.86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镍</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14</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52</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17</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0.14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0.52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0.17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r>
        <w:tblPrEx>
          <w:tblCellMar>
            <w:top w:w="15" w:type="dxa"/>
            <w:left w:w="15" w:type="dxa"/>
            <w:bottom w:w="15" w:type="dxa"/>
            <w:right w:w="15" w:type="dxa"/>
          </w:tblCellMar>
        </w:tblPrEx>
        <w:trPr>
          <w:trHeight w:val="227" w:hRule="atLeast"/>
        </w:trPr>
        <w:tc>
          <w:tcPr>
            <w:tcW w:w="157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铬</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监测结果</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18</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26</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21</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标准指数</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0.09 </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0.13 </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 xml:space="preserve">0.11 </w:t>
            </w:r>
          </w:p>
        </w:tc>
      </w:tr>
      <w:tr>
        <w:tblPrEx>
          <w:tblCellMar>
            <w:top w:w="15" w:type="dxa"/>
            <w:left w:w="15" w:type="dxa"/>
            <w:bottom w:w="15" w:type="dxa"/>
            <w:right w:w="15" w:type="dxa"/>
          </w:tblCellMar>
        </w:tblPrEx>
        <w:trPr>
          <w:trHeight w:val="227" w:hRule="atLeast"/>
        </w:trPr>
        <w:tc>
          <w:tcPr>
            <w:tcW w:w="157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超标率</w:t>
            </w:r>
          </w:p>
        </w:tc>
        <w:tc>
          <w:tcPr>
            <w:tcW w:w="17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83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c>
          <w:tcPr>
            <w:tcW w:w="15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zCs w:val="21"/>
              </w:rPr>
            </w:pPr>
            <w:r>
              <w:rPr>
                <w:color w:val="auto"/>
                <w:kern w:val="0"/>
                <w:szCs w:val="21"/>
                <w:lang w:bidi="ar"/>
              </w:rPr>
              <w:t>0</w:t>
            </w:r>
          </w:p>
        </w:tc>
      </w:tr>
    </w:tbl>
    <w:p>
      <w:pPr>
        <w:pStyle w:val="37"/>
        <w:ind w:firstLine="420"/>
        <w:rPr>
          <w:color w:val="auto"/>
          <w:sz w:val="21"/>
          <w:szCs w:val="21"/>
        </w:rPr>
      </w:pPr>
    </w:p>
    <w:p>
      <w:pPr>
        <w:widowControl/>
        <w:tabs>
          <w:tab w:val="left" w:pos="0"/>
          <w:tab w:val="left" w:pos="2089"/>
        </w:tabs>
        <w:adjustRightInd w:val="0"/>
        <w:snapToGrid w:val="0"/>
        <w:spacing w:line="360" w:lineRule="auto"/>
        <w:ind w:firstLine="480" w:firstLineChars="200"/>
        <w:jc w:val="left"/>
        <w:rPr>
          <w:color w:val="auto"/>
          <w:sz w:val="24"/>
        </w:rPr>
      </w:pPr>
      <w:r>
        <w:rPr>
          <w:color w:val="auto"/>
          <w:sz w:val="24"/>
        </w:rPr>
        <w:t>（4）小结</w:t>
      </w:r>
    </w:p>
    <w:p>
      <w:pPr>
        <w:widowControl/>
        <w:tabs>
          <w:tab w:val="left" w:pos="0"/>
          <w:tab w:val="left" w:pos="2089"/>
        </w:tabs>
        <w:adjustRightInd w:val="0"/>
        <w:snapToGrid w:val="0"/>
        <w:spacing w:line="360" w:lineRule="auto"/>
        <w:ind w:firstLine="480" w:firstLineChars="200"/>
        <w:jc w:val="left"/>
        <w:rPr>
          <w:color w:val="auto"/>
        </w:rPr>
      </w:pPr>
      <w:r>
        <w:rPr>
          <w:color w:val="auto"/>
          <w:sz w:val="24"/>
        </w:rPr>
        <w:t>根据表4.9-3底泥监测结果统计表的监测结果分析可知，沙埗溪底泥中各监测因子均满足《土壤环境质量 农用地土壤污染风险管控标准（试行）》（GB 15618-2018）的其他用地管制值的要求。</w:t>
      </w:r>
    </w:p>
    <w:p>
      <w:pPr>
        <w:pStyle w:val="36"/>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4"/>
        <w:numPr>
          <w:ilvl w:val="0"/>
          <w:numId w:val="0"/>
        </w:numPr>
        <w:spacing w:before="159" w:after="159"/>
        <w:ind w:left="568"/>
        <w:rPr>
          <w:color w:val="auto"/>
          <w:sz w:val="44"/>
          <w:szCs w:val="44"/>
        </w:rPr>
      </w:pPr>
      <w:bookmarkStart w:id="578" w:name="_Toc1083"/>
      <w:bookmarkStart w:id="579" w:name="_Toc28472"/>
      <w:bookmarkStart w:id="580" w:name="_Toc21801"/>
      <w:bookmarkStart w:id="581" w:name="_Toc765"/>
      <w:r>
        <w:rPr>
          <w:rFonts w:hint="eastAsia"/>
          <w:color w:val="auto"/>
          <w:sz w:val="44"/>
          <w:szCs w:val="44"/>
        </w:rPr>
        <w:t>6  环境影响分析与评价</w:t>
      </w:r>
      <w:bookmarkEnd w:id="578"/>
      <w:bookmarkEnd w:id="579"/>
      <w:bookmarkEnd w:id="580"/>
      <w:bookmarkEnd w:id="581"/>
    </w:p>
    <w:p>
      <w:pPr>
        <w:pStyle w:val="5"/>
        <w:numPr>
          <w:ilvl w:val="1"/>
          <w:numId w:val="0"/>
        </w:numPr>
        <w:tabs>
          <w:tab w:val="clear" w:pos="720"/>
        </w:tabs>
        <w:spacing w:before="159" w:after="159"/>
        <w:rPr>
          <w:color w:val="auto"/>
          <w:sz w:val="32"/>
          <w:szCs w:val="32"/>
        </w:rPr>
      </w:pPr>
      <w:bookmarkStart w:id="582" w:name="_Toc11946"/>
      <w:bookmarkStart w:id="583" w:name="_Toc8925"/>
      <w:bookmarkStart w:id="584" w:name="_Toc924"/>
      <w:bookmarkStart w:id="585" w:name="_Toc32066"/>
      <w:r>
        <w:rPr>
          <w:rFonts w:hint="eastAsia"/>
          <w:color w:val="auto"/>
          <w:sz w:val="32"/>
          <w:szCs w:val="32"/>
        </w:rPr>
        <w:t xml:space="preserve">6.1  </w:t>
      </w:r>
      <w:r>
        <w:rPr>
          <w:color w:val="auto"/>
          <w:sz w:val="32"/>
          <w:szCs w:val="32"/>
        </w:rPr>
        <w:t>施工期环境影</w:t>
      </w:r>
      <w:r>
        <w:rPr>
          <w:rFonts w:hint="eastAsia"/>
          <w:color w:val="auto"/>
          <w:sz w:val="32"/>
          <w:szCs w:val="32"/>
        </w:rPr>
        <w:t>响</w:t>
      </w:r>
      <w:bookmarkEnd w:id="582"/>
      <w:bookmarkEnd w:id="583"/>
      <w:bookmarkEnd w:id="584"/>
      <w:bookmarkEnd w:id="585"/>
    </w:p>
    <w:p>
      <w:pPr>
        <w:pStyle w:val="44"/>
        <w:numPr>
          <w:ilvl w:val="2"/>
          <w:numId w:val="0"/>
        </w:numPr>
        <w:tabs>
          <w:tab w:val="clear" w:pos="720"/>
        </w:tabs>
        <w:spacing w:before="159" w:after="159" w:line="360" w:lineRule="auto"/>
        <w:rPr>
          <w:color w:val="auto"/>
          <w:sz w:val="28"/>
          <w:szCs w:val="28"/>
        </w:rPr>
      </w:pPr>
      <w:bookmarkStart w:id="586" w:name="_Toc15035"/>
      <w:r>
        <w:rPr>
          <w:rFonts w:hint="eastAsia"/>
          <w:color w:val="auto"/>
          <w:sz w:val="28"/>
          <w:szCs w:val="28"/>
        </w:rPr>
        <w:t>6.1.1  施工期水环境影响分析</w:t>
      </w:r>
      <w:bookmarkEnd w:id="586"/>
    </w:p>
    <w:p>
      <w:pPr>
        <w:adjustRightInd w:val="0"/>
        <w:snapToGrid w:val="0"/>
        <w:spacing w:line="360" w:lineRule="auto"/>
        <w:ind w:right="57" w:rightChars="27" w:firstLine="480" w:firstLineChars="200"/>
        <w:rPr>
          <w:bCs/>
          <w:color w:val="auto"/>
          <w:sz w:val="24"/>
        </w:rPr>
      </w:pPr>
      <w:r>
        <w:rPr>
          <w:rFonts w:hint="eastAsia"/>
          <w:bCs/>
          <w:color w:val="auto"/>
          <w:sz w:val="24"/>
        </w:rPr>
        <w:t>（1）建筑施工废水</w:t>
      </w:r>
    </w:p>
    <w:p>
      <w:pPr>
        <w:adjustRightInd w:val="0"/>
        <w:snapToGrid w:val="0"/>
        <w:spacing w:line="360" w:lineRule="auto"/>
        <w:ind w:right="57" w:rightChars="27" w:firstLine="480" w:firstLineChars="200"/>
        <w:rPr>
          <w:bCs/>
          <w:color w:val="auto"/>
          <w:sz w:val="24"/>
        </w:rPr>
      </w:pPr>
      <w:r>
        <w:rPr>
          <w:rFonts w:hint="eastAsia"/>
          <w:bCs/>
          <w:color w:val="auto"/>
          <w:sz w:val="24"/>
        </w:rPr>
        <w:t>建筑施工废水主要来自土方阶段降水井排水，结构阶段混凝土养护冲水，清洗车辆的冲洗水等废水。本项目施工期建筑废水产生量为5.6792m</w:t>
      </w:r>
      <w:r>
        <w:rPr>
          <w:rFonts w:hint="eastAsia"/>
          <w:bCs/>
          <w:color w:val="auto"/>
          <w:sz w:val="24"/>
          <w:vertAlign w:val="superscript"/>
        </w:rPr>
        <w:t>3</w:t>
      </w:r>
      <w:r>
        <w:rPr>
          <w:rFonts w:hint="eastAsia"/>
          <w:bCs/>
          <w:color w:val="auto"/>
          <w:sz w:val="24"/>
        </w:rPr>
        <w:t>/d，施工废水泥砂含量高，一般SS浓度为80-120g/L，施工废水经沉淀等处理后循环使用，或回用于洒水抑尘，不外排。</w:t>
      </w:r>
    </w:p>
    <w:p>
      <w:pPr>
        <w:adjustRightInd w:val="0"/>
        <w:snapToGrid w:val="0"/>
        <w:spacing w:line="360" w:lineRule="auto"/>
        <w:ind w:firstLine="480" w:firstLineChars="200"/>
        <w:rPr>
          <w:bCs/>
          <w:color w:val="auto"/>
          <w:sz w:val="24"/>
        </w:rPr>
      </w:pPr>
      <w:r>
        <w:rPr>
          <w:rFonts w:hint="eastAsia"/>
          <w:color w:val="auto"/>
          <w:sz w:val="24"/>
        </w:rPr>
        <w:t>（2）</w:t>
      </w:r>
      <w:r>
        <w:rPr>
          <w:bCs/>
          <w:color w:val="auto"/>
          <w:sz w:val="24"/>
        </w:rPr>
        <w:t>地表径流</w:t>
      </w:r>
    </w:p>
    <w:p>
      <w:pPr>
        <w:adjustRightInd w:val="0"/>
        <w:snapToGrid w:val="0"/>
        <w:spacing w:line="360" w:lineRule="auto"/>
        <w:ind w:right="57" w:rightChars="27" w:firstLine="480" w:firstLineChars="200"/>
        <w:rPr>
          <w:color w:val="auto"/>
          <w:sz w:val="24"/>
        </w:rPr>
      </w:pPr>
      <w:r>
        <w:rPr>
          <w:rFonts w:hint="eastAsia"/>
          <w:color w:val="auto"/>
          <w:sz w:val="24"/>
        </w:rPr>
        <w:t>项目在</w:t>
      </w:r>
      <w:r>
        <w:rPr>
          <w:color w:val="auto"/>
          <w:sz w:val="24"/>
        </w:rPr>
        <w:t>基础开挖</w:t>
      </w:r>
      <w:r>
        <w:rPr>
          <w:rFonts w:hint="eastAsia"/>
          <w:color w:val="auto"/>
          <w:sz w:val="24"/>
        </w:rPr>
        <w:t>时，疏松的</w:t>
      </w:r>
      <w:r>
        <w:rPr>
          <w:color w:val="auto"/>
          <w:sz w:val="24"/>
        </w:rPr>
        <w:t>表土很容易受到雨水的冲刷，随着雨水进入附近地表水，</w:t>
      </w:r>
      <w:r>
        <w:rPr>
          <w:rFonts w:hint="eastAsia"/>
          <w:color w:val="auto"/>
          <w:sz w:val="24"/>
        </w:rPr>
        <w:t>会对</w:t>
      </w:r>
      <w:r>
        <w:rPr>
          <w:color w:val="auto"/>
          <w:sz w:val="24"/>
        </w:rPr>
        <w:t>水环境质量</w:t>
      </w:r>
      <w:r>
        <w:rPr>
          <w:rFonts w:hint="eastAsia"/>
          <w:color w:val="auto"/>
          <w:sz w:val="24"/>
        </w:rPr>
        <w:t>造成一定的</w:t>
      </w:r>
      <w:r>
        <w:rPr>
          <w:color w:val="auto"/>
          <w:sz w:val="24"/>
        </w:rPr>
        <w:t>影响。</w:t>
      </w:r>
      <w:r>
        <w:rPr>
          <w:rFonts w:hint="eastAsia"/>
          <w:color w:val="auto"/>
          <w:sz w:val="24"/>
        </w:rPr>
        <w:t>项目施工期为旱季，降水较少，且项目拟在</w:t>
      </w:r>
      <w:r>
        <w:rPr>
          <w:color w:val="auto"/>
          <w:sz w:val="24"/>
        </w:rPr>
        <w:t>施工工场、临时堆场四周设置排水沟，排水沟每隔一段距离或者在拐弯处设置沉砂池，施工工场、临时堆场的雨水由排水沟收集，经沉砂池沉淀后再排放，可将地表径流对附近水环境的影响降至最小。</w:t>
      </w:r>
    </w:p>
    <w:p>
      <w:pPr>
        <w:adjustRightInd w:val="0"/>
        <w:snapToGrid w:val="0"/>
        <w:spacing w:line="360" w:lineRule="auto"/>
        <w:ind w:right="57" w:rightChars="27" w:firstLine="480" w:firstLineChars="200"/>
        <w:rPr>
          <w:bCs/>
          <w:color w:val="auto"/>
          <w:sz w:val="24"/>
        </w:rPr>
      </w:pPr>
      <w:r>
        <w:rPr>
          <w:rFonts w:hint="eastAsia"/>
          <w:bCs/>
          <w:color w:val="auto"/>
          <w:sz w:val="24"/>
        </w:rPr>
        <w:t>（3）</w:t>
      </w:r>
      <w:r>
        <w:rPr>
          <w:bCs/>
          <w:color w:val="auto"/>
          <w:sz w:val="24"/>
        </w:rPr>
        <w:t>施工人员生活污水</w:t>
      </w:r>
    </w:p>
    <w:p>
      <w:pPr>
        <w:adjustRightInd w:val="0"/>
        <w:snapToGrid w:val="0"/>
        <w:spacing w:line="360" w:lineRule="auto"/>
        <w:ind w:firstLine="480" w:firstLineChars="200"/>
        <w:rPr>
          <w:color w:val="auto"/>
          <w:sz w:val="24"/>
        </w:rPr>
      </w:pPr>
      <w:r>
        <w:rPr>
          <w:bCs/>
          <w:color w:val="auto"/>
          <w:sz w:val="24"/>
        </w:rPr>
        <w:t>本项目施工期间</w:t>
      </w:r>
      <w:r>
        <w:rPr>
          <w:rFonts w:hint="eastAsia"/>
          <w:bCs/>
          <w:color w:val="auto"/>
          <w:sz w:val="24"/>
        </w:rPr>
        <w:t>的</w:t>
      </w:r>
      <w:r>
        <w:rPr>
          <w:bCs/>
          <w:color w:val="auto"/>
          <w:sz w:val="24"/>
        </w:rPr>
        <w:t>施工人员约</w:t>
      </w:r>
      <w:r>
        <w:rPr>
          <w:rFonts w:hint="eastAsia"/>
          <w:bCs/>
          <w:color w:val="auto"/>
          <w:sz w:val="24"/>
        </w:rPr>
        <w:t>10</w:t>
      </w:r>
      <w:r>
        <w:rPr>
          <w:bCs/>
          <w:color w:val="auto"/>
          <w:sz w:val="24"/>
        </w:rPr>
        <w:t>人，</w:t>
      </w:r>
      <w:r>
        <w:rPr>
          <w:rFonts w:hint="eastAsia"/>
          <w:color w:val="auto"/>
          <w:sz w:val="24"/>
        </w:rPr>
        <w:t>不在施工场所食宿。施工期间借用项目西面兴域铝业有限公司的卫生间解决个人卫生问题。故本项目在施工期无生活污水产生。</w:t>
      </w:r>
    </w:p>
    <w:p>
      <w:pPr>
        <w:adjustRightInd w:val="0"/>
        <w:spacing w:line="360" w:lineRule="auto"/>
        <w:ind w:firstLine="480" w:firstLineChars="200"/>
        <w:jc w:val="left"/>
        <w:rPr>
          <w:color w:val="auto"/>
          <w:sz w:val="24"/>
        </w:rPr>
      </w:pPr>
      <w:r>
        <w:rPr>
          <w:rFonts w:hint="eastAsia"/>
          <w:color w:val="auto"/>
          <w:sz w:val="24"/>
        </w:rPr>
        <w:t>终上所述，经以上措施进行处理后，项目施工期对项目周边水环境影响较小。</w:t>
      </w:r>
    </w:p>
    <w:p>
      <w:pPr>
        <w:adjustRightInd w:val="0"/>
        <w:snapToGrid w:val="0"/>
        <w:spacing w:line="360" w:lineRule="auto"/>
        <w:outlineLvl w:val="2"/>
        <w:rPr>
          <w:b/>
          <w:color w:val="auto"/>
          <w:kern w:val="0"/>
          <w:sz w:val="28"/>
          <w:szCs w:val="28"/>
        </w:rPr>
      </w:pPr>
      <w:bookmarkStart w:id="587" w:name="_Toc20262"/>
      <w:r>
        <w:rPr>
          <w:rFonts w:hint="eastAsia"/>
          <w:b/>
          <w:color w:val="auto"/>
          <w:kern w:val="0"/>
          <w:sz w:val="28"/>
          <w:szCs w:val="28"/>
        </w:rPr>
        <w:t>6.1.2  施工期大气环境影响分析</w:t>
      </w:r>
      <w:bookmarkEnd w:id="587"/>
    </w:p>
    <w:p>
      <w:pPr>
        <w:tabs>
          <w:tab w:val="left" w:pos="1081"/>
        </w:tabs>
        <w:spacing w:line="360" w:lineRule="auto"/>
        <w:ind w:firstLine="480"/>
        <w:rPr>
          <w:color w:val="auto"/>
          <w:sz w:val="24"/>
        </w:rPr>
      </w:pPr>
      <w:r>
        <w:rPr>
          <w:color w:val="auto"/>
          <w:sz w:val="24"/>
        </w:rPr>
        <w:t>（1）施工扬尘</w:t>
      </w:r>
    </w:p>
    <w:p>
      <w:pPr>
        <w:adjustRightInd w:val="0"/>
        <w:snapToGrid w:val="0"/>
        <w:spacing w:line="360" w:lineRule="auto"/>
        <w:ind w:firstLine="480" w:firstLineChars="200"/>
        <w:rPr>
          <w:color w:val="auto"/>
          <w:sz w:val="24"/>
        </w:rPr>
      </w:pPr>
      <w:r>
        <w:rPr>
          <w:color w:val="auto"/>
          <w:sz w:val="24"/>
        </w:rPr>
        <w:t>施工过程中土方开挖、建筑材料运输与装卸均会产生扬尘。扬尘污染的危害性是不容忽视的，施工扬尘悬浮于工地周围空气中，施工人员和周围居民吸入会引起各种呼吸道疾病；扬尘夹带大量的病原菌，会传染各种疾病，影响施工人员及周围居民的身体健康。此外，扬尘飘落在建筑物、马路、树木枝叶上会影响景观。</w:t>
      </w:r>
    </w:p>
    <w:p>
      <w:pPr>
        <w:adjustRightInd w:val="0"/>
        <w:snapToGrid w:val="0"/>
        <w:spacing w:line="360" w:lineRule="auto"/>
        <w:ind w:firstLine="480" w:firstLineChars="200"/>
        <w:rPr>
          <w:color w:val="auto"/>
          <w:sz w:val="24"/>
        </w:rPr>
      </w:pPr>
      <w:r>
        <w:rPr>
          <w:color w:val="auto"/>
          <w:sz w:val="24"/>
        </w:rPr>
        <w:t>类比同类型项目，项目扬尘产生浓度为1~2mg/m</w:t>
      </w:r>
      <w:r>
        <w:rPr>
          <w:color w:val="auto"/>
          <w:sz w:val="24"/>
          <w:vertAlign w:val="superscript"/>
        </w:rPr>
        <w:t>3</w:t>
      </w:r>
      <w:r>
        <w:rPr>
          <w:color w:val="auto"/>
          <w:sz w:val="24"/>
        </w:rPr>
        <w:t>。项目在施工期间，通过覆盖表土、洒水喷淋等方式对施工扬尘进行处理。每天洒水4-5次时，扬尘可减少70%左右，可有效减轻扬尘的飘散，使能最大程度地减小对外影响的影响。颗粒物浓度可达广东省地方标准《大气污染物排放限值》(DB44/27-2001)第二时段无组织排放监控点浓度限值。</w:t>
      </w:r>
    </w:p>
    <w:p>
      <w:pPr>
        <w:adjustRightInd w:val="0"/>
        <w:spacing w:line="360" w:lineRule="auto"/>
        <w:ind w:firstLine="480" w:firstLineChars="200"/>
        <w:jc w:val="left"/>
        <w:rPr>
          <w:color w:val="auto"/>
          <w:sz w:val="24"/>
        </w:rPr>
      </w:pPr>
      <w:r>
        <w:rPr>
          <w:color w:val="auto"/>
          <w:sz w:val="24"/>
        </w:rPr>
        <w:t>为进一步减少施工期扬尘对周围环境的影响的程度和范围，建议建设单位和施工单位严格落实好相关的要求及建议措施，具体防治措施如下：</w:t>
      </w:r>
    </w:p>
    <w:p>
      <w:pPr>
        <w:adjustRightInd w:val="0"/>
        <w:spacing w:line="360" w:lineRule="auto"/>
        <w:ind w:firstLine="480" w:firstLineChars="200"/>
        <w:jc w:val="left"/>
        <w:rPr>
          <w:color w:val="auto"/>
          <w:sz w:val="24"/>
          <w:shd w:val="clear" w:color="auto" w:fill="FFFFFF"/>
        </w:rPr>
      </w:pPr>
      <w:r>
        <w:rPr>
          <w:color w:val="auto"/>
          <w:sz w:val="24"/>
        </w:rPr>
        <w:t>①</w:t>
      </w:r>
      <w:r>
        <w:rPr>
          <w:color w:val="auto"/>
          <w:sz w:val="24"/>
          <w:shd w:val="clear" w:color="auto" w:fill="FFFFFF"/>
        </w:rPr>
        <w:t>在施工现场配备扬尘污染防治管理人员，按日做好包括覆盖面积、出入洗车次数及持续时间、洒水次数及持续时间等内容的扬尘污染防治措施实施情况记录；</w:t>
      </w:r>
    </w:p>
    <w:p>
      <w:pPr>
        <w:adjustRightInd w:val="0"/>
        <w:spacing w:line="360" w:lineRule="auto"/>
        <w:ind w:firstLine="480" w:firstLineChars="200"/>
        <w:jc w:val="left"/>
        <w:rPr>
          <w:color w:val="auto"/>
          <w:sz w:val="24"/>
          <w:shd w:val="clear" w:color="auto" w:fill="FFFFFF"/>
        </w:rPr>
      </w:pPr>
      <w:r>
        <w:rPr>
          <w:color w:val="auto"/>
          <w:sz w:val="24"/>
        </w:rPr>
        <w:t>②对施工现场实施合理化管理，施工现场应设置连接、密闭的围挡进行封闭施工，围栏高度不应低于2.5米，</w:t>
      </w:r>
      <w:r>
        <w:rPr>
          <w:color w:val="auto"/>
          <w:sz w:val="24"/>
          <w:shd w:val="clear" w:color="auto" w:fill="FFFFFF"/>
        </w:rPr>
        <w:t>工脚手架外侧应当设置符合标准的密目防尘网（布）等有效扬尘污染防治设施；</w:t>
      </w:r>
    </w:p>
    <w:p>
      <w:pPr>
        <w:adjustRightInd w:val="0"/>
        <w:spacing w:line="360" w:lineRule="auto"/>
        <w:ind w:firstLine="480" w:firstLineChars="200"/>
        <w:jc w:val="left"/>
        <w:rPr>
          <w:color w:val="auto"/>
          <w:sz w:val="24"/>
          <w:shd w:val="clear" w:color="auto" w:fill="FFFFFF"/>
        </w:rPr>
      </w:pPr>
      <w:r>
        <w:rPr>
          <w:color w:val="auto"/>
          <w:sz w:val="24"/>
          <w:shd w:val="clear" w:color="auto" w:fill="FFFFFF"/>
        </w:rPr>
        <w:t>③施工工地出入口通道不得有泥浆、泥土和建筑垃圾；出入口内侧应设置混凝土挠捣的洗车设施和沉淀池，配备高压冲洗装置；</w:t>
      </w:r>
    </w:p>
    <w:p>
      <w:pPr>
        <w:adjustRightInd w:val="0"/>
        <w:spacing w:line="360" w:lineRule="auto"/>
        <w:ind w:firstLine="480" w:firstLineChars="200"/>
        <w:jc w:val="left"/>
        <w:rPr>
          <w:color w:val="auto"/>
          <w:sz w:val="24"/>
        </w:rPr>
      </w:pPr>
      <w:r>
        <w:rPr>
          <w:color w:val="auto"/>
          <w:sz w:val="24"/>
          <w:shd w:val="clear" w:color="auto" w:fill="FFFFFF"/>
        </w:rPr>
        <w:t>④按时对作业的裸露地面进行洒水；四十八小时内不作业的裸露地面采取定时洒水等扬尘污染防治措施；超过四十八小时不作业的，采取覆盖等扬尘污染防治措施；</w:t>
      </w:r>
    </w:p>
    <w:p>
      <w:pPr>
        <w:adjustRightInd w:val="0"/>
        <w:spacing w:line="360" w:lineRule="auto"/>
        <w:ind w:firstLine="480" w:firstLineChars="200"/>
        <w:jc w:val="left"/>
        <w:rPr>
          <w:color w:val="auto"/>
          <w:sz w:val="24"/>
        </w:rPr>
      </w:pPr>
      <w:r>
        <w:rPr>
          <w:color w:val="auto"/>
          <w:sz w:val="24"/>
        </w:rPr>
        <w:t>⑤</w:t>
      </w:r>
      <w:r>
        <w:rPr>
          <w:color w:val="auto"/>
          <w:sz w:val="24"/>
          <w:shd w:val="clear" w:color="auto" w:fill="FFFFFF"/>
        </w:rPr>
        <w:t>在施工工地的出入口、材料堆放区、材料加工区、生活区、主要通道等区域进行硬底化，并安装喷淋设备等扬尘污染防治设施；</w:t>
      </w:r>
      <w:r>
        <w:rPr>
          <w:color w:val="auto"/>
          <w:sz w:val="24"/>
          <w:shd w:val="clear" w:color="auto" w:fill="FFFFFF"/>
        </w:rPr>
        <w:br w:type="textWrapping"/>
      </w:r>
      <w:r>
        <w:rPr>
          <w:color w:val="auto"/>
          <w:sz w:val="24"/>
          <w:shd w:val="clear" w:color="auto" w:fill="FFFFFF"/>
        </w:rPr>
        <w:t xml:space="preserve">    </w:t>
      </w:r>
      <w:r>
        <w:rPr>
          <w:color w:val="auto"/>
          <w:sz w:val="24"/>
        </w:rPr>
        <w:t>⑥</w:t>
      </w:r>
      <w:r>
        <w:rPr>
          <w:color w:val="auto"/>
          <w:sz w:val="24"/>
          <w:shd w:val="clear" w:color="auto" w:fill="FFFFFF"/>
        </w:rPr>
        <w:t>在施工工地堆放的砂石等工程材料密闭存放或者覆盖；及时清运建筑土方、工程渣土和建筑垃圾，无法及时清运的，采用封闭式防尘网遮盖，并定时洒水；不得将建筑垃圾交给个人或者未经核准从事建筑垃圾运输的单位运输；</w:t>
      </w:r>
      <w:r>
        <w:rPr>
          <w:color w:val="auto"/>
          <w:sz w:val="24"/>
          <w:shd w:val="clear" w:color="auto" w:fill="FFFFFF"/>
        </w:rPr>
        <w:br w:type="textWrapping"/>
      </w:r>
      <w:r>
        <w:rPr>
          <w:color w:val="auto"/>
          <w:sz w:val="24"/>
          <w:shd w:val="clear" w:color="auto" w:fill="FFFFFF"/>
        </w:rPr>
        <w:t xml:space="preserve">   </w:t>
      </w:r>
      <w:r>
        <w:rPr>
          <w:rFonts w:hint="eastAsia"/>
          <w:color w:val="auto"/>
          <w:sz w:val="24"/>
          <w:shd w:val="clear" w:color="auto" w:fill="FFFFFF"/>
        </w:rPr>
        <w:t xml:space="preserve"> </w:t>
      </w:r>
      <w:r>
        <w:rPr>
          <w:color w:val="auto"/>
          <w:sz w:val="24"/>
        </w:rPr>
        <w:t>经以上治理措施处理后，可将施工扬尘对周围环境产生的影响降至最小</w:t>
      </w:r>
      <w:r>
        <w:rPr>
          <w:rFonts w:hint="eastAsia"/>
          <w:color w:val="auto"/>
          <w:sz w:val="24"/>
        </w:rPr>
        <w:t>，项目飘散的粉尘可得到有效控制。且项目的</w:t>
      </w:r>
      <w:r>
        <w:rPr>
          <w:color w:val="auto"/>
          <w:sz w:val="24"/>
        </w:rPr>
        <w:t>施工扬尘造成的大气污染是短期、暂时、局部的，随着施工期的结束而消失。</w:t>
      </w:r>
      <w:r>
        <w:rPr>
          <w:rFonts w:hint="eastAsia"/>
          <w:color w:val="auto"/>
          <w:sz w:val="24"/>
        </w:rPr>
        <w:t>最近敏感点界牌村位于本项目西北面840m处，经喷淋、覆盖表土等措施处理后，项目在施工期间产生的粉尘难以飘散至该处，项目的施工建设对周边环境影响不大。</w:t>
      </w:r>
    </w:p>
    <w:p>
      <w:pPr>
        <w:adjustRightInd w:val="0"/>
        <w:spacing w:line="360" w:lineRule="auto"/>
        <w:ind w:firstLine="480" w:firstLineChars="200"/>
        <w:jc w:val="left"/>
        <w:rPr>
          <w:color w:val="auto"/>
          <w:sz w:val="24"/>
        </w:rPr>
      </w:pPr>
      <w:r>
        <w:rPr>
          <w:rFonts w:hint="eastAsia"/>
          <w:color w:val="auto"/>
          <w:sz w:val="24"/>
        </w:rPr>
        <w:t>（2）施工机械设备燃油废气</w:t>
      </w:r>
    </w:p>
    <w:p>
      <w:pPr>
        <w:adjustRightInd w:val="0"/>
        <w:spacing w:line="360" w:lineRule="auto"/>
        <w:ind w:firstLine="480" w:firstLineChars="200"/>
        <w:rPr>
          <w:color w:val="auto"/>
          <w:sz w:val="24"/>
        </w:rPr>
      </w:pPr>
      <w:r>
        <w:rPr>
          <w:rFonts w:hint="eastAsia"/>
          <w:color w:val="auto"/>
          <w:sz w:val="24"/>
        </w:rPr>
        <w:t>施工期间，机械设备在使用过程中会产生燃油废气，废气中污染物主要有SO</w:t>
      </w:r>
      <w:r>
        <w:rPr>
          <w:rFonts w:hint="eastAsia"/>
          <w:color w:val="auto"/>
          <w:sz w:val="24"/>
          <w:vertAlign w:val="subscript"/>
        </w:rPr>
        <w:t>2</w:t>
      </w:r>
      <w:r>
        <w:rPr>
          <w:rFonts w:hint="eastAsia"/>
          <w:color w:val="auto"/>
          <w:sz w:val="24"/>
        </w:rPr>
        <w:t>、NO</w:t>
      </w:r>
      <w:r>
        <w:rPr>
          <w:rFonts w:hint="eastAsia"/>
          <w:color w:val="auto"/>
          <w:sz w:val="24"/>
          <w:vertAlign w:val="subscript"/>
        </w:rPr>
        <w:t>X</w:t>
      </w:r>
      <w:r>
        <w:rPr>
          <w:rFonts w:hint="eastAsia"/>
          <w:color w:val="auto"/>
          <w:sz w:val="24"/>
        </w:rPr>
        <w:t>、CO等。建设单位应加强施工作业的管理，规范机械设备的使用，禁止使用劣质燃料，尽量减少燃油废气的产生。虽然施工机械多为大型机械，单车排放系数较大，但施工机械均获得</w:t>
      </w:r>
      <w:r>
        <w:rPr>
          <w:rFonts w:hint="eastAsia" w:ascii="Arial" w:hAnsi="Arial" w:cs="Arial"/>
          <w:color w:val="auto"/>
          <w:sz w:val="24"/>
          <w:shd w:val="clear" w:color="auto" w:fill="FFFFFF"/>
        </w:rPr>
        <w:t>机动车绿色环保标志，符合国家规定机动车尾气排放标准。且项目使用的机械车辆</w:t>
      </w:r>
      <w:r>
        <w:rPr>
          <w:rFonts w:hint="eastAsia"/>
          <w:color w:val="auto"/>
          <w:sz w:val="24"/>
        </w:rPr>
        <w:t>数量少，施工机械运行时间短，其污染程度相对较轻。废气的排放</w:t>
      </w:r>
      <w:r>
        <w:rPr>
          <w:color w:val="auto"/>
          <w:sz w:val="24"/>
        </w:rPr>
        <w:t>可达广东省地方标准《大气污染物排放限值》(DB44/27-2001)第二时段无组织排放监控点浓度限值。</w:t>
      </w:r>
      <w:r>
        <w:rPr>
          <w:rFonts w:hint="eastAsia"/>
          <w:color w:val="auto"/>
          <w:sz w:val="24"/>
        </w:rPr>
        <w:t>对周边敏感点和附近大气环境影响不大。</w:t>
      </w:r>
    </w:p>
    <w:p>
      <w:pPr>
        <w:tabs>
          <w:tab w:val="left" w:pos="1081"/>
        </w:tabs>
        <w:spacing w:line="360" w:lineRule="auto"/>
        <w:ind w:firstLine="480"/>
        <w:rPr>
          <w:color w:val="auto"/>
          <w:sz w:val="24"/>
        </w:rPr>
      </w:pPr>
      <w:r>
        <w:rPr>
          <w:rFonts w:hint="eastAsia"/>
          <w:color w:val="auto"/>
          <w:sz w:val="24"/>
        </w:rPr>
        <w:t>（3）焊接</w:t>
      </w:r>
      <w:r>
        <w:rPr>
          <w:rFonts w:hint="eastAsia"/>
          <w:color w:val="auto"/>
          <w:sz w:val="24"/>
          <w:lang w:eastAsia="zh-CN"/>
        </w:rPr>
        <w:t>颗粒物</w:t>
      </w:r>
    </w:p>
    <w:p>
      <w:pPr>
        <w:adjustRightInd w:val="0"/>
        <w:spacing w:line="360" w:lineRule="auto"/>
        <w:ind w:firstLine="480" w:firstLineChars="200"/>
        <w:rPr>
          <w:color w:val="auto"/>
          <w:sz w:val="24"/>
        </w:rPr>
      </w:pPr>
      <w:r>
        <w:rPr>
          <w:rFonts w:hint="eastAsia"/>
          <w:color w:val="auto"/>
          <w:sz w:val="24"/>
        </w:rPr>
        <w:t>项目在结构架搭工序中需使用焊机对钢架等进行焊接操作，焊接</w:t>
      </w:r>
      <w:r>
        <w:rPr>
          <w:rFonts w:hint="eastAsia"/>
          <w:color w:val="auto"/>
          <w:sz w:val="24"/>
          <w:lang w:eastAsia="zh-CN"/>
        </w:rPr>
        <w:t>颗粒物</w:t>
      </w:r>
      <w:r>
        <w:rPr>
          <w:rFonts w:hint="eastAsia"/>
          <w:color w:val="auto"/>
          <w:sz w:val="24"/>
        </w:rPr>
        <w:t>以无组织形式排放。但由于仅需要对钢架连接处进行焊接，焊接面积较小，故焊接</w:t>
      </w:r>
      <w:r>
        <w:rPr>
          <w:rFonts w:hint="eastAsia"/>
          <w:color w:val="auto"/>
          <w:sz w:val="24"/>
          <w:lang w:eastAsia="zh-CN"/>
        </w:rPr>
        <w:t>颗粒物</w:t>
      </w:r>
      <w:r>
        <w:rPr>
          <w:rFonts w:hint="eastAsia"/>
          <w:color w:val="auto"/>
          <w:sz w:val="24"/>
        </w:rPr>
        <w:t>的产生量少。而且焊接时通风良好，焊接</w:t>
      </w:r>
      <w:r>
        <w:rPr>
          <w:rFonts w:hint="eastAsia"/>
          <w:color w:val="auto"/>
          <w:sz w:val="24"/>
          <w:lang w:eastAsia="zh-CN"/>
        </w:rPr>
        <w:t>颗粒物</w:t>
      </w:r>
      <w:r>
        <w:rPr>
          <w:rFonts w:hint="eastAsia"/>
          <w:color w:val="auto"/>
          <w:sz w:val="24"/>
        </w:rPr>
        <w:t>产生后会被迅速稀释，排放浓度较低，故对环境影响轻微。</w:t>
      </w:r>
      <w:r>
        <w:rPr>
          <w:color w:val="auto"/>
          <w:sz w:val="24"/>
        </w:rPr>
        <w:t>颗粒物浓度可达广东省地方标准《大气污染物排放限值》(DB44/27-2001)第二时段无组织排放监控点浓度限值。</w:t>
      </w:r>
      <w:r>
        <w:rPr>
          <w:rFonts w:hint="eastAsia"/>
          <w:color w:val="auto"/>
          <w:sz w:val="24"/>
        </w:rPr>
        <w:t>对周边敏感点和附近大气环境影响不大。</w:t>
      </w:r>
    </w:p>
    <w:p>
      <w:pPr>
        <w:adjustRightInd w:val="0"/>
        <w:snapToGrid w:val="0"/>
        <w:spacing w:line="360" w:lineRule="auto"/>
        <w:outlineLvl w:val="2"/>
        <w:rPr>
          <w:b/>
          <w:bCs/>
          <w:color w:val="auto"/>
          <w:sz w:val="28"/>
          <w:szCs w:val="28"/>
        </w:rPr>
      </w:pPr>
      <w:bookmarkStart w:id="588" w:name="_Toc30290"/>
      <w:r>
        <w:rPr>
          <w:rFonts w:hint="eastAsia"/>
          <w:b/>
          <w:bCs/>
          <w:color w:val="auto"/>
          <w:sz w:val="28"/>
          <w:szCs w:val="28"/>
        </w:rPr>
        <w:t>6.1.3  施工期声环境影响分析</w:t>
      </w:r>
      <w:bookmarkEnd w:id="588"/>
    </w:p>
    <w:p>
      <w:pPr>
        <w:adjustRightInd w:val="0"/>
        <w:snapToGrid w:val="0"/>
        <w:spacing w:line="360" w:lineRule="auto"/>
        <w:ind w:firstLine="480" w:firstLineChars="200"/>
        <w:rPr>
          <w:color w:val="auto"/>
          <w:sz w:val="24"/>
        </w:rPr>
      </w:pPr>
      <w:r>
        <w:rPr>
          <w:bCs/>
          <w:color w:val="auto"/>
          <w:sz w:val="24"/>
        </w:rPr>
        <w:t>施工噪声源主要为施工设备及机械设备如</w:t>
      </w:r>
      <w:r>
        <w:rPr>
          <w:color w:val="auto"/>
          <w:sz w:val="24"/>
        </w:rPr>
        <w:t>液压挖掘机</w:t>
      </w:r>
      <w:r>
        <w:rPr>
          <w:bCs/>
          <w:color w:val="auto"/>
          <w:sz w:val="24"/>
        </w:rPr>
        <w:t>、</w:t>
      </w:r>
      <w:r>
        <w:rPr>
          <w:color w:val="auto"/>
          <w:sz w:val="24"/>
        </w:rPr>
        <w:t>重型运输车</w:t>
      </w:r>
      <w:r>
        <w:rPr>
          <w:bCs/>
          <w:color w:val="auto"/>
          <w:sz w:val="24"/>
        </w:rPr>
        <w:t>、</w:t>
      </w:r>
      <w:r>
        <w:rPr>
          <w:color w:val="auto"/>
          <w:kern w:val="0"/>
          <w:sz w:val="24"/>
        </w:rPr>
        <w:t>振动夯锤</w:t>
      </w:r>
      <w:r>
        <w:rPr>
          <w:bCs/>
          <w:color w:val="auto"/>
          <w:sz w:val="24"/>
        </w:rPr>
        <w:t>、挖掘机、</w:t>
      </w:r>
      <w:r>
        <w:rPr>
          <w:color w:val="auto"/>
          <w:sz w:val="24"/>
        </w:rPr>
        <w:t>商砼搅拌车</w:t>
      </w:r>
      <w:r>
        <w:rPr>
          <w:bCs/>
          <w:color w:val="auto"/>
          <w:sz w:val="24"/>
        </w:rPr>
        <w:t>等运行时产生的噪声，其噪声值在70~105dB(A)。</w:t>
      </w:r>
      <w:r>
        <w:rPr>
          <w:color w:val="auto"/>
          <w:sz w:val="24"/>
        </w:rPr>
        <w:t>项目施工期噪声具有临时性、阶段性等特点，施工结束，项目施工期噪声对周围声环境的影响就会停止，高噪声机械设备在施工期使用时间较短，采取上述措施后，项目施工期产生的噪声可达《建筑施工场界环境噪声排放标准》（GB12523-2011）的规定，即建筑施工过程中场界环境噪声昼间的噪声限值≤70dB(A)（</w:t>
      </w:r>
      <w:r>
        <w:rPr>
          <w:rFonts w:hint="eastAsia"/>
          <w:color w:val="auto"/>
          <w:sz w:val="24"/>
        </w:rPr>
        <w:t>本项目</w:t>
      </w:r>
      <w:r>
        <w:rPr>
          <w:color w:val="auto"/>
          <w:sz w:val="24"/>
        </w:rPr>
        <w:t>夜间不</w:t>
      </w:r>
      <w:r>
        <w:rPr>
          <w:rFonts w:hint="eastAsia"/>
          <w:color w:val="auto"/>
          <w:sz w:val="24"/>
        </w:rPr>
        <w:t>施工</w:t>
      </w:r>
      <w:r>
        <w:rPr>
          <w:color w:val="auto"/>
          <w:sz w:val="24"/>
        </w:rPr>
        <w:t>）</w:t>
      </w:r>
      <w:r>
        <w:rPr>
          <w:rFonts w:hint="eastAsia"/>
          <w:color w:val="auto"/>
          <w:sz w:val="24"/>
        </w:rPr>
        <w:t>。</w:t>
      </w:r>
    </w:p>
    <w:p>
      <w:pPr>
        <w:pStyle w:val="29"/>
        <w:adjustRightInd w:val="0"/>
        <w:snapToGrid w:val="0"/>
        <w:spacing w:line="360" w:lineRule="auto"/>
        <w:ind w:firstLine="480"/>
        <w:rPr>
          <w:rFonts w:ascii="Times New Roman" w:hAnsi="Times New Roman"/>
          <w:color w:val="auto"/>
          <w:sz w:val="24"/>
          <w:szCs w:val="24"/>
        </w:rPr>
      </w:pPr>
      <w:r>
        <w:rPr>
          <w:rFonts w:hint="eastAsia" w:ascii="Times New Roman" w:hAnsi="Times New Roman"/>
          <w:color w:val="auto"/>
          <w:sz w:val="24"/>
          <w:szCs w:val="24"/>
        </w:rPr>
        <w:t>噪声</w:t>
      </w:r>
      <w:r>
        <w:rPr>
          <w:rFonts w:ascii="Times New Roman" w:hAnsi="Times New Roman"/>
          <w:color w:val="auto"/>
          <w:sz w:val="24"/>
          <w:szCs w:val="24"/>
        </w:rPr>
        <w:t>距离衰减</w:t>
      </w:r>
      <w:r>
        <w:rPr>
          <w:rFonts w:hint="eastAsia" w:ascii="Times New Roman" w:hAnsi="Times New Roman"/>
          <w:color w:val="auto"/>
          <w:sz w:val="24"/>
          <w:szCs w:val="24"/>
        </w:rPr>
        <w:t>公式如下：</w:t>
      </w:r>
    </w:p>
    <w:p>
      <w:pPr>
        <w:pStyle w:val="29"/>
        <w:adjustRightInd w:val="0"/>
        <w:snapToGrid w:val="0"/>
        <w:spacing w:line="360" w:lineRule="auto"/>
        <w:ind w:firstLine="480"/>
        <w:jc w:val="center"/>
        <w:rPr>
          <w:rFonts w:ascii="Times New Roman" w:hAnsi="Times New Roman"/>
          <w:color w:val="auto"/>
          <w:sz w:val="24"/>
          <w:szCs w:val="24"/>
        </w:rPr>
      </w:pPr>
      <w:r>
        <w:rPr>
          <w:rFonts w:ascii="Times New Roman" w:hAnsi="Times New Roman"/>
          <w:color w:val="auto"/>
          <w:sz w:val="24"/>
          <w:szCs w:val="24"/>
        </w:rPr>
        <w:t>距离衰减Ar=10lg(2πr</w:t>
      </w:r>
      <w:r>
        <w:rPr>
          <w:rFonts w:ascii="Times New Roman" w:hAnsi="Times New Roman"/>
          <w:color w:val="auto"/>
          <w:sz w:val="24"/>
          <w:szCs w:val="24"/>
          <w:vertAlign w:val="superscript"/>
        </w:rPr>
        <w:t>2</w:t>
      </w:r>
      <w:r>
        <w:rPr>
          <w:rFonts w:ascii="Times New Roman" w:hAnsi="Times New Roman"/>
          <w:color w:val="auto"/>
          <w:sz w:val="24"/>
          <w:szCs w:val="24"/>
        </w:rPr>
        <w:t>)</w:t>
      </w:r>
    </w:p>
    <w:p>
      <w:pPr>
        <w:pStyle w:val="29"/>
        <w:adjustRightInd w:val="0"/>
        <w:snapToGrid w:val="0"/>
        <w:spacing w:line="360" w:lineRule="auto"/>
        <w:ind w:firstLine="480"/>
        <w:rPr>
          <w:rFonts w:ascii="Times New Roman" w:hAnsi="Times New Roman"/>
          <w:color w:val="auto"/>
          <w:sz w:val="24"/>
          <w:szCs w:val="24"/>
        </w:rPr>
      </w:pPr>
      <w:r>
        <w:rPr>
          <w:rFonts w:ascii="Times New Roman" w:hAnsi="Times New Roman"/>
          <w:color w:val="auto"/>
          <w:sz w:val="24"/>
          <w:szCs w:val="24"/>
        </w:rPr>
        <w:t>式中：r 为整体声源离预测点的距离，m</w:t>
      </w:r>
    </w:p>
    <w:p>
      <w:pPr>
        <w:pStyle w:val="29"/>
        <w:adjustRightInd w:val="0"/>
        <w:snapToGrid w:val="0"/>
        <w:spacing w:line="360" w:lineRule="auto"/>
        <w:ind w:firstLine="480"/>
        <w:rPr>
          <w:rFonts w:ascii="Times New Roman" w:hAnsi="Times New Roman"/>
          <w:color w:val="auto"/>
          <w:sz w:val="24"/>
          <w:szCs w:val="24"/>
        </w:rPr>
      </w:pPr>
      <w:r>
        <w:rPr>
          <w:rFonts w:hint="eastAsia" w:ascii="Times New Roman" w:hAnsi="Times New Roman"/>
          <w:color w:val="auto"/>
          <w:sz w:val="24"/>
          <w:szCs w:val="24"/>
        </w:rPr>
        <w:t>噪声叠加公式如下：</w:t>
      </w:r>
    </w:p>
    <w:p>
      <w:pPr>
        <w:pStyle w:val="29"/>
        <w:adjustRightInd w:val="0"/>
        <w:snapToGrid w:val="0"/>
        <w:spacing w:line="360" w:lineRule="auto"/>
        <w:jc w:val="center"/>
        <w:rPr>
          <w:color w:val="auto"/>
        </w:rPr>
      </w:pPr>
      <w:r>
        <w:rPr>
          <w:color w:val="auto"/>
        </w:rPr>
        <w:drawing>
          <wp:inline distT="0" distB="0" distL="114300" distR="114300">
            <wp:extent cx="2100580" cy="285115"/>
            <wp:effectExtent l="0" t="0" r="13970" b="635"/>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pic:cNvPicPr>
                      <a:picLocks noChangeAspect="1"/>
                    </pic:cNvPicPr>
                  </pic:nvPicPr>
                  <pic:blipFill>
                    <a:blip r:embed="rId89"/>
                    <a:stretch>
                      <a:fillRect/>
                    </a:stretch>
                  </pic:blipFill>
                  <pic:spPr>
                    <a:xfrm>
                      <a:off x="0" y="0"/>
                      <a:ext cx="2100580" cy="285115"/>
                    </a:xfrm>
                    <a:prstGeom prst="rect">
                      <a:avLst/>
                    </a:prstGeom>
                    <a:noFill/>
                    <a:ln w="9525">
                      <a:noFill/>
                    </a:ln>
                  </pic:spPr>
                </pic:pic>
              </a:graphicData>
            </a:graphic>
          </wp:inline>
        </w:drawing>
      </w:r>
    </w:p>
    <w:p>
      <w:pPr>
        <w:pStyle w:val="29"/>
        <w:adjustRightInd w:val="0"/>
        <w:snapToGrid w:val="0"/>
        <w:spacing w:line="360" w:lineRule="auto"/>
        <w:ind w:firstLine="480"/>
        <w:rPr>
          <w:rFonts w:ascii="Times New Roman" w:hAnsi="Times New Roman"/>
          <w:color w:val="auto"/>
          <w:sz w:val="24"/>
          <w:szCs w:val="24"/>
        </w:rPr>
      </w:pPr>
      <w:r>
        <w:rPr>
          <w:rFonts w:ascii="Times New Roman" w:hAnsi="Times New Roman"/>
          <w:color w:val="auto"/>
          <w:sz w:val="24"/>
          <w:szCs w:val="24"/>
        </w:rPr>
        <w:t>式中：</w:t>
      </w:r>
      <w:r>
        <w:rPr>
          <w:rFonts w:hint="eastAsia" w:ascii="Times New Roman" w:hAnsi="Times New Roman"/>
          <w:color w:val="auto"/>
          <w:sz w:val="24"/>
          <w:szCs w:val="24"/>
        </w:rPr>
        <w:t>Lp——总声压级，dB；</w:t>
      </w:r>
    </w:p>
    <w:p>
      <w:pPr>
        <w:pStyle w:val="29"/>
        <w:adjustRightInd w:val="0"/>
        <w:snapToGrid w:val="0"/>
        <w:spacing w:line="360" w:lineRule="auto"/>
        <w:ind w:firstLine="480"/>
        <w:rPr>
          <w:rFonts w:ascii="Times New Roman" w:hAnsi="Times New Roman"/>
          <w:color w:val="auto"/>
          <w:sz w:val="24"/>
          <w:szCs w:val="24"/>
        </w:rPr>
      </w:pPr>
      <w:r>
        <w:rPr>
          <w:rFonts w:hint="eastAsia" w:ascii="Times New Roman" w:hAnsi="Times New Roman"/>
          <w:color w:val="auto"/>
          <w:sz w:val="24"/>
          <w:szCs w:val="24"/>
        </w:rPr>
        <w:t xml:space="preserve">      Lp1——声源1的声压级，dB；</w:t>
      </w:r>
    </w:p>
    <w:p>
      <w:pPr>
        <w:pStyle w:val="29"/>
        <w:adjustRightInd w:val="0"/>
        <w:snapToGrid w:val="0"/>
        <w:spacing w:line="360" w:lineRule="auto"/>
        <w:ind w:firstLine="1200" w:firstLineChars="500"/>
        <w:rPr>
          <w:rFonts w:ascii="Times New Roman" w:hAnsi="Times New Roman"/>
          <w:color w:val="auto"/>
          <w:sz w:val="24"/>
          <w:szCs w:val="24"/>
        </w:rPr>
      </w:pPr>
      <w:r>
        <w:rPr>
          <w:rFonts w:hint="eastAsia" w:ascii="Times New Roman" w:hAnsi="Times New Roman"/>
          <w:color w:val="auto"/>
          <w:sz w:val="24"/>
          <w:szCs w:val="24"/>
        </w:rPr>
        <w:t>Lp2——声源2的声压级，dB。</w:t>
      </w:r>
    </w:p>
    <w:p>
      <w:pPr>
        <w:adjustRightInd w:val="0"/>
        <w:snapToGrid w:val="0"/>
        <w:spacing w:line="360" w:lineRule="auto"/>
        <w:ind w:firstLine="480" w:firstLineChars="200"/>
        <w:rPr>
          <w:color w:val="auto"/>
          <w:sz w:val="24"/>
        </w:rPr>
      </w:pPr>
      <w:r>
        <w:rPr>
          <w:rFonts w:hint="eastAsia"/>
          <w:color w:val="auto"/>
          <w:sz w:val="24"/>
        </w:rPr>
        <w:t>由上式可知，项目施工产生的噪声经该段距离的衰减，可大幅减小噪声值。项目边界噪声值以70</w:t>
      </w:r>
      <w:r>
        <w:rPr>
          <w:color w:val="auto"/>
          <w:sz w:val="24"/>
        </w:rPr>
        <w:t>dB(A)</w:t>
      </w:r>
      <w:r>
        <w:rPr>
          <w:rFonts w:hint="eastAsia"/>
          <w:color w:val="auto"/>
          <w:sz w:val="24"/>
        </w:rPr>
        <w:t>计算。本项目施工期噪声预测详见下表。</w:t>
      </w:r>
    </w:p>
    <w:p>
      <w:pPr>
        <w:adjustRightInd w:val="0"/>
        <w:snapToGrid w:val="0"/>
        <w:spacing w:line="360" w:lineRule="auto"/>
        <w:ind w:firstLine="482" w:firstLineChars="200"/>
        <w:jc w:val="center"/>
        <w:rPr>
          <w:b/>
          <w:bCs/>
          <w:color w:val="auto"/>
          <w:sz w:val="24"/>
        </w:rPr>
      </w:pPr>
    </w:p>
    <w:p>
      <w:pPr>
        <w:adjustRightInd w:val="0"/>
        <w:snapToGrid w:val="0"/>
        <w:spacing w:line="360" w:lineRule="auto"/>
        <w:ind w:firstLine="422" w:firstLineChars="200"/>
        <w:jc w:val="center"/>
        <w:rPr>
          <w:b/>
          <w:bCs/>
          <w:color w:val="auto"/>
          <w:szCs w:val="21"/>
        </w:rPr>
      </w:pPr>
      <w:r>
        <w:rPr>
          <w:rFonts w:hint="eastAsia"/>
          <w:b/>
          <w:bCs/>
          <w:color w:val="auto"/>
          <w:szCs w:val="21"/>
        </w:rPr>
        <w:t>表6.1-1  施工期噪声预测值一览表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2"/>
        <w:gridCol w:w="1792"/>
        <w:gridCol w:w="1792"/>
        <w:gridCol w:w="1792"/>
        <w:gridCol w:w="1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距离（m）</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衰减值（dB（A））</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贡献值（dB（A））</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背景值（dB（A））</w:t>
            </w:r>
          </w:p>
        </w:tc>
        <w:tc>
          <w:tcPr>
            <w:tcW w:w="1780" w:type="dxa"/>
            <w:tcBorders>
              <w:tl2br w:val="nil"/>
              <w:tr2bl w:val="nil"/>
            </w:tcBorders>
            <w:vAlign w:val="center"/>
          </w:tcPr>
          <w:p>
            <w:pPr>
              <w:widowControl/>
              <w:jc w:val="center"/>
              <w:textAlignment w:val="center"/>
              <w:rPr>
                <w:color w:val="auto"/>
                <w:szCs w:val="21"/>
              </w:rPr>
            </w:pPr>
            <w:r>
              <w:rPr>
                <w:color w:val="auto"/>
                <w:kern w:val="0"/>
                <w:szCs w:val="21"/>
                <w:lang w:bidi="ar"/>
              </w:rPr>
              <w:t>叠加值（dB（A））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10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27.98</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42.02</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34</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36</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30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37.52</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32.48</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40.02</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29.98</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41.96</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28.04</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43.54</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26.46</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70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44.88</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25.12</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80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46.04</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23.96</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90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47.07</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22.93</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92</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47.26</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22.74</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100</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47.98</w:t>
            </w:r>
          </w:p>
        </w:tc>
        <w:tc>
          <w:tcPr>
            <w:tcW w:w="1792" w:type="dxa"/>
            <w:tcBorders>
              <w:tl2br w:val="nil"/>
              <w:tr2bl w:val="nil"/>
            </w:tcBorders>
            <w:vAlign w:val="center"/>
          </w:tcPr>
          <w:p>
            <w:pPr>
              <w:widowControl/>
              <w:jc w:val="center"/>
              <w:textAlignment w:val="center"/>
              <w:rPr>
                <w:color w:val="auto"/>
                <w:szCs w:val="21"/>
              </w:rPr>
            </w:pPr>
            <w:r>
              <w:rPr>
                <w:color w:val="auto"/>
                <w:kern w:val="0"/>
                <w:szCs w:val="21"/>
                <w:lang w:bidi="ar"/>
              </w:rPr>
              <w:t>22.02</w:t>
            </w:r>
          </w:p>
        </w:tc>
        <w:tc>
          <w:tcPr>
            <w:tcW w:w="1792"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60.25</w:t>
            </w:r>
          </w:p>
        </w:tc>
        <w:tc>
          <w:tcPr>
            <w:tcW w:w="1780" w:type="dxa"/>
            <w:tcBorders>
              <w:tl2br w:val="nil"/>
              <w:tr2bl w:val="nil"/>
            </w:tcBorders>
            <w:vAlign w:val="center"/>
          </w:tcPr>
          <w:p>
            <w:pPr>
              <w:widowControl/>
              <w:jc w:val="center"/>
              <w:textAlignment w:val="center"/>
              <w:rPr>
                <w:color w:val="auto"/>
                <w:szCs w:val="21"/>
              </w:rPr>
            </w:pPr>
            <w:r>
              <w:rPr>
                <w:rFonts w:hint="eastAsia" w:ascii="宋体" w:hAnsi="宋体" w:cs="宋体"/>
                <w:color w:val="auto"/>
                <w:kern w:val="0"/>
                <w:sz w:val="22"/>
                <w:szCs w:val="22"/>
                <w:lang w:bidi="ar"/>
              </w:rPr>
              <w:t>60.25</w:t>
            </w:r>
          </w:p>
        </w:tc>
      </w:tr>
    </w:tbl>
    <w:p>
      <w:pPr>
        <w:adjustRightInd w:val="0"/>
        <w:snapToGrid w:val="0"/>
        <w:spacing w:line="360" w:lineRule="auto"/>
        <w:ind w:firstLine="480" w:firstLineChars="200"/>
        <w:rPr>
          <w:rStyle w:val="28"/>
          <w:color w:val="auto"/>
        </w:rPr>
      </w:pPr>
      <w:r>
        <w:rPr>
          <w:rFonts w:hint="eastAsia"/>
          <w:color w:val="auto"/>
          <w:sz w:val="24"/>
        </w:rPr>
        <w:t>由上表可得，本项目施工期符合</w:t>
      </w:r>
      <w:r>
        <w:rPr>
          <w:color w:val="auto"/>
          <w:sz w:val="24"/>
        </w:rPr>
        <w:t>《声环境质量标准》（GB3096-2008）</w:t>
      </w:r>
      <w:r>
        <w:rPr>
          <w:rFonts w:hint="eastAsia"/>
          <w:color w:val="auto"/>
          <w:sz w:val="24"/>
        </w:rPr>
        <w:t>3类</w:t>
      </w:r>
      <w:r>
        <w:rPr>
          <w:color w:val="auto"/>
          <w:sz w:val="24"/>
        </w:rPr>
        <w:t>标准的要求</w:t>
      </w:r>
      <w:r>
        <w:rPr>
          <w:rFonts w:hint="eastAsia"/>
          <w:color w:val="auto"/>
          <w:sz w:val="24"/>
        </w:rPr>
        <w:t>，即</w:t>
      </w:r>
      <w:r>
        <w:rPr>
          <w:color w:val="auto"/>
          <w:sz w:val="24"/>
        </w:rPr>
        <w:t>昼间≤</w:t>
      </w:r>
      <w:r>
        <w:rPr>
          <w:rFonts w:hint="eastAsia"/>
          <w:color w:val="auto"/>
          <w:sz w:val="24"/>
        </w:rPr>
        <w:t>65dB</w:t>
      </w:r>
      <w:r>
        <w:rPr>
          <w:color w:val="auto"/>
          <w:sz w:val="24"/>
        </w:rPr>
        <w:t>(A)、夜间≤</w:t>
      </w:r>
      <w:r>
        <w:rPr>
          <w:rFonts w:hint="eastAsia"/>
          <w:color w:val="auto"/>
          <w:sz w:val="24"/>
        </w:rPr>
        <w:t>55dB</w:t>
      </w:r>
      <w:r>
        <w:rPr>
          <w:color w:val="auto"/>
          <w:sz w:val="24"/>
        </w:rPr>
        <w:t>(A)</w:t>
      </w:r>
      <w:r>
        <w:rPr>
          <w:rFonts w:hint="eastAsia"/>
          <w:color w:val="auto"/>
          <w:sz w:val="24"/>
        </w:rPr>
        <w:t>。故本项目施工期</w:t>
      </w:r>
      <w:r>
        <w:rPr>
          <w:color w:val="auto"/>
          <w:sz w:val="24"/>
        </w:rPr>
        <w:t>对周围声</w:t>
      </w:r>
      <w:r>
        <w:rPr>
          <w:rFonts w:hint="eastAsia"/>
          <w:color w:val="auto"/>
          <w:sz w:val="24"/>
        </w:rPr>
        <w:t>环境</w:t>
      </w:r>
      <w:r>
        <w:rPr>
          <w:color w:val="auto"/>
          <w:sz w:val="24"/>
        </w:rPr>
        <w:t>影响较小。</w:t>
      </w:r>
    </w:p>
    <w:p>
      <w:pPr>
        <w:adjustRightInd w:val="0"/>
        <w:snapToGrid w:val="0"/>
        <w:spacing w:line="360" w:lineRule="auto"/>
        <w:ind w:firstLine="480" w:firstLineChars="200"/>
        <w:jc w:val="left"/>
        <w:rPr>
          <w:bCs/>
          <w:color w:val="auto"/>
          <w:sz w:val="24"/>
        </w:rPr>
      </w:pPr>
      <w:r>
        <w:rPr>
          <w:bCs/>
          <w:color w:val="auto"/>
          <w:sz w:val="24"/>
        </w:rPr>
        <w:t>为最大程度的减少对周边敏感目标及环境的噪声影响，建设单位应采取有效的噪声防治措施：</w:t>
      </w:r>
    </w:p>
    <w:p>
      <w:pPr>
        <w:adjustRightInd w:val="0"/>
        <w:snapToGrid w:val="0"/>
        <w:spacing w:line="360" w:lineRule="auto"/>
        <w:ind w:firstLine="480" w:firstLineChars="200"/>
        <w:jc w:val="left"/>
        <w:rPr>
          <w:bCs/>
          <w:color w:val="auto"/>
          <w:sz w:val="24"/>
        </w:rPr>
      </w:pPr>
      <w:r>
        <w:rPr>
          <w:bCs/>
          <w:color w:val="auto"/>
          <w:sz w:val="24"/>
        </w:rPr>
        <w:t>（1）尽量选用低噪音型或带隔声、消声装置的施工机械设备，优先选用先进的环保机械，平时注意机械维修保养。</w:t>
      </w:r>
    </w:p>
    <w:p>
      <w:pPr>
        <w:adjustRightInd w:val="0"/>
        <w:snapToGrid w:val="0"/>
        <w:spacing w:line="360" w:lineRule="auto"/>
        <w:ind w:firstLine="480" w:firstLineChars="200"/>
        <w:jc w:val="left"/>
        <w:rPr>
          <w:bCs/>
          <w:color w:val="auto"/>
          <w:sz w:val="24"/>
        </w:rPr>
      </w:pPr>
      <w:r>
        <w:rPr>
          <w:bCs/>
          <w:color w:val="auto"/>
          <w:sz w:val="24"/>
        </w:rPr>
        <w:t>（2）合理布局施工场所，高噪声作业区应远离声敏感点；施工影响较严重的施工场地，需采取临时的隔声维护结构；在距敏感点较近地方施工时，应设置挡墙等临时隔声屏障等保护措施。</w:t>
      </w:r>
    </w:p>
    <w:p>
      <w:pPr>
        <w:adjustRightInd w:val="0"/>
        <w:snapToGrid w:val="0"/>
        <w:spacing w:line="360" w:lineRule="auto"/>
        <w:ind w:firstLine="480" w:firstLineChars="200"/>
        <w:jc w:val="left"/>
        <w:rPr>
          <w:bCs/>
          <w:color w:val="auto"/>
          <w:sz w:val="24"/>
        </w:rPr>
      </w:pPr>
      <w:r>
        <w:rPr>
          <w:bCs/>
          <w:color w:val="auto"/>
          <w:sz w:val="24"/>
        </w:rPr>
        <w:t>（3）对位置相对固定的机械设备，尽量在工棚内操作；对高噪声设备要进行适当屏蔽，作临时的隔声、消声和减振等综合治理。</w:t>
      </w:r>
    </w:p>
    <w:p>
      <w:pPr>
        <w:adjustRightInd w:val="0"/>
        <w:snapToGrid w:val="0"/>
        <w:spacing w:line="360" w:lineRule="auto"/>
        <w:ind w:firstLine="480" w:firstLineChars="200"/>
        <w:jc w:val="left"/>
        <w:rPr>
          <w:bCs/>
          <w:color w:val="auto"/>
          <w:sz w:val="24"/>
        </w:rPr>
      </w:pPr>
      <w:r>
        <w:rPr>
          <w:bCs/>
          <w:color w:val="auto"/>
          <w:sz w:val="24"/>
        </w:rPr>
        <w:t>（4）施工应安排在昼间8：00～12：00、14：00～18：00期间进行，中午及夜间休息时间禁止施工。在施工现场的入口设置广告牌，在附近敏感点张贴公告通知，写明工程承包商、施工监理单位以及当地环保局的热线电话号码和联系人的姓名，以便群众受到施工带来的噪声、大气污染、交通以及其它不利影响时与有关部门进行联系，并得到解决。</w:t>
      </w:r>
    </w:p>
    <w:p>
      <w:pPr>
        <w:adjustRightInd w:val="0"/>
        <w:snapToGrid w:val="0"/>
        <w:spacing w:line="360" w:lineRule="auto"/>
        <w:ind w:right="57" w:rightChars="27"/>
        <w:outlineLvl w:val="2"/>
        <w:rPr>
          <w:b/>
          <w:bCs/>
          <w:color w:val="auto"/>
          <w:sz w:val="28"/>
          <w:szCs w:val="28"/>
        </w:rPr>
      </w:pPr>
      <w:bookmarkStart w:id="589" w:name="_Toc12980"/>
      <w:r>
        <w:rPr>
          <w:rFonts w:hint="eastAsia"/>
          <w:b/>
          <w:bCs/>
          <w:color w:val="auto"/>
          <w:sz w:val="28"/>
          <w:szCs w:val="28"/>
        </w:rPr>
        <w:t>6.1.4  施工期</w:t>
      </w:r>
      <w:r>
        <w:rPr>
          <w:b/>
          <w:bCs/>
          <w:color w:val="auto"/>
          <w:sz w:val="28"/>
          <w:szCs w:val="28"/>
        </w:rPr>
        <w:t>固体废物</w:t>
      </w:r>
      <w:r>
        <w:rPr>
          <w:rFonts w:hint="eastAsia"/>
          <w:b/>
          <w:bCs/>
          <w:color w:val="auto"/>
          <w:sz w:val="28"/>
          <w:szCs w:val="28"/>
        </w:rPr>
        <w:t>影响分析</w:t>
      </w:r>
      <w:bookmarkEnd w:id="589"/>
    </w:p>
    <w:p>
      <w:pPr>
        <w:adjustRightInd w:val="0"/>
        <w:snapToGrid w:val="0"/>
        <w:spacing w:line="360" w:lineRule="auto"/>
        <w:ind w:firstLine="480" w:firstLineChars="200"/>
        <w:jc w:val="left"/>
        <w:rPr>
          <w:bCs/>
          <w:color w:val="auto"/>
          <w:sz w:val="24"/>
        </w:rPr>
      </w:pPr>
      <w:r>
        <w:rPr>
          <w:bCs/>
          <w:color w:val="auto"/>
          <w:sz w:val="24"/>
        </w:rPr>
        <w:t>本项目施工期固体废物包括土方</w:t>
      </w:r>
      <w:r>
        <w:rPr>
          <w:rFonts w:hint="eastAsia"/>
          <w:bCs/>
          <w:color w:val="auto"/>
          <w:sz w:val="24"/>
        </w:rPr>
        <w:t>和</w:t>
      </w:r>
      <w:r>
        <w:rPr>
          <w:bCs/>
          <w:color w:val="auto"/>
          <w:sz w:val="24"/>
        </w:rPr>
        <w:t>建筑垃圾</w:t>
      </w:r>
      <w:r>
        <w:rPr>
          <w:rFonts w:hint="eastAsia"/>
          <w:bCs/>
          <w:color w:val="auto"/>
          <w:sz w:val="24"/>
        </w:rPr>
        <w:t>、施工人员生活垃圾。</w:t>
      </w:r>
    </w:p>
    <w:p>
      <w:pPr>
        <w:adjustRightInd w:val="0"/>
        <w:snapToGrid w:val="0"/>
        <w:spacing w:line="360" w:lineRule="auto"/>
        <w:ind w:firstLine="480" w:firstLineChars="200"/>
        <w:jc w:val="left"/>
        <w:rPr>
          <w:bCs/>
          <w:color w:val="auto"/>
          <w:sz w:val="24"/>
        </w:rPr>
      </w:pPr>
      <w:r>
        <w:rPr>
          <w:rFonts w:hint="eastAsia"/>
          <w:bCs/>
          <w:color w:val="auto"/>
          <w:sz w:val="24"/>
        </w:rPr>
        <w:t>项目施工期产生弃土方100</w:t>
      </w:r>
      <w:r>
        <w:rPr>
          <w:bCs/>
          <w:color w:val="auto"/>
          <w:sz w:val="24"/>
        </w:rPr>
        <w:t>m</w:t>
      </w:r>
      <w:r>
        <w:rPr>
          <w:bCs/>
          <w:color w:val="auto"/>
          <w:sz w:val="24"/>
          <w:vertAlign w:val="superscript"/>
        </w:rPr>
        <w:t>3</w:t>
      </w:r>
      <w:r>
        <w:rPr>
          <w:rFonts w:hint="eastAsia"/>
          <w:bCs/>
          <w:color w:val="auto"/>
          <w:sz w:val="24"/>
        </w:rPr>
        <w:t>，</w:t>
      </w:r>
      <w:r>
        <w:rPr>
          <w:bCs/>
          <w:color w:val="auto"/>
          <w:sz w:val="24"/>
        </w:rPr>
        <w:t>建筑垃圾产生量约</w:t>
      </w:r>
      <w:r>
        <w:rPr>
          <w:rFonts w:hint="eastAsia"/>
          <w:bCs/>
          <w:color w:val="auto"/>
          <w:sz w:val="24"/>
        </w:rPr>
        <w:t>134.64</w:t>
      </w:r>
      <w:r>
        <w:rPr>
          <w:bCs/>
          <w:color w:val="auto"/>
          <w:sz w:val="24"/>
        </w:rPr>
        <w:t>t</w:t>
      </w:r>
      <w:r>
        <w:rPr>
          <w:snapToGrid w:val="0"/>
          <w:color w:val="auto"/>
          <w:sz w:val="24"/>
        </w:rPr>
        <w:t>，若不妥善处理、随意堆放，会占用土地，造成土地资料浪费，也会影响景观环境。遇到大风天气时，泥土会随风扬起扬尘影响大气环境质量；遇到大</w:t>
      </w:r>
      <w:r>
        <w:rPr>
          <w:bCs/>
          <w:color w:val="auto"/>
          <w:sz w:val="24"/>
        </w:rPr>
        <w:t>雨天气时，泥土会随着雨水流入附近水体影响水环境质量或进入市政管网堵塞管道。</w:t>
      </w:r>
    </w:p>
    <w:p>
      <w:pPr>
        <w:adjustRightInd w:val="0"/>
        <w:snapToGrid w:val="0"/>
        <w:spacing w:line="360" w:lineRule="auto"/>
        <w:ind w:firstLine="480" w:firstLineChars="200"/>
        <w:jc w:val="left"/>
        <w:rPr>
          <w:bCs/>
          <w:color w:val="auto"/>
          <w:sz w:val="24"/>
        </w:rPr>
      </w:pPr>
      <w:r>
        <w:rPr>
          <w:bCs/>
          <w:color w:val="auto"/>
          <w:sz w:val="24"/>
        </w:rPr>
        <w:t>对临时堆放处的弃土应采取遮盖、封闭等措施；弃土方、建筑垃圾应严格按照</w:t>
      </w:r>
      <w:r>
        <w:rPr>
          <w:rFonts w:hint="eastAsia"/>
          <w:bCs/>
          <w:color w:val="auto"/>
          <w:sz w:val="24"/>
        </w:rPr>
        <w:t>相关主</w:t>
      </w:r>
      <w:r>
        <w:rPr>
          <w:bCs/>
          <w:color w:val="auto"/>
          <w:sz w:val="24"/>
        </w:rPr>
        <w:t>管部门提出申请，按规定办理好建筑垃圾排放手续，获得批准后方可在指定的</w:t>
      </w:r>
      <w:r>
        <w:rPr>
          <w:rFonts w:hint="eastAsia"/>
          <w:bCs/>
          <w:color w:val="auto"/>
          <w:sz w:val="24"/>
        </w:rPr>
        <w:t>建筑垃圾处置场地</w:t>
      </w:r>
      <w:r>
        <w:rPr>
          <w:bCs/>
          <w:color w:val="auto"/>
          <w:sz w:val="24"/>
        </w:rPr>
        <w:t>存放。</w:t>
      </w:r>
    </w:p>
    <w:p>
      <w:pPr>
        <w:adjustRightInd w:val="0"/>
        <w:snapToGrid w:val="0"/>
        <w:spacing w:line="360" w:lineRule="auto"/>
        <w:ind w:firstLine="480" w:firstLineChars="200"/>
        <w:jc w:val="left"/>
        <w:rPr>
          <w:color w:val="auto"/>
          <w:sz w:val="24"/>
        </w:rPr>
      </w:pPr>
      <w:r>
        <w:rPr>
          <w:rFonts w:hint="eastAsia"/>
          <w:bCs/>
          <w:color w:val="auto"/>
          <w:sz w:val="24"/>
        </w:rPr>
        <w:t>项目施工期产生的生活垃圾主要为果皮纸屑、包装袋等，产生量为</w:t>
      </w:r>
      <w:r>
        <w:rPr>
          <w:rFonts w:hint="eastAsia"/>
          <w:color w:val="auto"/>
          <w:sz w:val="24"/>
        </w:rPr>
        <w:t>5</w:t>
      </w:r>
      <w:r>
        <w:rPr>
          <w:color w:val="auto"/>
          <w:sz w:val="24"/>
        </w:rPr>
        <w:t>kg/d</w:t>
      </w:r>
      <w:r>
        <w:rPr>
          <w:rFonts w:hint="eastAsia"/>
          <w:color w:val="auto"/>
          <w:sz w:val="24"/>
        </w:rPr>
        <w:t>，施工期以30天计算，则施工期内共产生0.15</w:t>
      </w:r>
      <w:r>
        <w:rPr>
          <w:color w:val="auto"/>
          <w:sz w:val="24"/>
        </w:rPr>
        <w:t>t</w:t>
      </w:r>
      <w:r>
        <w:rPr>
          <w:rFonts w:hint="eastAsia"/>
          <w:color w:val="auto"/>
          <w:sz w:val="24"/>
        </w:rPr>
        <w:t>生活垃圾。其</w:t>
      </w:r>
      <w:r>
        <w:rPr>
          <w:rFonts w:hint="eastAsia"/>
          <w:bCs/>
          <w:color w:val="auto"/>
          <w:sz w:val="24"/>
        </w:rPr>
        <w:t>有机成分较多，如不及时清理，容易腐烂变质，发生恶臭，滋生蚊虫。建设单位应在施工营地、施工工场设置专门</w:t>
      </w:r>
      <w:r>
        <w:rPr>
          <w:color w:val="auto"/>
          <w:sz w:val="24"/>
        </w:rPr>
        <w:t>的垃圾收集点分类收集生活垃圾，定期交由环卫部门清运至生活垃圾填埋场进行无害化填埋处理。生活垃圾尽量做到日日清，并定期对生活垃圾收集点进行消毒、灭菌，避免散发恶臭、孳生蚊虫。</w:t>
      </w:r>
    </w:p>
    <w:p>
      <w:pPr>
        <w:spacing w:line="360" w:lineRule="auto"/>
        <w:ind w:firstLine="480" w:firstLineChars="200"/>
        <w:rPr>
          <w:color w:val="auto"/>
          <w:sz w:val="24"/>
        </w:rPr>
      </w:pPr>
      <w:r>
        <w:rPr>
          <w:color w:val="auto"/>
          <w:sz w:val="24"/>
        </w:rPr>
        <w:t>本项目施工期固体废物经上述处理后，施工期</w:t>
      </w:r>
      <w:r>
        <w:rPr>
          <w:rFonts w:hint="eastAsia"/>
          <w:color w:val="auto"/>
          <w:sz w:val="24"/>
        </w:rPr>
        <w:t>固体</w:t>
      </w:r>
      <w:r>
        <w:rPr>
          <w:color w:val="auto"/>
          <w:sz w:val="24"/>
        </w:rPr>
        <w:t>废物对周围环境影响很小。</w:t>
      </w:r>
    </w:p>
    <w:p>
      <w:pPr>
        <w:adjustRightInd w:val="0"/>
        <w:snapToGrid w:val="0"/>
        <w:spacing w:line="360" w:lineRule="auto"/>
        <w:ind w:right="57" w:rightChars="27"/>
        <w:outlineLvl w:val="2"/>
        <w:rPr>
          <w:b/>
          <w:color w:val="auto"/>
          <w:kern w:val="0"/>
          <w:sz w:val="28"/>
          <w:szCs w:val="28"/>
        </w:rPr>
      </w:pPr>
      <w:bookmarkStart w:id="590" w:name="_Toc2638"/>
      <w:r>
        <w:rPr>
          <w:rFonts w:hint="eastAsia"/>
          <w:b/>
          <w:color w:val="auto"/>
          <w:kern w:val="0"/>
          <w:sz w:val="28"/>
          <w:szCs w:val="28"/>
        </w:rPr>
        <w:t>6.1.5  施工期交通影响分析</w:t>
      </w:r>
      <w:bookmarkEnd w:id="590"/>
    </w:p>
    <w:p>
      <w:pPr>
        <w:adjustRightInd w:val="0"/>
        <w:snapToGrid w:val="0"/>
        <w:spacing w:line="360" w:lineRule="auto"/>
        <w:ind w:right="57" w:rightChars="27" w:firstLine="480" w:firstLineChars="200"/>
        <w:rPr>
          <w:color w:val="auto"/>
        </w:rPr>
      </w:pPr>
      <w:r>
        <w:rPr>
          <w:bCs/>
          <w:color w:val="auto"/>
          <w:sz w:val="24"/>
        </w:rPr>
        <w:t xml:space="preserve">施工期间，弃土方、建筑材料、建筑垃圾的运输需依托城区现有道路，运输车辆会增加当地城市道路的负荷，增加城市交通噪声，同时运输过程可能伴随少量的散落现象，影响市容环境卫生。 </w:t>
      </w:r>
      <w:r>
        <w:rPr>
          <w:rFonts w:hint="eastAsia"/>
          <w:bCs/>
          <w:color w:val="auto"/>
          <w:sz w:val="24"/>
        </w:rPr>
        <w:t>但由于</w:t>
      </w:r>
      <w:r>
        <w:rPr>
          <w:bCs/>
          <w:color w:val="auto"/>
          <w:sz w:val="24"/>
        </w:rPr>
        <w:t>运输车流量占城市现有道路车流量比例很小，不会增加周围公路交通运输压力。运输车辆要求密封，并且严格控制车载量及行车速度，则能有效控制散落现象。因此，本项目施工运输车辆对城市交通影响不大。</w:t>
      </w:r>
    </w:p>
    <w:p>
      <w:pPr>
        <w:adjustRightInd w:val="0"/>
        <w:snapToGrid w:val="0"/>
        <w:spacing w:line="360" w:lineRule="auto"/>
        <w:ind w:firstLine="480" w:firstLineChars="200"/>
        <w:rPr>
          <w:color w:val="auto"/>
          <w:sz w:val="24"/>
        </w:rPr>
      </w:pPr>
      <w:r>
        <w:rPr>
          <w:rFonts w:hint="eastAsia"/>
          <w:color w:val="auto"/>
          <w:sz w:val="24"/>
        </w:rPr>
        <w:t>综上所述，项目施工期时间较短，施工对周边环境的影响是短暂的、局部的，施工期影响将随施工结束而消失，在严格落实好上述各项防治措施的情况下，本项目施工期对周围环境影响较小。</w:t>
      </w:r>
    </w:p>
    <w:p>
      <w:pPr>
        <w:pStyle w:val="5"/>
        <w:numPr>
          <w:ilvl w:val="1"/>
          <w:numId w:val="0"/>
        </w:numPr>
        <w:tabs>
          <w:tab w:val="clear" w:pos="720"/>
        </w:tabs>
        <w:spacing w:before="159" w:after="159"/>
        <w:rPr>
          <w:color w:val="auto"/>
          <w:sz w:val="32"/>
          <w:szCs w:val="32"/>
        </w:rPr>
      </w:pPr>
      <w:bookmarkStart w:id="591" w:name="_Toc21300"/>
      <w:bookmarkStart w:id="592" w:name="_Toc13812"/>
      <w:bookmarkStart w:id="593" w:name="_Toc11108"/>
      <w:bookmarkStart w:id="594" w:name="_Toc19888"/>
      <w:r>
        <w:rPr>
          <w:rFonts w:hint="eastAsia"/>
          <w:color w:val="auto"/>
          <w:sz w:val="32"/>
          <w:szCs w:val="32"/>
        </w:rPr>
        <w:t>6.2  运营期地表水环境影响</w:t>
      </w:r>
      <w:bookmarkEnd w:id="591"/>
      <w:bookmarkEnd w:id="592"/>
      <w:bookmarkEnd w:id="593"/>
      <w:bookmarkEnd w:id="594"/>
    </w:p>
    <w:p>
      <w:pPr>
        <w:pStyle w:val="44"/>
        <w:numPr>
          <w:ilvl w:val="2"/>
          <w:numId w:val="0"/>
        </w:numPr>
        <w:tabs>
          <w:tab w:val="clear" w:pos="720"/>
        </w:tabs>
        <w:spacing w:before="159" w:after="159" w:line="360" w:lineRule="auto"/>
        <w:rPr>
          <w:color w:val="auto"/>
          <w:sz w:val="28"/>
          <w:szCs w:val="28"/>
        </w:rPr>
      </w:pPr>
      <w:bookmarkStart w:id="595" w:name="_Toc20884"/>
      <w:bookmarkStart w:id="596" w:name="_Toc6980"/>
      <w:r>
        <w:rPr>
          <w:rFonts w:hint="eastAsia"/>
          <w:color w:val="auto"/>
          <w:sz w:val="28"/>
          <w:szCs w:val="28"/>
        </w:rPr>
        <w:t xml:space="preserve">6.2.1  </w:t>
      </w:r>
      <w:r>
        <w:rPr>
          <w:color w:val="auto"/>
          <w:sz w:val="28"/>
          <w:szCs w:val="28"/>
        </w:rPr>
        <w:t>项目废水排放情况</w:t>
      </w:r>
      <w:bookmarkEnd w:id="595"/>
      <w:bookmarkEnd w:id="596"/>
    </w:p>
    <w:p>
      <w:pPr>
        <w:adjustRightInd w:val="0"/>
        <w:snapToGrid w:val="0"/>
        <w:spacing w:line="480" w:lineRule="exact"/>
        <w:ind w:right="105" w:rightChars="50" w:firstLine="480" w:firstLineChars="200"/>
        <w:rPr>
          <w:color w:val="auto"/>
          <w:sz w:val="24"/>
        </w:rPr>
      </w:pPr>
      <w:r>
        <w:rPr>
          <w:color w:val="auto"/>
          <w:kern w:val="0"/>
          <w:sz w:val="24"/>
        </w:rPr>
        <w:t>由上文可知，</w:t>
      </w:r>
      <w:r>
        <w:rPr>
          <w:color w:val="auto"/>
          <w:sz w:val="24"/>
        </w:rPr>
        <w:t>项目的生产废水主要来自于</w:t>
      </w:r>
      <w:r>
        <w:rPr>
          <w:rFonts w:hint="eastAsia"/>
          <w:color w:val="auto"/>
          <w:sz w:val="24"/>
        </w:rPr>
        <w:t>湿式破碎生产线和卷材生产线。其中湿式破碎生产线的生产</w:t>
      </w:r>
      <w:r>
        <w:rPr>
          <w:color w:val="auto"/>
          <w:sz w:val="24"/>
        </w:rPr>
        <w:t>废水经</w:t>
      </w:r>
      <w:r>
        <w:rPr>
          <w:rFonts w:hint="eastAsia"/>
          <w:color w:val="auto"/>
          <w:sz w:val="24"/>
        </w:rPr>
        <w:t>沉淀池</w:t>
      </w:r>
      <w:r>
        <w:rPr>
          <w:color w:val="auto"/>
          <w:sz w:val="24"/>
        </w:rPr>
        <w:t>处理后均回用于生产，不外排。</w:t>
      </w:r>
      <w:r>
        <w:rPr>
          <w:rFonts w:hint="eastAsia"/>
          <w:color w:val="auto"/>
          <w:sz w:val="24"/>
        </w:rPr>
        <w:t>卷材生产线的冷却水循环使用，定期补充，不外排。综上所述，本项目无生产废水外排。</w:t>
      </w:r>
    </w:p>
    <w:p>
      <w:pPr>
        <w:adjustRightInd w:val="0"/>
        <w:snapToGrid w:val="0"/>
        <w:spacing w:line="480" w:lineRule="exact"/>
        <w:ind w:right="105" w:rightChars="50" w:firstLine="480" w:firstLineChars="200"/>
        <w:rPr>
          <w:color w:val="auto"/>
          <w:kern w:val="0"/>
          <w:sz w:val="24"/>
        </w:rPr>
      </w:pPr>
      <w:r>
        <w:rPr>
          <w:color w:val="auto"/>
          <w:kern w:val="0"/>
          <w:sz w:val="24"/>
        </w:rPr>
        <w:t>项目的外排的生活污水为员工的洗盥污水，水质较为简单。</w:t>
      </w:r>
      <w:r>
        <w:rPr>
          <w:color w:val="auto"/>
          <w:sz w:val="24"/>
        </w:rPr>
        <w:t>项目在污水处理厂纳污范围内，生活污水经三级化粪池预处理达到广东省地方标准《水污染物排放限值》（DB44/26-2001）第二时段三级标准和</w:t>
      </w:r>
      <w:r>
        <w:rPr>
          <w:rFonts w:hint="eastAsia"/>
          <w:color w:val="auto"/>
          <w:sz w:val="24"/>
          <w:lang w:eastAsia="zh-CN"/>
        </w:rPr>
        <w:t>石角污水处理厂</w:t>
      </w:r>
      <w:r>
        <w:rPr>
          <w:color w:val="auto"/>
          <w:sz w:val="24"/>
        </w:rPr>
        <w:t>进水水质标准较严值后经</w:t>
      </w:r>
      <w:r>
        <w:rPr>
          <w:rFonts w:hint="eastAsia"/>
          <w:color w:val="auto"/>
          <w:sz w:val="24"/>
        </w:rPr>
        <w:t>市政</w:t>
      </w:r>
      <w:r>
        <w:rPr>
          <w:color w:val="auto"/>
          <w:sz w:val="24"/>
        </w:rPr>
        <w:t>管网进入</w:t>
      </w:r>
      <w:r>
        <w:rPr>
          <w:rFonts w:hint="eastAsia"/>
          <w:color w:val="auto"/>
          <w:sz w:val="24"/>
        </w:rPr>
        <w:t>石角</w:t>
      </w:r>
      <w:r>
        <w:rPr>
          <w:color w:val="auto"/>
          <w:sz w:val="24"/>
        </w:rPr>
        <w:t>污水处理厂</w:t>
      </w:r>
      <w:r>
        <w:rPr>
          <w:rFonts w:hint="eastAsia"/>
          <w:color w:val="auto"/>
          <w:sz w:val="24"/>
        </w:rPr>
        <w:t>集中处理</w:t>
      </w:r>
      <w:r>
        <w:rPr>
          <w:color w:val="auto"/>
          <w:sz w:val="24"/>
        </w:rPr>
        <w:t>，</w:t>
      </w:r>
      <w:r>
        <w:rPr>
          <w:rFonts w:hint="eastAsia"/>
          <w:color w:val="auto"/>
          <w:sz w:val="24"/>
        </w:rPr>
        <w:t>最后尾水达标排入</w:t>
      </w:r>
      <w:r>
        <w:rPr>
          <w:color w:val="auto"/>
          <w:sz w:val="24"/>
        </w:rPr>
        <w:t>沙埗溪。</w:t>
      </w:r>
    </w:p>
    <w:p>
      <w:pPr>
        <w:adjustRightInd w:val="0"/>
        <w:snapToGrid w:val="0"/>
        <w:spacing w:line="480" w:lineRule="exact"/>
        <w:ind w:right="105" w:rightChars="50" w:firstLine="480" w:firstLineChars="200"/>
        <w:rPr>
          <w:color w:val="auto"/>
          <w:kern w:val="0"/>
          <w:sz w:val="24"/>
        </w:rPr>
      </w:pPr>
      <w:r>
        <w:rPr>
          <w:rFonts w:hint="eastAsia"/>
          <w:color w:val="auto"/>
          <w:kern w:val="0"/>
          <w:sz w:val="24"/>
        </w:rPr>
        <w:drawing>
          <wp:anchor distT="0" distB="0" distL="114300" distR="114300" simplePos="0" relativeHeight="255763456" behindDoc="0" locked="0" layoutInCell="1" allowOverlap="1">
            <wp:simplePos x="0" y="0"/>
            <wp:positionH relativeFrom="column">
              <wp:posOffset>0</wp:posOffset>
            </wp:positionH>
            <wp:positionV relativeFrom="paragraph">
              <wp:posOffset>1000125</wp:posOffset>
            </wp:positionV>
            <wp:extent cx="5358130" cy="6031230"/>
            <wp:effectExtent l="0" t="0" r="13970" b="7620"/>
            <wp:wrapTopAndBottom/>
            <wp:docPr id="51" name="图片 51" descr="水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水评价范围"/>
                    <pic:cNvPicPr>
                      <a:picLocks noChangeAspect="1"/>
                    </pic:cNvPicPr>
                  </pic:nvPicPr>
                  <pic:blipFill>
                    <a:blip r:embed="rId70"/>
                    <a:stretch>
                      <a:fillRect/>
                    </a:stretch>
                  </pic:blipFill>
                  <pic:spPr>
                    <a:xfrm>
                      <a:off x="0" y="0"/>
                      <a:ext cx="5358130" cy="6031230"/>
                    </a:xfrm>
                    <a:prstGeom prst="rect">
                      <a:avLst/>
                    </a:prstGeom>
                  </pic:spPr>
                </pic:pic>
              </a:graphicData>
            </a:graphic>
          </wp:anchor>
        </w:drawing>
      </w:r>
      <w:r>
        <w:rPr>
          <w:color w:val="auto"/>
          <w:kern w:val="0"/>
          <w:sz w:val="24"/>
        </w:rPr>
        <w:t>本报告主要针对</w:t>
      </w:r>
      <w:r>
        <w:rPr>
          <w:rFonts w:hint="eastAsia"/>
          <w:color w:val="auto"/>
          <w:kern w:val="0"/>
          <w:sz w:val="24"/>
        </w:rPr>
        <w:t>项目的生活污水排放</w:t>
      </w:r>
      <w:r>
        <w:rPr>
          <w:color w:val="auto"/>
          <w:kern w:val="0"/>
          <w:sz w:val="24"/>
        </w:rPr>
        <w:t>情况进行分析评价</w:t>
      </w:r>
      <w:r>
        <w:rPr>
          <w:rFonts w:hint="eastAsia"/>
          <w:color w:val="auto"/>
          <w:kern w:val="0"/>
          <w:sz w:val="24"/>
        </w:rPr>
        <w:t>，</w:t>
      </w:r>
      <w:r>
        <w:rPr>
          <w:color w:val="auto"/>
          <w:kern w:val="0"/>
          <w:sz w:val="24"/>
        </w:rPr>
        <w:t>评价等级为三级</w:t>
      </w:r>
      <w:r>
        <w:rPr>
          <w:rFonts w:hint="eastAsia"/>
          <w:color w:val="auto"/>
          <w:kern w:val="0"/>
          <w:sz w:val="24"/>
        </w:rPr>
        <w:t>B</w:t>
      </w:r>
      <w:r>
        <w:rPr>
          <w:color w:val="auto"/>
          <w:kern w:val="0"/>
          <w:sz w:val="24"/>
        </w:rPr>
        <w:t>，评价范围为</w:t>
      </w:r>
      <w:r>
        <w:rPr>
          <w:rFonts w:hint="eastAsia"/>
          <w:color w:val="auto"/>
          <w:sz w:val="24"/>
        </w:rPr>
        <w:t>石角</w:t>
      </w:r>
      <w:r>
        <w:rPr>
          <w:color w:val="auto"/>
          <w:sz w:val="24"/>
        </w:rPr>
        <w:t>污水处理厂</w:t>
      </w:r>
      <w:r>
        <w:rPr>
          <w:color w:val="auto"/>
          <w:kern w:val="0"/>
          <w:sz w:val="24"/>
        </w:rPr>
        <w:t>的污水排放口（</w:t>
      </w:r>
      <w:r>
        <w:rPr>
          <w:color w:val="auto"/>
          <w:sz w:val="24"/>
        </w:rPr>
        <w:t>沙埗溪</w:t>
      </w:r>
      <w:r>
        <w:rPr>
          <w:color w:val="auto"/>
          <w:kern w:val="0"/>
          <w:sz w:val="24"/>
        </w:rPr>
        <w:t>）上游500m至下游2000m的河段。</w:t>
      </w:r>
      <w:r>
        <w:rPr>
          <w:rFonts w:hint="eastAsia"/>
          <w:color w:val="auto"/>
          <w:kern w:val="0"/>
          <w:sz w:val="24"/>
        </w:rPr>
        <w:t>具体如下图。</w:t>
      </w:r>
    </w:p>
    <w:p>
      <w:pPr>
        <w:adjustRightInd w:val="0"/>
        <w:snapToGrid w:val="0"/>
        <w:spacing w:line="480" w:lineRule="exact"/>
        <w:ind w:right="105" w:rightChars="50" w:firstLine="482" w:firstLineChars="200"/>
        <w:jc w:val="center"/>
        <w:rPr>
          <w:b/>
          <w:bCs/>
          <w:color w:val="auto"/>
          <w:kern w:val="0"/>
          <w:sz w:val="24"/>
        </w:rPr>
      </w:pPr>
      <w:r>
        <w:rPr>
          <w:rFonts w:hint="eastAsia"/>
          <w:b/>
          <w:bCs/>
          <w:color w:val="auto"/>
          <w:kern w:val="0"/>
          <w:sz w:val="24"/>
        </w:rPr>
        <w:t>图6.2-1  项目地表水评价范围示意图</w:t>
      </w:r>
    </w:p>
    <w:p>
      <w:pPr>
        <w:adjustRightInd w:val="0"/>
        <w:snapToGrid w:val="0"/>
        <w:spacing w:line="480" w:lineRule="exact"/>
        <w:ind w:right="105" w:rightChars="50" w:firstLine="480" w:firstLineChars="200"/>
        <w:rPr>
          <w:color w:val="auto"/>
          <w:kern w:val="0"/>
          <w:sz w:val="24"/>
        </w:rPr>
      </w:pPr>
      <w:r>
        <w:rPr>
          <w:color w:val="auto"/>
          <w:kern w:val="0"/>
          <w:sz w:val="24"/>
        </w:rPr>
        <w:t>废水类别、污染物及污染治理设施信息见下表。</w:t>
      </w:r>
    </w:p>
    <w:p>
      <w:pPr>
        <w:pStyle w:val="32"/>
        <w:spacing w:line="360" w:lineRule="auto"/>
        <w:jc w:val="center"/>
        <w:rPr>
          <w:b/>
          <w:color w:val="auto"/>
          <w:sz w:val="21"/>
          <w:szCs w:val="21"/>
        </w:rPr>
      </w:pPr>
      <w:r>
        <w:rPr>
          <w:b/>
          <w:color w:val="auto"/>
          <w:sz w:val="21"/>
          <w:szCs w:val="21"/>
        </w:rPr>
        <w:t>表</w:t>
      </w:r>
      <w:r>
        <w:rPr>
          <w:rFonts w:hint="eastAsia"/>
          <w:b/>
          <w:color w:val="auto"/>
          <w:sz w:val="21"/>
          <w:szCs w:val="21"/>
        </w:rPr>
        <w:t xml:space="preserve">6.2-1  </w:t>
      </w:r>
      <w:r>
        <w:rPr>
          <w:b/>
          <w:color w:val="auto"/>
          <w:sz w:val="21"/>
          <w:szCs w:val="21"/>
        </w:rPr>
        <w:t>废水类别、污染物及污染治理设施信息表</w:t>
      </w:r>
    </w:p>
    <w:tbl>
      <w:tblPr>
        <w:tblStyle w:val="23"/>
        <w:tblW w:w="87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500"/>
        <w:gridCol w:w="824"/>
        <w:gridCol w:w="865"/>
        <w:gridCol w:w="905"/>
        <w:gridCol w:w="1357"/>
        <w:gridCol w:w="795"/>
        <w:gridCol w:w="845"/>
        <w:gridCol w:w="873"/>
        <w:gridCol w:w="1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500"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序</w:t>
            </w:r>
          </w:p>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号</w:t>
            </w:r>
          </w:p>
        </w:tc>
        <w:tc>
          <w:tcPr>
            <w:tcW w:w="824" w:type="dxa"/>
            <w:tcBorders>
              <w:tl2br w:val="nil"/>
              <w:tr2bl w:val="nil"/>
            </w:tcBorders>
            <w:shd w:val="clear" w:color="auto" w:fill="FFFFFF"/>
            <w:vAlign w:val="center"/>
          </w:tcPr>
          <w:p>
            <w:pPr>
              <w:pStyle w:val="60"/>
              <w:shd w:val="clear" w:color="auto" w:fill="auto"/>
              <w:spacing w:after="0" w:line="30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废水</w:t>
            </w:r>
          </w:p>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类别</w:t>
            </w:r>
          </w:p>
        </w:tc>
        <w:tc>
          <w:tcPr>
            <w:tcW w:w="865"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污染物种类</w:t>
            </w:r>
          </w:p>
        </w:tc>
        <w:tc>
          <w:tcPr>
            <w:tcW w:w="905"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排放去向</w:t>
            </w:r>
          </w:p>
        </w:tc>
        <w:tc>
          <w:tcPr>
            <w:tcW w:w="1357"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排放规律</w:t>
            </w:r>
          </w:p>
        </w:tc>
        <w:tc>
          <w:tcPr>
            <w:tcW w:w="795"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污染治理设施</w:t>
            </w:r>
          </w:p>
        </w:tc>
        <w:tc>
          <w:tcPr>
            <w:tcW w:w="845"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排放口编号</w:t>
            </w:r>
          </w:p>
        </w:tc>
        <w:tc>
          <w:tcPr>
            <w:tcW w:w="873"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排放口设置是否符合要求</w:t>
            </w:r>
          </w:p>
        </w:tc>
        <w:tc>
          <w:tcPr>
            <w:tcW w:w="1788" w:type="dxa"/>
            <w:tcBorders>
              <w:tl2br w:val="nil"/>
              <w:tr2bl w:val="nil"/>
            </w:tcBorders>
            <w:shd w:val="clear" w:color="auto" w:fill="FFFFFF"/>
            <w:vAlign w:val="center"/>
          </w:tcPr>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排放口</w:t>
            </w:r>
          </w:p>
          <w:p>
            <w:pPr>
              <w:pStyle w:val="60"/>
              <w:shd w:val="clear" w:color="auto" w:fill="auto"/>
              <w:spacing w:after="0" w:line="30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500" w:type="dxa"/>
            <w:tcBorders>
              <w:tl2br w:val="nil"/>
              <w:tr2bl w:val="nil"/>
            </w:tcBorders>
            <w:shd w:val="clear" w:color="auto" w:fill="FFFFFF"/>
            <w:vAlign w:val="center"/>
          </w:tcPr>
          <w:p>
            <w:pPr>
              <w:spacing w:line="300" w:lineRule="auto"/>
              <w:jc w:val="center"/>
              <w:rPr>
                <w:color w:val="auto"/>
                <w:szCs w:val="21"/>
              </w:rPr>
            </w:pPr>
            <w:r>
              <w:rPr>
                <w:rFonts w:hint="eastAsia"/>
                <w:color w:val="auto"/>
                <w:szCs w:val="21"/>
              </w:rPr>
              <w:t>1</w:t>
            </w:r>
          </w:p>
        </w:tc>
        <w:tc>
          <w:tcPr>
            <w:tcW w:w="824" w:type="dxa"/>
            <w:tcBorders>
              <w:tl2br w:val="nil"/>
              <w:tr2bl w:val="nil"/>
            </w:tcBorders>
            <w:shd w:val="clear" w:color="auto" w:fill="FFFFFF"/>
            <w:vAlign w:val="center"/>
          </w:tcPr>
          <w:p>
            <w:pPr>
              <w:spacing w:line="300" w:lineRule="auto"/>
              <w:jc w:val="center"/>
              <w:rPr>
                <w:color w:val="auto"/>
                <w:szCs w:val="21"/>
              </w:rPr>
            </w:pPr>
            <w:r>
              <w:rPr>
                <w:color w:val="auto"/>
                <w:szCs w:val="21"/>
              </w:rPr>
              <w:t>生活</w:t>
            </w:r>
          </w:p>
          <w:p>
            <w:pPr>
              <w:spacing w:line="300" w:lineRule="auto"/>
              <w:jc w:val="center"/>
              <w:rPr>
                <w:color w:val="auto"/>
                <w:szCs w:val="21"/>
              </w:rPr>
            </w:pPr>
            <w:r>
              <w:rPr>
                <w:color w:val="auto"/>
                <w:szCs w:val="21"/>
              </w:rPr>
              <w:t>污水</w:t>
            </w:r>
          </w:p>
        </w:tc>
        <w:tc>
          <w:tcPr>
            <w:tcW w:w="865" w:type="dxa"/>
            <w:tcBorders>
              <w:tl2br w:val="nil"/>
              <w:tr2bl w:val="nil"/>
            </w:tcBorders>
            <w:shd w:val="clear" w:color="auto" w:fill="FFFFFF"/>
            <w:vAlign w:val="center"/>
          </w:tcPr>
          <w:p>
            <w:pPr>
              <w:spacing w:line="300" w:lineRule="auto"/>
              <w:jc w:val="cente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w:t>
            </w:r>
          </w:p>
          <w:p>
            <w:pPr>
              <w:spacing w:line="300" w:lineRule="auto"/>
              <w:jc w:val="center"/>
              <w:rPr>
                <w:color w:val="auto"/>
                <w:szCs w:val="21"/>
              </w:rPr>
            </w:pPr>
            <w:r>
              <w:rPr>
                <w:color w:val="auto"/>
                <w:szCs w:val="21"/>
              </w:rPr>
              <w:t>NH</w:t>
            </w:r>
            <w:r>
              <w:rPr>
                <w:color w:val="auto"/>
                <w:szCs w:val="21"/>
                <w:vertAlign w:val="subscript"/>
              </w:rPr>
              <w:t>3</w:t>
            </w:r>
            <w:r>
              <w:rPr>
                <w:color w:val="auto"/>
                <w:szCs w:val="21"/>
              </w:rPr>
              <w:t>-N、SS</w:t>
            </w:r>
          </w:p>
        </w:tc>
        <w:tc>
          <w:tcPr>
            <w:tcW w:w="905" w:type="dxa"/>
            <w:tcBorders>
              <w:tl2br w:val="nil"/>
              <w:tr2bl w:val="nil"/>
            </w:tcBorders>
            <w:shd w:val="clear" w:color="auto" w:fill="FFFFFF"/>
            <w:vAlign w:val="center"/>
          </w:tcPr>
          <w:p>
            <w:pPr>
              <w:spacing w:line="300" w:lineRule="auto"/>
              <w:jc w:val="center"/>
              <w:rPr>
                <w:color w:val="auto"/>
                <w:szCs w:val="21"/>
              </w:rPr>
            </w:pPr>
            <w:r>
              <w:rPr>
                <w:rFonts w:hint="eastAsia"/>
                <w:color w:val="auto"/>
                <w:szCs w:val="21"/>
              </w:rPr>
              <w:t>石角</w:t>
            </w:r>
            <w:r>
              <w:rPr>
                <w:color w:val="auto"/>
                <w:szCs w:val="21"/>
              </w:rPr>
              <w:t>污水处理厂</w:t>
            </w:r>
          </w:p>
        </w:tc>
        <w:tc>
          <w:tcPr>
            <w:tcW w:w="1357" w:type="dxa"/>
            <w:tcBorders>
              <w:tl2br w:val="nil"/>
              <w:tr2bl w:val="nil"/>
            </w:tcBorders>
            <w:shd w:val="clear" w:color="auto" w:fill="FFFFFF"/>
            <w:vAlign w:val="center"/>
          </w:tcPr>
          <w:p>
            <w:pPr>
              <w:spacing w:line="300" w:lineRule="auto"/>
              <w:jc w:val="center"/>
              <w:rPr>
                <w:color w:val="auto"/>
                <w:szCs w:val="21"/>
              </w:rPr>
            </w:pPr>
            <w:r>
              <w:rPr>
                <w:rFonts w:hint="eastAsia"/>
                <w:color w:val="auto"/>
                <w:szCs w:val="21"/>
              </w:rPr>
              <w:t>连续</w:t>
            </w:r>
            <w:r>
              <w:rPr>
                <w:color w:val="auto"/>
                <w:szCs w:val="21"/>
              </w:rPr>
              <w:t>排放，流量不稳定，但有周期性规律</w:t>
            </w:r>
          </w:p>
        </w:tc>
        <w:tc>
          <w:tcPr>
            <w:tcW w:w="795" w:type="dxa"/>
            <w:tcBorders>
              <w:tl2br w:val="nil"/>
              <w:tr2bl w:val="nil"/>
            </w:tcBorders>
            <w:shd w:val="clear" w:color="auto" w:fill="FFFFFF"/>
            <w:vAlign w:val="center"/>
          </w:tcPr>
          <w:p>
            <w:pPr>
              <w:spacing w:line="300" w:lineRule="auto"/>
              <w:jc w:val="center"/>
              <w:rPr>
                <w:color w:val="auto"/>
                <w:szCs w:val="21"/>
              </w:rPr>
            </w:pPr>
            <w:r>
              <w:rPr>
                <w:color w:val="auto"/>
                <w:szCs w:val="21"/>
              </w:rPr>
              <w:t>三级化粪池</w:t>
            </w:r>
          </w:p>
        </w:tc>
        <w:tc>
          <w:tcPr>
            <w:tcW w:w="845" w:type="dxa"/>
            <w:tcBorders>
              <w:tl2br w:val="nil"/>
              <w:tr2bl w:val="nil"/>
            </w:tcBorders>
            <w:shd w:val="clear" w:color="auto" w:fill="FFFFFF"/>
            <w:vAlign w:val="center"/>
          </w:tcPr>
          <w:p>
            <w:pPr>
              <w:spacing w:line="300" w:lineRule="auto"/>
              <w:jc w:val="center"/>
              <w:rPr>
                <w:color w:val="auto"/>
                <w:szCs w:val="21"/>
              </w:rPr>
            </w:pPr>
            <w:r>
              <w:rPr>
                <w:rFonts w:hint="eastAsia"/>
                <w:color w:val="auto"/>
                <w:szCs w:val="21"/>
              </w:rPr>
              <w:t>DW001</w:t>
            </w:r>
          </w:p>
        </w:tc>
        <w:tc>
          <w:tcPr>
            <w:tcW w:w="873" w:type="dxa"/>
            <w:tcBorders>
              <w:tl2br w:val="nil"/>
              <w:tr2bl w:val="nil"/>
            </w:tcBorders>
            <w:shd w:val="clear" w:color="auto" w:fill="FFFFFF"/>
            <w:vAlign w:val="center"/>
          </w:tcPr>
          <w:p>
            <w:pPr>
              <w:pStyle w:val="60"/>
              <w:shd w:val="clear" w:color="auto" w:fill="auto"/>
              <w:spacing w:after="0" w:line="300" w:lineRule="auto"/>
              <w:rPr>
                <w:rStyle w:val="61"/>
                <w:rFonts w:ascii="Times New Roman" w:hAnsi="Times New Roman" w:eastAsia="宋体" w:cs="Times New Roman"/>
                <w:color w:val="auto"/>
                <w:sz w:val="21"/>
                <w:szCs w:val="21"/>
                <w:lang w:val="en-US"/>
              </w:rPr>
            </w:pPr>
            <w:r>
              <w:rPr>
                <w:rStyle w:val="61"/>
                <w:rFonts w:ascii="Times New Roman" w:hAnsi="Times New Roman" w:eastAsia="宋体" w:cs="Times New Roman"/>
                <w:color w:val="auto"/>
                <w:sz w:val="21"/>
                <w:szCs w:val="21"/>
              </w:rPr>
              <w:sym w:font="Wingdings 2" w:char="0052"/>
            </w:r>
            <w:r>
              <w:rPr>
                <w:rStyle w:val="61"/>
                <w:rFonts w:ascii="Times New Roman" w:hAnsi="Times New Roman" w:eastAsia="宋体" w:cs="Times New Roman"/>
                <w:color w:val="auto"/>
                <w:sz w:val="21"/>
                <w:szCs w:val="21"/>
                <w:lang w:val="en-US"/>
              </w:rPr>
              <w:t>是</w:t>
            </w:r>
          </w:p>
          <w:p>
            <w:pPr>
              <w:pStyle w:val="60"/>
              <w:shd w:val="clear" w:color="auto" w:fill="auto"/>
              <w:spacing w:after="0" w:line="30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w:t>
            </w:r>
            <w:r>
              <w:rPr>
                <w:rStyle w:val="61"/>
                <w:rFonts w:ascii="Times New Roman" w:hAnsi="Times New Roman" w:eastAsia="宋体" w:cs="Times New Roman"/>
                <w:color w:val="auto"/>
                <w:sz w:val="21"/>
                <w:szCs w:val="21"/>
                <w:lang w:val="en-US"/>
              </w:rPr>
              <w:t>否</w:t>
            </w:r>
          </w:p>
        </w:tc>
        <w:tc>
          <w:tcPr>
            <w:tcW w:w="1788" w:type="dxa"/>
            <w:tcBorders>
              <w:tl2br w:val="nil"/>
              <w:tr2bl w:val="nil"/>
            </w:tcBorders>
            <w:shd w:val="clear" w:color="auto" w:fill="FFFFFF"/>
            <w:vAlign w:val="center"/>
          </w:tcPr>
          <w:p>
            <w:pPr>
              <w:pStyle w:val="60"/>
              <w:shd w:val="clear" w:color="auto" w:fill="auto"/>
              <w:spacing w:after="0" w:line="300" w:lineRule="auto"/>
              <w:jc w:val="left"/>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sym w:font="Wingdings 2" w:char="0052"/>
            </w:r>
            <w:r>
              <w:rPr>
                <w:rStyle w:val="61"/>
                <w:rFonts w:ascii="Times New Roman" w:hAnsi="Times New Roman" w:eastAsia="宋体" w:cs="Times New Roman"/>
                <w:color w:val="auto"/>
                <w:sz w:val="21"/>
                <w:szCs w:val="21"/>
              </w:rPr>
              <w:t>企业总排</w:t>
            </w:r>
          </w:p>
          <w:p>
            <w:pPr>
              <w:pStyle w:val="60"/>
              <w:shd w:val="clear" w:color="auto" w:fill="auto"/>
              <w:spacing w:after="0" w:line="300" w:lineRule="auto"/>
              <w:jc w:val="left"/>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□雨水排放</w:t>
            </w:r>
          </w:p>
          <w:p>
            <w:pPr>
              <w:pStyle w:val="60"/>
              <w:shd w:val="clear" w:color="auto" w:fill="auto"/>
              <w:spacing w:after="0" w:line="300" w:lineRule="auto"/>
              <w:jc w:val="left"/>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□清净下水排放</w:t>
            </w:r>
          </w:p>
          <w:p>
            <w:pPr>
              <w:pStyle w:val="60"/>
              <w:shd w:val="clear" w:color="auto" w:fill="auto"/>
              <w:spacing w:after="0" w:line="300" w:lineRule="auto"/>
              <w:jc w:val="left"/>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□温排水排放</w:t>
            </w:r>
          </w:p>
          <w:p>
            <w:pPr>
              <w:pStyle w:val="60"/>
              <w:shd w:val="clear" w:color="auto" w:fill="auto"/>
              <w:spacing w:after="0" w:line="300" w:lineRule="auto"/>
              <w:ind w:left="210" w:hanging="210" w:hangingChars="100"/>
              <w:jc w:val="left"/>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□车间或车间处理设施排放口</w:t>
            </w:r>
          </w:p>
        </w:tc>
      </w:tr>
    </w:tbl>
    <w:p>
      <w:pPr>
        <w:adjustRightInd w:val="0"/>
        <w:snapToGrid w:val="0"/>
        <w:spacing w:line="480" w:lineRule="exact"/>
        <w:ind w:right="105" w:rightChars="50"/>
        <w:rPr>
          <w:b/>
          <w:color w:val="auto"/>
          <w:sz w:val="24"/>
        </w:rPr>
      </w:pPr>
      <w:r>
        <w:rPr>
          <w:color w:val="auto"/>
          <w:kern w:val="0"/>
          <w:sz w:val="24"/>
        </w:rPr>
        <w:t>项目污水排放口基本情况见</w:t>
      </w:r>
      <w:r>
        <w:rPr>
          <w:rFonts w:hint="eastAsia"/>
          <w:color w:val="auto"/>
          <w:kern w:val="0"/>
          <w:sz w:val="24"/>
        </w:rPr>
        <w:t>下表</w:t>
      </w:r>
      <w:r>
        <w:rPr>
          <w:b/>
          <w:color w:val="auto"/>
          <w:sz w:val="24"/>
        </w:rPr>
        <w:t>。</w:t>
      </w:r>
    </w:p>
    <w:p>
      <w:pPr>
        <w:spacing w:line="360" w:lineRule="auto"/>
        <w:ind w:firstLine="422" w:firstLineChars="200"/>
        <w:jc w:val="center"/>
        <w:rPr>
          <w:b/>
          <w:color w:val="auto"/>
          <w:kern w:val="0"/>
          <w:szCs w:val="21"/>
        </w:rPr>
      </w:pPr>
      <w:r>
        <w:rPr>
          <w:b/>
          <w:color w:val="auto"/>
          <w:kern w:val="0"/>
          <w:szCs w:val="21"/>
        </w:rPr>
        <w:t>表</w:t>
      </w:r>
      <w:r>
        <w:rPr>
          <w:rFonts w:hint="eastAsia"/>
          <w:b/>
          <w:color w:val="auto"/>
          <w:kern w:val="0"/>
          <w:szCs w:val="21"/>
        </w:rPr>
        <w:t xml:space="preserve">6.2-2  </w:t>
      </w:r>
      <w:r>
        <w:rPr>
          <w:b/>
          <w:color w:val="auto"/>
          <w:kern w:val="0"/>
          <w:szCs w:val="21"/>
        </w:rPr>
        <w:t>废水排放口基本情况表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716"/>
        <w:gridCol w:w="920"/>
        <w:gridCol w:w="904"/>
        <w:gridCol w:w="715"/>
        <w:gridCol w:w="671"/>
        <w:gridCol w:w="913"/>
        <w:gridCol w:w="628"/>
        <w:gridCol w:w="798"/>
        <w:gridCol w:w="921"/>
        <w:gridCol w:w="13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5" w:type="dxa"/>
            <w:vMerge w:val="restart"/>
            <w:tcBorders>
              <w:tl2br w:val="nil"/>
              <w:tr2bl w:val="nil"/>
            </w:tcBorders>
            <w:shd w:val="clear" w:color="auto" w:fill="FFFFFF"/>
            <w:vAlign w:val="center"/>
          </w:tcPr>
          <w:p>
            <w:pPr>
              <w:pStyle w:val="60"/>
              <w:shd w:val="clear" w:color="auto" w:fill="auto"/>
              <w:spacing w:after="120" w:line="24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序</w:t>
            </w:r>
          </w:p>
          <w:p>
            <w:pPr>
              <w:pStyle w:val="60"/>
              <w:shd w:val="clear" w:color="auto" w:fill="auto"/>
              <w:spacing w:before="120" w:after="0" w:line="24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号</w:t>
            </w:r>
          </w:p>
        </w:tc>
        <w:tc>
          <w:tcPr>
            <w:tcW w:w="716" w:type="dxa"/>
            <w:vMerge w:val="restart"/>
            <w:tcBorders>
              <w:tl2br w:val="nil"/>
              <w:tr2bl w:val="nil"/>
            </w:tcBorders>
            <w:vAlign w:val="center"/>
          </w:tcPr>
          <w:p>
            <w:pPr>
              <w:jc w:val="center"/>
              <w:rPr>
                <w:color w:val="auto"/>
                <w:szCs w:val="21"/>
              </w:rPr>
            </w:pPr>
            <w:r>
              <w:rPr>
                <w:color w:val="auto"/>
                <w:szCs w:val="21"/>
              </w:rPr>
              <w:t>排放口编号</w:t>
            </w:r>
          </w:p>
        </w:tc>
        <w:tc>
          <w:tcPr>
            <w:tcW w:w="1824" w:type="dxa"/>
            <w:gridSpan w:val="2"/>
            <w:tcBorders>
              <w:tl2br w:val="nil"/>
              <w:tr2bl w:val="nil"/>
            </w:tcBorders>
            <w:vAlign w:val="center"/>
          </w:tcPr>
          <w:p>
            <w:pPr>
              <w:jc w:val="center"/>
              <w:rPr>
                <w:color w:val="auto"/>
                <w:szCs w:val="21"/>
              </w:rPr>
            </w:pPr>
            <w:r>
              <w:rPr>
                <w:color w:val="auto"/>
                <w:szCs w:val="21"/>
              </w:rPr>
              <w:t>排放口地理坐标</w:t>
            </w:r>
          </w:p>
        </w:tc>
        <w:tc>
          <w:tcPr>
            <w:tcW w:w="715" w:type="dxa"/>
            <w:vMerge w:val="restart"/>
            <w:tcBorders>
              <w:tl2br w:val="nil"/>
              <w:tr2bl w:val="nil"/>
            </w:tcBorders>
            <w:vAlign w:val="center"/>
          </w:tcPr>
          <w:p>
            <w:pPr>
              <w:jc w:val="center"/>
              <w:rPr>
                <w:color w:val="auto"/>
                <w:szCs w:val="21"/>
              </w:rPr>
            </w:pPr>
            <w:r>
              <w:rPr>
                <w:color w:val="auto"/>
                <w:szCs w:val="21"/>
              </w:rPr>
              <w:t>废水排放量/(万t/a）</w:t>
            </w:r>
          </w:p>
        </w:tc>
        <w:tc>
          <w:tcPr>
            <w:tcW w:w="671" w:type="dxa"/>
            <w:vMerge w:val="restart"/>
            <w:tcBorders>
              <w:tl2br w:val="nil"/>
              <w:tr2bl w:val="nil"/>
            </w:tcBorders>
            <w:vAlign w:val="center"/>
          </w:tcPr>
          <w:p>
            <w:pPr>
              <w:jc w:val="center"/>
              <w:rPr>
                <w:color w:val="auto"/>
                <w:szCs w:val="21"/>
              </w:rPr>
            </w:pPr>
            <w:r>
              <w:rPr>
                <w:color w:val="auto"/>
                <w:szCs w:val="21"/>
              </w:rPr>
              <w:t>排放去向</w:t>
            </w:r>
          </w:p>
        </w:tc>
        <w:tc>
          <w:tcPr>
            <w:tcW w:w="913" w:type="dxa"/>
            <w:vMerge w:val="restart"/>
            <w:tcBorders>
              <w:tl2br w:val="nil"/>
              <w:tr2bl w:val="nil"/>
            </w:tcBorders>
            <w:vAlign w:val="center"/>
          </w:tcPr>
          <w:p>
            <w:pPr>
              <w:jc w:val="center"/>
              <w:rPr>
                <w:color w:val="auto"/>
                <w:szCs w:val="21"/>
              </w:rPr>
            </w:pPr>
            <w:r>
              <w:rPr>
                <w:color w:val="auto"/>
                <w:szCs w:val="21"/>
              </w:rPr>
              <w:t>排放</w:t>
            </w:r>
          </w:p>
          <w:p>
            <w:pPr>
              <w:jc w:val="center"/>
              <w:rPr>
                <w:color w:val="auto"/>
                <w:szCs w:val="21"/>
              </w:rPr>
            </w:pPr>
            <w:r>
              <w:rPr>
                <w:color w:val="auto"/>
                <w:szCs w:val="21"/>
              </w:rPr>
              <w:t>规律</w:t>
            </w:r>
          </w:p>
        </w:tc>
        <w:tc>
          <w:tcPr>
            <w:tcW w:w="628" w:type="dxa"/>
            <w:vMerge w:val="restart"/>
            <w:tcBorders>
              <w:tl2br w:val="nil"/>
              <w:tr2bl w:val="nil"/>
            </w:tcBorders>
            <w:vAlign w:val="center"/>
          </w:tcPr>
          <w:p>
            <w:pPr>
              <w:jc w:val="center"/>
              <w:rPr>
                <w:color w:val="auto"/>
                <w:szCs w:val="21"/>
              </w:rPr>
            </w:pPr>
            <w:r>
              <w:rPr>
                <w:color w:val="auto"/>
                <w:szCs w:val="21"/>
              </w:rPr>
              <w:t>间歇排放时段</w:t>
            </w:r>
          </w:p>
        </w:tc>
        <w:tc>
          <w:tcPr>
            <w:tcW w:w="3066" w:type="dxa"/>
            <w:gridSpan w:val="3"/>
            <w:tcBorders>
              <w:tl2br w:val="nil"/>
              <w:tr2bl w:val="nil"/>
            </w:tcBorders>
            <w:vAlign w:val="center"/>
          </w:tcPr>
          <w:p>
            <w:pPr>
              <w:jc w:val="center"/>
              <w:rPr>
                <w:color w:val="auto"/>
                <w:szCs w:val="21"/>
              </w:rPr>
            </w:pPr>
            <w:r>
              <w:rPr>
                <w:color w:val="auto"/>
                <w:szCs w:val="21"/>
              </w:rPr>
              <w:t>收纳污水处理厂信息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5" w:type="dxa"/>
            <w:vMerge w:val="continue"/>
            <w:tcBorders>
              <w:tl2br w:val="nil"/>
              <w:tr2bl w:val="nil"/>
            </w:tcBorders>
            <w:shd w:val="clear" w:color="auto" w:fill="FFFFFF"/>
            <w:vAlign w:val="center"/>
          </w:tcPr>
          <w:p>
            <w:pPr>
              <w:jc w:val="center"/>
              <w:rPr>
                <w:color w:val="auto"/>
                <w:szCs w:val="21"/>
              </w:rPr>
            </w:pPr>
          </w:p>
        </w:tc>
        <w:tc>
          <w:tcPr>
            <w:tcW w:w="716" w:type="dxa"/>
            <w:vMerge w:val="continue"/>
            <w:tcBorders>
              <w:tl2br w:val="nil"/>
              <w:tr2bl w:val="nil"/>
            </w:tcBorders>
            <w:vAlign w:val="center"/>
          </w:tcPr>
          <w:p>
            <w:pPr>
              <w:jc w:val="center"/>
              <w:rPr>
                <w:color w:val="auto"/>
                <w:szCs w:val="21"/>
              </w:rPr>
            </w:pPr>
          </w:p>
        </w:tc>
        <w:tc>
          <w:tcPr>
            <w:tcW w:w="920" w:type="dxa"/>
            <w:tcBorders>
              <w:tl2br w:val="nil"/>
              <w:tr2bl w:val="nil"/>
            </w:tcBorders>
            <w:vAlign w:val="center"/>
          </w:tcPr>
          <w:p>
            <w:pPr>
              <w:jc w:val="center"/>
              <w:rPr>
                <w:color w:val="auto"/>
                <w:szCs w:val="21"/>
              </w:rPr>
            </w:pPr>
            <w:r>
              <w:rPr>
                <w:color w:val="auto"/>
                <w:szCs w:val="21"/>
              </w:rPr>
              <w:t>经度</w:t>
            </w:r>
          </w:p>
        </w:tc>
        <w:tc>
          <w:tcPr>
            <w:tcW w:w="904" w:type="dxa"/>
            <w:tcBorders>
              <w:tl2br w:val="nil"/>
              <w:tr2bl w:val="nil"/>
            </w:tcBorders>
            <w:vAlign w:val="center"/>
          </w:tcPr>
          <w:p>
            <w:pPr>
              <w:jc w:val="center"/>
              <w:rPr>
                <w:color w:val="auto"/>
                <w:szCs w:val="21"/>
              </w:rPr>
            </w:pPr>
            <w:r>
              <w:rPr>
                <w:color w:val="auto"/>
                <w:szCs w:val="21"/>
              </w:rPr>
              <w:t>纬度</w:t>
            </w:r>
          </w:p>
        </w:tc>
        <w:tc>
          <w:tcPr>
            <w:tcW w:w="715" w:type="dxa"/>
            <w:vMerge w:val="continue"/>
            <w:tcBorders>
              <w:tl2br w:val="nil"/>
              <w:tr2bl w:val="nil"/>
            </w:tcBorders>
            <w:vAlign w:val="center"/>
          </w:tcPr>
          <w:p>
            <w:pPr>
              <w:jc w:val="center"/>
              <w:rPr>
                <w:color w:val="auto"/>
                <w:szCs w:val="21"/>
              </w:rPr>
            </w:pPr>
          </w:p>
        </w:tc>
        <w:tc>
          <w:tcPr>
            <w:tcW w:w="671" w:type="dxa"/>
            <w:vMerge w:val="continue"/>
            <w:tcBorders>
              <w:tl2br w:val="nil"/>
              <w:tr2bl w:val="nil"/>
            </w:tcBorders>
            <w:vAlign w:val="center"/>
          </w:tcPr>
          <w:p>
            <w:pPr>
              <w:jc w:val="center"/>
              <w:rPr>
                <w:color w:val="auto"/>
                <w:szCs w:val="21"/>
              </w:rPr>
            </w:pPr>
          </w:p>
        </w:tc>
        <w:tc>
          <w:tcPr>
            <w:tcW w:w="913" w:type="dxa"/>
            <w:vMerge w:val="continue"/>
            <w:tcBorders>
              <w:tl2br w:val="nil"/>
              <w:tr2bl w:val="nil"/>
            </w:tcBorders>
            <w:vAlign w:val="center"/>
          </w:tcPr>
          <w:p>
            <w:pPr>
              <w:jc w:val="center"/>
              <w:rPr>
                <w:color w:val="auto"/>
                <w:szCs w:val="21"/>
              </w:rPr>
            </w:pPr>
          </w:p>
        </w:tc>
        <w:tc>
          <w:tcPr>
            <w:tcW w:w="628" w:type="dxa"/>
            <w:vMerge w:val="continue"/>
            <w:tcBorders>
              <w:tl2br w:val="nil"/>
              <w:tr2bl w:val="nil"/>
            </w:tcBorders>
            <w:vAlign w:val="center"/>
          </w:tcPr>
          <w:p>
            <w:pPr>
              <w:jc w:val="center"/>
              <w:rPr>
                <w:color w:val="auto"/>
                <w:szCs w:val="21"/>
              </w:rPr>
            </w:pPr>
          </w:p>
        </w:tc>
        <w:tc>
          <w:tcPr>
            <w:tcW w:w="798" w:type="dxa"/>
            <w:tcBorders>
              <w:tl2br w:val="nil"/>
              <w:tr2bl w:val="nil"/>
            </w:tcBorders>
            <w:vAlign w:val="center"/>
          </w:tcPr>
          <w:p>
            <w:pPr>
              <w:jc w:val="center"/>
              <w:rPr>
                <w:color w:val="auto"/>
                <w:szCs w:val="21"/>
              </w:rPr>
            </w:pPr>
            <w:r>
              <w:rPr>
                <w:color w:val="auto"/>
                <w:szCs w:val="21"/>
              </w:rPr>
              <w:t>名称</w:t>
            </w:r>
          </w:p>
        </w:tc>
        <w:tc>
          <w:tcPr>
            <w:tcW w:w="921" w:type="dxa"/>
            <w:tcBorders>
              <w:tl2br w:val="nil"/>
              <w:tr2bl w:val="nil"/>
            </w:tcBorders>
            <w:vAlign w:val="center"/>
          </w:tcPr>
          <w:p>
            <w:pPr>
              <w:jc w:val="center"/>
              <w:rPr>
                <w:color w:val="auto"/>
                <w:szCs w:val="21"/>
              </w:rPr>
            </w:pPr>
            <w:r>
              <w:rPr>
                <w:color w:val="auto"/>
                <w:szCs w:val="21"/>
              </w:rPr>
              <w:t>污染物种类</w:t>
            </w:r>
          </w:p>
        </w:tc>
        <w:tc>
          <w:tcPr>
            <w:tcW w:w="1347" w:type="dxa"/>
            <w:tcBorders>
              <w:tl2br w:val="nil"/>
              <w:tr2bl w:val="nil"/>
            </w:tcBorders>
            <w:vAlign w:val="center"/>
          </w:tcPr>
          <w:p>
            <w:pPr>
              <w:jc w:val="center"/>
              <w:rPr>
                <w:color w:val="auto"/>
                <w:szCs w:val="21"/>
              </w:rPr>
            </w:pPr>
            <w:r>
              <w:rPr>
                <w:color w:val="auto"/>
                <w:szCs w:val="21"/>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5" w:type="dxa"/>
            <w:tcBorders>
              <w:tl2br w:val="nil"/>
              <w:tr2bl w:val="nil"/>
            </w:tcBorders>
            <w:shd w:val="clear" w:color="auto" w:fill="FFFFFF"/>
            <w:vAlign w:val="center"/>
          </w:tcPr>
          <w:p>
            <w:pPr>
              <w:jc w:val="center"/>
              <w:rPr>
                <w:color w:val="auto"/>
                <w:szCs w:val="21"/>
              </w:rPr>
            </w:pPr>
            <w:r>
              <w:rPr>
                <w:color w:val="auto"/>
                <w:szCs w:val="21"/>
              </w:rPr>
              <w:t>1</w:t>
            </w:r>
          </w:p>
        </w:tc>
        <w:tc>
          <w:tcPr>
            <w:tcW w:w="716" w:type="dxa"/>
            <w:tcBorders>
              <w:tl2br w:val="nil"/>
              <w:tr2bl w:val="nil"/>
            </w:tcBorders>
            <w:vAlign w:val="center"/>
          </w:tcPr>
          <w:p>
            <w:pPr>
              <w:jc w:val="center"/>
              <w:rPr>
                <w:rFonts w:hint="eastAsia"/>
                <w:color w:val="auto"/>
                <w:szCs w:val="21"/>
              </w:rPr>
            </w:pPr>
            <w:r>
              <w:rPr>
                <w:rFonts w:hint="eastAsia"/>
                <w:color w:val="auto"/>
                <w:szCs w:val="21"/>
              </w:rPr>
              <w:t>DW</w:t>
            </w:r>
          </w:p>
          <w:p>
            <w:pPr>
              <w:jc w:val="center"/>
              <w:rPr>
                <w:color w:val="auto"/>
                <w:szCs w:val="21"/>
              </w:rPr>
            </w:pPr>
            <w:r>
              <w:rPr>
                <w:rFonts w:hint="eastAsia"/>
                <w:color w:val="auto"/>
                <w:szCs w:val="21"/>
              </w:rPr>
              <w:t>001</w:t>
            </w:r>
          </w:p>
        </w:tc>
        <w:tc>
          <w:tcPr>
            <w:tcW w:w="920" w:type="dxa"/>
            <w:tcBorders>
              <w:tl2br w:val="nil"/>
              <w:tr2bl w:val="nil"/>
            </w:tcBorders>
            <w:vAlign w:val="center"/>
          </w:tcPr>
          <w:p>
            <w:pPr>
              <w:jc w:val="center"/>
              <w:rPr>
                <w:color w:val="auto"/>
                <w:szCs w:val="21"/>
              </w:rPr>
            </w:pPr>
            <w:r>
              <w:rPr>
                <w:color w:val="auto"/>
                <w:szCs w:val="21"/>
              </w:rPr>
              <w:t>112.950161°</w:t>
            </w:r>
          </w:p>
        </w:tc>
        <w:tc>
          <w:tcPr>
            <w:tcW w:w="904" w:type="dxa"/>
            <w:tcBorders>
              <w:tl2br w:val="nil"/>
              <w:tr2bl w:val="nil"/>
            </w:tcBorders>
            <w:vAlign w:val="center"/>
          </w:tcPr>
          <w:p>
            <w:pPr>
              <w:jc w:val="center"/>
              <w:rPr>
                <w:color w:val="auto"/>
                <w:szCs w:val="21"/>
              </w:rPr>
            </w:pPr>
            <w:r>
              <w:rPr>
                <w:color w:val="auto"/>
                <w:szCs w:val="21"/>
              </w:rPr>
              <w:t>23.502148°</w:t>
            </w:r>
          </w:p>
        </w:tc>
        <w:tc>
          <w:tcPr>
            <w:tcW w:w="715" w:type="dxa"/>
            <w:tcBorders>
              <w:tl2br w:val="nil"/>
              <w:tr2bl w:val="nil"/>
            </w:tcBorders>
            <w:vAlign w:val="center"/>
          </w:tcPr>
          <w:p>
            <w:pPr>
              <w:jc w:val="center"/>
              <w:rPr>
                <w:color w:val="auto"/>
                <w:szCs w:val="21"/>
              </w:rPr>
            </w:pPr>
            <w:r>
              <w:rPr>
                <w:color w:val="auto"/>
                <w:szCs w:val="21"/>
              </w:rPr>
              <w:t>0.07128</w:t>
            </w:r>
          </w:p>
        </w:tc>
        <w:tc>
          <w:tcPr>
            <w:tcW w:w="671" w:type="dxa"/>
            <w:tcBorders>
              <w:tl2br w:val="nil"/>
              <w:tr2bl w:val="nil"/>
            </w:tcBorders>
            <w:vAlign w:val="center"/>
          </w:tcPr>
          <w:p>
            <w:pPr>
              <w:jc w:val="center"/>
              <w:rPr>
                <w:color w:val="auto"/>
                <w:szCs w:val="21"/>
              </w:rPr>
            </w:pPr>
            <w:r>
              <w:rPr>
                <w:color w:val="auto"/>
                <w:szCs w:val="21"/>
              </w:rPr>
              <w:t>市政管网</w:t>
            </w:r>
          </w:p>
        </w:tc>
        <w:tc>
          <w:tcPr>
            <w:tcW w:w="913" w:type="dxa"/>
            <w:tcBorders>
              <w:tl2br w:val="nil"/>
              <w:tr2bl w:val="nil"/>
            </w:tcBorders>
            <w:vAlign w:val="center"/>
          </w:tcPr>
          <w:p>
            <w:pPr>
              <w:jc w:val="center"/>
              <w:rPr>
                <w:color w:val="auto"/>
                <w:szCs w:val="21"/>
              </w:rPr>
            </w:pPr>
            <w:r>
              <w:rPr>
                <w:color w:val="auto"/>
                <w:szCs w:val="21"/>
              </w:rPr>
              <w:t>连续排放，流量不稳定，但有周期性规律</w:t>
            </w:r>
          </w:p>
        </w:tc>
        <w:tc>
          <w:tcPr>
            <w:tcW w:w="628" w:type="dxa"/>
            <w:tcBorders>
              <w:tl2br w:val="nil"/>
              <w:tr2bl w:val="nil"/>
            </w:tcBorders>
            <w:vAlign w:val="center"/>
          </w:tcPr>
          <w:p>
            <w:pPr>
              <w:jc w:val="center"/>
              <w:rPr>
                <w:color w:val="auto"/>
                <w:szCs w:val="21"/>
              </w:rPr>
            </w:pPr>
            <w:r>
              <w:rPr>
                <w:color w:val="auto"/>
                <w:szCs w:val="21"/>
              </w:rPr>
              <w:t>全日</w:t>
            </w:r>
          </w:p>
        </w:tc>
        <w:tc>
          <w:tcPr>
            <w:tcW w:w="798" w:type="dxa"/>
            <w:tcBorders>
              <w:tl2br w:val="nil"/>
              <w:tr2bl w:val="nil"/>
            </w:tcBorders>
            <w:vAlign w:val="center"/>
          </w:tcPr>
          <w:p>
            <w:pPr>
              <w:jc w:val="center"/>
              <w:rPr>
                <w:color w:val="auto"/>
                <w:szCs w:val="21"/>
              </w:rPr>
            </w:pPr>
            <w:r>
              <w:rPr>
                <w:color w:val="auto"/>
                <w:szCs w:val="21"/>
              </w:rPr>
              <w:t>石角污水处理厂</w:t>
            </w:r>
          </w:p>
        </w:tc>
        <w:tc>
          <w:tcPr>
            <w:tcW w:w="921" w:type="dxa"/>
            <w:tcBorders>
              <w:tl2br w:val="nil"/>
              <w:tr2bl w:val="nil"/>
            </w:tcBorders>
            <w:vAlign w:val="center"/>
          </w:tcPr>
          <w:p>
            <w:pP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w:t>
            </w:r>
          </w:p>
          <w:p>
            <w:pPr>
              <w:rPr>
                <w:color w:val="auto"/>
                <w:szCs w:val="21"/>
              </w:rPr>
            </w:pPr>
            <w:r>
              <w:rPr>
                <w:color w:val="auto"/>
                <w:szCs w:val="21"/>
              </w:rPr>
              <w:t>NH</w:t>
            </w:r>
            <w:r>
              <w:rPr>
                <w:color w:val="auto"/>
                <w:szCs w:val="21"/>
                <w:vertAlign w:val="subscript"/>
              </w:rPr>
              <w:t>3</w:t>
            </w:r>
            <w:r>
              <w:rPr>
                <w:color w:val="auto"/>
                <w:szCs w:val="21"/>
              </w:rPr>
              <w:t>-N、</w:t>
            </w:r>
          </w:p>
          <w:p>
            <w:pPr>
              <w:pStyle w:val="32"/>
              <w:jc w:val="both"/>
              <w:rPr>
                <w:color w:val="auto"/>
                <w:sz w:val="21"/>
                <w:szCs w:val="21"/>
              </w:rPr>
            </w:pPr>
            <w:r>
              <w:rPr>
                <w:color w:val="auto"/>
                <w:sz w:val="21"/>
                <w:szCs w:val="21"/>
              </w:rPr>
              <w:t>SS</w:t>
            </w:r>
          </w:p>
        </w:tc>
        <w:tc>
          <w:tcPr>
            <w:tcW w:w="1347" w:type="dxa"/>
            <w:tcBorders>
              <w:tl2br w:val="nil"/>
              <w:tr2bl w:val="nil"/>
            </w:tcBorders>
            <w:vAlign w:val="center"/>
          </w:tcPr>
          <w:p>
            <w:pPr>
              <w:jc w:val="center"/>
              <w:rPr>
                <w:color w:val="auto"/>
                <w:szCs w:val="21"/>
              </w:rPr>
            </w:pPr>
            <w:r>
              <w:rPr>
                <w:color w:val="auto"/>
                <w:szCs w:val="21"/>
              </w:rPr>
              <w:t>COD</w:t>
            </w:r>
            <w:r>
              <w:rPr>
                <w:color w:val="auto"/>
                <w:szCs w:val="21"/>
                <w:vertAlign w:val="subscript"/>
              </w:rPr>
              <w:t>Cr</w:t>
            </w:r>
            <w:r>
              <w:rPr>
                <w:color w:val="auto"/>
                <w:szCs w:val="21"/>
              </w:rPr>
              <w:t>≤40；</w:t>
            </w:r>
          </w:p>
          <w:p>
            <w:pPr>
              <w:jc w:val="center"/>
              <w:rPr>
                <w:color w:val="auto"/>
                <w:szCs w:val="21"/>
              </w:rPr>
            </w:pPr>
            <w:r>
              <w:rPr>
                <w:color w:val="auto"/>
                <w:szCs w:val="21"/>
              </w:rPr>
              <w:t>BOD</w:t>
            </w:r>
            <w:r>
              <w:rPr>
                <w:color w:val="auto"/>
                <w:szCs w:val="21"/>
                <w:vertAlign w:val="subscript"/>
              </w:rPr>
              <w:t>5</w:t>
            </w:r>
            <w:r>
              <w:rPr>
                <w:color w:val="auto"/>
                <w:szCs w:val="21"/>
              </w:rPr>
              <w:t>≤10；</w:t>
            </w:r>
          </w:p>
          <w:p>
            <w:pPr>
              <w:jc w:val="center"/>
              <w:rPr>
                <w:color w:val="auto"/>
                <w:szCs w:val="21"/>
              </w:rPr>
            </w:pPr>
            <w:r>
              <w:rPr>
                <w:color w:val="auto"/>
                <w:szCs w:val="21"/>
              </w:rPr>
              <w:t>NH</w:t>
            </w:r>
            <w:r>
              <w:rPr>
                <w:color w:val="auto"/>
                <w:szCs w:val="21"/>
                <w:vertAlign w:val="subscript"/>
              </w:rPr>
              <w:t>3</w:t>
            </w:r>
            <w:r>
              <w:rPr>
                <w:color w:val="auto"/>
                <w:szCs w:val="21"/>
              </w:rPr>
              <w:t>-N≤5；</w:t>
            </w:r>
          </w:p>
          <w:p>
            <w:pPr>
              <w:jc w:val="center"/>
              <w:rPr>
                <w:color w:val="auto"/>
                <w:szCs w:val="21"/>
              </w:rPr>
            </w:pPr>
            <w:r>
              <w:rPr>
                <w:color w:val="auto"/>
                <w:szCs w:val="21"/>
              </w:rPr>
              <w:t>SS≤10。</w:t>
            </w:r>
          </w:p>
        </w:tc>
      </w:tr>
    </w:tbl>
    <w:p>
      <w:pPr>
        <w:adjustRightInd w:val="0"/>
        <w:snapToGrid w:val="0"/>
        <w:spacing w:line="480" w:lineRule="exact"/>
        <w:ind w:right="105" w:rightChars="50" w:firstLine="480" w:firstLineChars="200"/>
        <w:rPr>
          <w:color w:val="auto"/>
          <w:kern w:val="0"/>
          <w:sz w:val="24"/>
        </w:rPr>
      </w:pPr>
      <w:r>
        <w:rPr>
          <w:color w:val="auto"/>
          <w:kern w:val="0"/>
          <w:sz w:val="24"/>
        </w:rPr>
        <w:t>项目废水污染物排放执行标准见</w:t>
      </w:r>
      <w:r>
        <w:rPr>
          <w:rFonts w:hint="eastAsia"/>
          <w:color w:val="auto"/>
          <w:kern w:val="0"/>
          <w:sz w:val="24"/>
        </w:rPr>
        <w:t>下表</w:t>
      </w:r>
      <w:r>
        <w:rPr>
          <w:color w:val="auto"/>
          <w:kern w:val="0"/>
          <w:sz w:val="24"/>
        </w:rPr>
        <w:t>。</w:t>
      </w:r>
    </w:p>
    <w:p>
      <w:pPr>
        <w:spacing w:line="360" w:lineRule="auto"/>
        <w:ind w:firstLine="422" w:firstLineChars="200"/>
        <w:jc w:val="center"/>
        <w:rPr>
          <w:b/>
          <w:color w:val="auto"/>
          <w:kern w:val="0"/>
          <w:szCs w:val="21"/>
        </w:rPr>
      </w:pPr>
      <w:r>
        <w:rPr>
          <w:b/>
          <w:color w:val="auto"/>
          <w:kern w:val="0"/>
          <w:szCs w:val="21"/>
        </w:rPr>
        <w:t>表</w:t>
      </w:r>
      <w:r>
        <w:rPr>
          <w:rFonts w:hint="eastAsia"/>
          <w:b/>
          <w:color w:val="auto"/>
          <w:szCs w:val="21"/>
        </w:rPr>
        <w:t xml:space="preserve">6.2-3  </w:t>
      </w:r>
      <w:r>
        <w:rPr>
          <w:b/>
          <w:color w:val="auto"/>
          <w:kern w:val="0"/>
          <w:szCs w:val="21"/>
        </w:rPr>
        <w:t>废水污染物排放执行标准表</w:t>
      </w:r>
    </w:p>
    <w:tbl>
      <w:tblPr>
        <w:tblStyle w:val="23"/>
        <w:tblW w:w="88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868"/>
        <w:gridCol w:w="1041"/>
        <w:gridCol w:w="1531"/>
        <w:gridCol w:w="3062"/>
        <w:gridCol w:w="2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68" w:type="dxa"/>
            <w:vMerge w:val="restart"/>
            <w:tcBorders>
              <w:tl2br w:val="nil"/>
              <w:tr2bl w:val="nil"/>
            </w:tcBorders>
            <w:shd w:val="clear" w:color="auto" w:fill="FFFFFF"/>
            <w:vAlign w:val="center"/>
          </w:tcPr>
          <w:p>
            <w:pPr>
              <w:pStyle w:val="60"/>
              <w:shd w:val="clear" w:color="auto" w:fill="auto"/>
              <w:spacing w:after="120" w:line="240" w:lineRule="auto"/>
              <w:rPr>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序号</w:t>
            </w:r>
          </w:p>
        </w:tc>
        <w:tc>
          <w:tcPr>
            <w:tcW w:w="1041" w:type="dxa"/>
            <w:vMerge w:val="restart"/>
            <w:tcBorders>
              <w:tl2br w:val="nil"/>
              <w:tr2bl w:val="nil"/>
            </w:tcBorders>
            <w:shd w:val="clear" w:color="auto" w:fill="FFFFFF"/>
            <w:vAlign w:val="center"/>
          </w:tcPr>
          <w:p>
            <w:pPr>
              <w:jc w:val="center"/>
              <w:rPr>
                <w:color w:val="auto"/>
                <w:szCs w:val="21"/>
              </w:rPr>
            </w:pPr>
            <w:r>
              <w:rPr>
                <w:color w:val="auto"/>
                <w:szCs w:val="21"/>
              </w:rPr>
              <w:t>排放口编号</w:t>
            </w:r>
          </w:p>
        </w:tc>
        <w:tc>
          <w:tcPr>
            <w:tcW w:w="1531" w:type="dxa"/>
            <w:vMerge w:val="restart"/>
            <w:tcBorders>
              <w:tl2br w:val="nil"/>
              <w:tr2bl w:val="nil"/>
            </w:tcBorders>
            <w:shd w:val="clear" w:color="auto" w:fill="FFFFFF"/>
            <w:vAlign w:val="center"/>
          </w:tcPr>
          <w:p>
            <w:pPr>
              <w:pStyle w:val="60"/>
              <w:shd w:val="clear" w:color="auto" w:fill="auto"/>
              <w:spacing w:after="120" w:line="24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lang w:val="en-US"/>
              </w:rPr>
              <w:t>污染物种类</w:t>
            </w:r>
          </w:p>
        </w:tc>
        <w:tc>
          <w:tcPr>
            <w:tcW w:w="5396" w:type="dxa"/>
            <w:gridSpan w:val="2"/>
            <w:tcBorders>
              <w:tl2br w:val="nil"/>
              <w:tr2bl w:val="nil"/>
            </w:tcBorders>
            <w:shd w:val="clear" w:color="auto" w:fill="FFFFFF"/>
            <w:vAlign w:val="center"/>
          </w:tcPr>
          <w:p>
            <w:pPr>
              <w:pStyle w:val="60"/>
              <w:shd w:val="clear" w:color="auto" w:fill="auto"/>
              <w:spacing w:after="120" w:line="24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49" w:hRule="atLeast"/>
          <w:jc w:val="center"/>
        </w:trPr>
        <w:tc>
          <w:tcPr>
            <w:tcW w:w="868" w:type="dxa"/>
            <w:vMerge w:val="continue"/>
            <w:tcBorders>
              <w:tl2br w:val="nil"/>
              <w:tr2bl w:val="nil"/>
            </w:tcBorders>
            <w:shd w:val="clear" w:color="auto" w:fill="FFFFFF"/>
            <w:vAlign w:val="center"/>
          </w:tcPr>
          <w:p>
            <w:pPr>
              <w:jc w:val="center"/>
              <w:rPr>
                <w:color w:val="auto"/>
                <w:szCs w:val="21"/>
              </w:rPr>
            </w:pPr>
          </w:p>
        </w:tc>
        <w:tc>
          <w:tcPr>
            <w:tcW w:w="1041" w:type="dxa"/>
            <w:vMerge w:val="continue"/>
            <w:tcBorders>
              <w:tl2br w:val="nil"/>
              <w:tr2bl w:val="nil"/>
            </w:tcBorders>
            <w:shd w:val="clear" w:color="auto" w:fill="FFFFFF"/>
            <w:vAlign w:val="center"/>
          </w:tcPr>
          <w:p>
            <w:pPr>
              <w:jc w:val="center"/>
              <w:rPr>
                <w:color w:val="auto"/>
                <w:szCs w:val="21"/>
              </w:rPr>
            </w:pPr>
          </w:p>
        </w:tc>
        <w:tc>
          <w:tcPr>
            <w:tcW w:w="1531" w:type="dxa"/>
            <w:vMerge w:val="continue"/>
            <w:tcBorders>
              <w:tl2br w:val="nil"/>
              <w:tr2bl w:val="nil"/>
            </w:tcBorders>
            <w:shd w:val="clear" w:color="auto" w:fill="FFFFFF"/>
            <w:vAlign w:val="center"/>
          </w:tcPr>
          <w:p>
            <w:pPr>
              <w:pStyle w:val="60"/>
              <w:shd w:val="clear" w:color="auto" w:fill="auto"/>
              <w:spacing w:after="120" w:line="240" w:lineRule="auto"/>
              <w:rPr>
                <w:rStyle w:val="61"/>
                <w:rFonts w:ascii="Times New Roman" w:hAnsi="Times New Roman" w:eastAsia="宋体" w:cs="Times New Roman"/>
                <w:color w:val="auto"/>
                <w:sz w:val="21"/>
                <w:szCs w:val="21"/>
              </w:rPr>
            </w:pPr>
          </w:p>
        </w:tc>
        <w:tc>
          <w:tcPr>
            <w:tcW w:w="3062" w:type="dxa"/>
            <w:tcBorders>
              <w:tl2br w:val="nil"/>
              <w:tr2bl w:val="nil"/>
            </w:tcBorders>
            <w:shd w:val="clear" w:color="auto" w:fill="FFFFFF"/>
            <w:vAlign w:val="center"/>
          </w:tcPr>
          <w:p>
            <w:pPr>
              <w:pStyle w:val="60"/>
              <w:shd w:val="clear" w:color="auto" w:fill="auto"/>
              <w:spacing w:after="120" w:line="24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名称</w:t>
            </w:r>
          </w:p>
        </w:tc>
        <w:tc>
          <w:tcPr>
            <w:tcW w:w="2334" w:type="dxa"/>
            <w:tcBorders>
              <w:tl2br w:val="nil"/>
              <w:tr2bl w:val="nil"/>
            </w:tcBorders>
            <w:shd w:val="clear" w:color="auto" w:fill="FFFFFF"/>
            <w:vAlign w:val="center"/>
          </w:tcPr>
          <w:p>
            <w:pPr>
              <w:pStyle w:val="60"/>
              <w:shd w:val="clear" w:color="auto" w:fill="auto"/>
              <w:spacing w:after="120" w:line="240" w:lineRule="auto"/>
              <w:rPr>
                <w:rStyle w:val="61"/>
                <w:rFonts w:ascii="Times New Roman" w:hAnsi="Times New Roman" w:eastAsia="宋体" w:cs="Times New Roman"/>
                <w:color w:val="auto"/>
                <w:sz w:val="21"/>
                <w:szCs w:val="21"/>
              </w:rPr>
            </w:pPr>
            <w:r>
              <w:rPr>
                <w:rStyle w:val="61"/>
                <w:rFonts w:ascii="Times New Roman" w:hAnsi="Times New Roman" w:eastAsia="宋体" w:cs="Times New Roman"/>
                <w:color w:val="auto"/>
                <w:sz w:val="21"/>
                <w:szCs w:val="21"/>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68" w:type="dxa"/>
            <w:vMerge w:val="restart"/>
            <w:tcBorders>
              <w:tl2br w:val="nil"/>
              <w:tr2bl w:val="nil"/>
            </w:tcBorders>
            <w:shd w:val="clear" w:color="auto" w:fill="FFFFFF"/>
            <w:vAlign w:val="center"/>
          </w:tcPr>
          <w:p>
            <w:pPr>
              <w:jc w:val="center"/>
              <w:rPr>
                <w:color w:val="auto"/>
                <w:szCs w:val="21"/>
              </w:rPr>
            </w:pPr>
            <w:r>
              <w:rPr>
                <w:color w:val="auto"/>
                <w:szCs w:val="21"/>
              </w:rPr>
              <w:t>1</w:t>
            </w:r>
          </w:p>
        </w:tc>
        <w:tc>
          <w:tcPr>
            <w:tcW w:w="1041" w:type="dxa"/>
            <w:vMerge w:val="restart"/>
            <w:tcBorders>
              <w:tl2br w:val="nil"/>
              <w:tr2bl w:val="nil"/>
            </w:tcBorders>
            <w:shd w:val="clear" w:color="auto" w:fill="FFFFFF"/>
            <w:vAlign w:val="center"/>
          </w:tcPr>
          <w:p>
            <w:pPr>
              <w:jc w:val="center"/>
              <w:rPr>
                <w:color w:val="auto"/>
                <w:szCs w:val="21"/>
              </w:rPr>
            </w:pPr>
            <w:r>
              <w:rPr>
                <w:rFonts w:hint="eastAsia"/>
                <w:color w:val="auto"/>
                <w:szCs w:val="21"/>
              </w:rPr>
              <w:t>DW001</w:t>
            </w:r>
          </w:p>
        </w:tc>
        <w:tc>
          <w:tcPr>
            <w:tcW w:w="1531" w:type="dxa"/>
            <w:tcBorders>
              <w:tl2br w:val="nil"/>
              <w:tr2bl w:val="nil"/>
            </w:tcBorders>
            <w:shd w:val="clear" w:color="auto" w:fill="FFFFFF"/>
            <w:vAlign w:val="center"/>
          </w:tcPr>
          <w:p>
            <w:pPr>
              <w:jc w:val="center"/>
              <w:rPr>
                <w:color w:val="auto"/>
                <w:szCs w:val="21"/>
              </w:rPr>
            </w:pPr>
            <w:r>
              <w:rPr>
                <w:color w:val="auto"/>
                <w:szCs w:val="21"/>
              </w:rPr>
              <w:t>COD</w:t>
            </w:r>
            <w:r>
              <w:rPr>
                <w:color w:val="auto"/>
                <w:szCs w:val="21"/>
                <w:vertAlign w:val="subscript"/>
              </w:rPr>
              <w:t>Cr</w:t>
            </w:r>
          </w:p>
        </w:tc>
        <w:tc>
          <w:tcPr>
            <w:tcW w:w="3062" w:type="dxa"/>
            <w:vMerge w:val="restart"/>
            <w:tcBorders>
              <w:tl2br w:val="nil"/>
              <w:tr2bl w:val="nil"/>
            </w:tcBorders>
            <w:shd w:val="clear" w:color="auto" w:fill="FFFFFF"/>
            <w:vAlign w:val="center"/>
          </w:tcPr>
          <w:p>
            <w:pPr>
              <w:jc w:val="center"/>
              <w:rPr>
                <w:color w:val="auto"/>
                <w:szCs w:val="21"/>
              </w:rPr>
            </w:pPr>
            <w:r>
              <w:rPr>
                <w:color w:val="auto"/>
                <w:szCs w:val="21"/>
              </w:rPr>
              <w:t>广东省地方标准《水污染物排放限值》（DB44/26-2001）第二时段三级标准及石角污水处理厂进水水质标准较严值</w:t>
            </w:r>
          </w:p>
        </w:tc>
        <w:tc>
          <w:tcPr>
            <w:tcW w:w="2334" w:type="dxa"/>
            <w:tcBorders>
              <w:tl2br w:val="nil"/>
              <w:tr2bl w:val="nil"/>
            </w:tcBorders>
            <w:shd w:val="clear" w:color="auto" w:fill="FFFFFF"/>
            <w:vAlign w:val="center"/>
          </w:tcPr>
          <w:p>
            <w:pPr>
              <w:jc w:val="center"/>
              <w:rPr>
                <w:color w:val="auto"/>
                <w:szCs w:val="21"/>
              </w:rPr>
            </w:pPr>
            <w:r>
              <w:rPr>
                <w:rFonts w:hint="eastAsia"/>
                <w:color w:val="auto"/>
                <w:szCs w:val="21"/>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68" w:type="dxa"/>
            <w:vMerge w:val="continue"/>
            <w:tcBorders>
              <w:tl2br w:val="nil"/>
              <w:tr2bl w:val="nil"/>
            </w:tcBorders>
            <w:shd w:val="clear" w:color="auto" w:fill="FFFFFF"/>
            <w:vAlign w:val="center"/>
          </w:tcPr>
          <w:p>
            <w:pPr>
              <w:jc w:val="center"/>
              <w:rPr>
                <w:color w:val="auto"/>
                <w:szCs w:val="21"/>
              </w:rPr>
            </w:pPr>
          </w:p>
        </w:tc>
        <w:tc>
          <w:tcPr>
            <w:tcW w:w="1041" w:type="dxa"/>
            <w:vMerge w:val="continue"/>
            <w:tcBorders>
              <w:tl2br w:val="nil"/>
              <w:tr2bl w:val="nil"/>
            </w:tcBorders>
            <w:shd w:val="clear" w:color="auto" w:fill="FFFFFF"/>
            <w:vAlign w:val="center"/>
          </w:tcPr>
          <w:p>
            <w:pPr>
              <w:jc w:val="center"/>
              <w:rPr>
                <w:color w:val="auto"/>
                <w:szCs w:val="21"/>
              </w:rPr>
            </w:pPr>
          </w:p>
        </w:tc>
        <w:tc>
          <w:tcPr>
            <w:tcW w:w="1531" w:type="dxa"/>
            <w:tcBorders>
              <w:tl2br w:val="nil"/>
              <w:tr2bl w:val="nil"/>
            </w:tcBorders>
            <w:shd w:val="clear" w:color="auto" w:fill="FFFFFF"/>
            <w:vAlign w:val="center"/>
          </w:tcPr>
          <w:p>
            <w:pPr>
              <w:jc w:val="center"/>
              <w:rPr>
                <w:color w:val="auto"/>
                <w:szCs w:val="21"/>
              </w:rPr>
            </w:pPr>
            <w:r>
              <w:rPr>
                <w:color w:val="auto"/>
                <w:szCs w:val="21"/>
              </w:rPr>
              <w:t>BOD</w:t>
            </w:r>
            <w:r>
              <w:rPr>
                <w:color w:val="auto"/>
                <w:szCs w:val="21"/>
                <w:vertAlign w:val="subscript"/>
              </w:rPr>
              <w:t>5</w:t>
            </w:r>
          </w:p>
        </w:tc>
        <w:tc>
          <w:tcPr>
            <w:tcW w:w="3062" w:type="dxa"/>
            <w:vMerge w:val="continue"/>
            <w:tcBorders>
              <w:tl2br w:val="nil"/>
              <w:tr2bl w:val="nil"/>
            </w:tcBorders>
            <w:shd w:val="clear" w:color="auto" w:fill="FFFFFF"/>
            <w:vAlign w:val="center"/>
          </w:tcPr>
          <w:p>
            <w:pPr>
              <w:jc w:val="center"/>
              <w:rPr>
                <w:color w:val="auto"/>
                <w:szCs w:val="21"/>
              </w:rPr>
            </w:pPr>
          </w:p>
        </w:tc>
        <w:tc>
          <w:tcPr>
            <w:tcW w:w="2334" w:type="dxa"/>
            <w:tcBorders>
              <w:tl2br w:val="nil"/>
              <w:tr2bl w:val="nil"/>
            </w:tcBorders>
            <w:shd w:val="clear" w:color="auto" w:fill="FFFFFF"/>
            <w:vAlign w:val="center"/>
          </w:tcPr>
          <w:p>
            <w:pPr>
              <w:jc w:val="center"/>
              <w:rPr>
                <w:color w:val="auto"/>
                <w:szCs w:val="21"/>
              </w:rPr>
            </w:pPr>
            <w:r>
              <w:rPr>
                <w:rFonts w:hint="eastAsia"/>
                <w:color w:val="auto"/>
                <w:szCs w:val="21"/>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68" w:type="dxa"/>
            <w:vMerge w:val="continue"/>
            <w:tcBorders>
              <w:tl2br w:val="nil"/>
              <w:tr2bl w:val="nil"/>
            </w:tcBorders>
            <w:shd w:val="clear" w:color="auto" w:fill="FFFFFF"/>
            <w:vAlign w:val="center"/>
          </w:tcPr>
          <w:p>
            <w:pPr>
              <w:jc w:val="center"/>
              <w:rPr>
                <w:color w:val="auto"/>
                <w:szCs w:val="21"/>
              </w:rPr>
            </w:pPr>
          </w:p>
        </w:tc>
        <w:tc>
          <w:tcPr>
            <w:tcW w:w="1041" w:type="dxa"/>
            <w:vMerge w:val="continue"/>
            <w:tcBorders>
              <w:tl2br w:val="nil"/>
              <w:tr2bl w:val="nil"/>
            </w:tcBorders>
            <w:shd w:val="clear" w:color="auto" w:fill="FFFFFF"/>
            <w:vAlign w:val="center"/>
          </w:tcPr>
          <w:p>
            <w:pPr>
              <w:jc w:val="center"/>
              <w:rPr>
                <w:color w:val="auto"/>
                <w:szCs w:val="21"/>
              </w:rPr>
            </w:pPr>
          </w:p>
        </w:tc>
        <w:tc>
          <w:tcPr>
            <w:tcW w:w="1531" w:type="dxa"/>
            <w:tcBorders>
              <w:tl2br w:val="nil"/>
              <w:tr2bl w:val="nil"/>
            </w:tcBorders>
            <w:shd w:val="clear" w:color="auto" w:fill="FFFFFF"/>
            <w:vAlign w:val="center"/>
          </w:tcPr>
          <w:p>
            <w:pPr>
              <w:jc w:val="center"/>
              <w:rPr>
                <w:color w:val="auto"/>
                <w:szCs w:val="21"/>
              </w:rPr>
            </w:pPr>
            <w:r>
              <w:rPr>
                <w:color w:val="auto"/>
                <w:szCs w:val="21"/>
              </w:rPr>
              <w:t>NH</w:t>
            </w:r>
            <w:r>
              <w:rPr>
                <w:color w:val="auto"/>
                <w:szCs w:val="21"/>
                <w:vertAlign w:val="subscript"/>
              </w:rPr>
              <w:t>3</w:t>
            </w:r>
            <w:r>
              <w:rPr>
                <w:color w:val="auto"/>
                <w:szCs w:val="21"/>
              </w:rPr>
              <w:t>-N</w:t>
            </w:r>
          </w:p>
        </w:tc>
        <w:tc>
          <w:tcPr>
            <w:tcW w:w="3062" w:type="dxa"/>
            <w:vMerge w:val="continue"/>
            <w:tcBorders>
              <w:tl2br w:val="nil"/>
              <w:tr2bl w:val="nil"/>
            </w:tcBorders>
            <w:shd w:val="clear" w:color="auto" w:fill="FFFFFF"/>
            <w:vAlign w:val="center"/>
          </w:tcPr>
          <w:p>
            <w:pPr>
              <w:jc w:val="center"/>
              <w:rPr>
                <w:color w:val="auto"/>
                <w:szCs w:val="21"/>
              </w:rPr>
            </w:pPr>
          </w:p>
        </w:tc>
        <w:tc>
          <w:tcPr>
            <w:tcW w:w="2334" w:type="dxa"/>
            <w:tcBorders>
              <w:tl2br w:val="nil"/>
              <w:tr2bl w:val="nil"/>
            </w:tcBorders>
            <w:shd w:val="clear" w:color="auto" w:fill="FFFFFF"/>
            <w:vAlign w:val="center"/>
          </w:tcPr>
          <w:p>
            <w:pPr>
              <w:jc w:val="center"/>
              <w:rPr>
                <w:color w:val="auto"/>
                <w:szCs w:val="21"/>
              </w:rPr>
            </w:pPr>
            <w:r>
              <w:rPr>
                <w:rFonts w:hint="eastAsia"/>
                <w:color w:val="auto"/>
                <w:szCs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868" w:type="dxa"/>
            <w:vMerge w:val="continue"/>
            <w:tcBorders>
              <w:tl2br w:val="nil"/>
              <w:tr2bl w:val="nil"/>
            </w:tcBorders>
            <w:shd w:val="clear" w:color="auto" w:fill="FFFFFF"/>
            <w:vAlign w:val="center"/>
          </w:tcPr>
          <w:p>
            <w:pPr>
              <w:jc w:val="center"/>
              <w:rPr>
                <w:color w:val="auto"/>
                <w:szCs w:val="21"/>
              </w:rPr>
            </w:pPr>
          </w:p>
        </w:tc>
        <w:tc>
          <w:tcPr>
            <w:tcW w:w="1041" w:type="dxa"/>
            <w:vMerge w:val="continue"/>
            <w:tcBorders>
              <w:tl2br w:val="nil"/>
              <w:tr2bl w:val="nil"/>
            </w:tcBorders>
            <w:shd w:val="clear" w:color="auto" w:fill="FFFFFF"/>
            <w:vAlign w:val="center"/>
          </w:tcPr>
          <w:p>
            <w:pPr>
              <w:jc w:val="center"/>
              <w:rPr>
                <w:color w:val="auto"/>
                <w:szCs w:val="21"/>
              </w:rPr>
            </w:pPr>
          </w:p>
        </w:tc>
        <w:tc>
          <w:tcPr>
            <w:tcW w:w="1531" w:type="dxa"/>
            <w:tcBorders>
              <w:tl2br w:val="nil"/>
              <w:tr2bl w:val="nil"/>
            </w:tcBorders>
            <w:shd w:val="clear" w:color="auto" w:fill="FFFFFF"/>
            <w:vAlign w:val="center"/>
          </w:tcPr>
          <w:p>
            <w:pPr>
              <w:jc w:val="center"/>
              <w:rPr>
                <w:color w:val="auto"/>
                <w:szCs w:val="21"/>
              </w:rPr>
            </w:pPr>
            <w:r>
              <w:rPr>
                <w:color w:val="auto"/>
                <w:szCs w:val="21"/>
              </w:rPr>
              <w:t>SS</w:t>
            </w:r>
          </w:p>
        </w:tc>
        <w:tc>
          <w:tcPr>
            <w:tcW w:w="3062" w:type="dxa"/>
            <w:vMerge w:val="continue"/>
            <w:tcBorders>
              <w:tl2br w:val="nil"/>
              <w:tr2bl w:val="nil"/>
            </w:tcBorders>
            <w:shd w:val="clear" w:color="auto" w:fill="FFFFFF"/>
            <w:vAlign w:val="center"/>
          </w:tcPr>
          <w:p>
            <w:pPr>
              <w:jc w:val="center"/>
              <w:rPr>
                <w:color w:val="auto"/>
                <w:szCs w:val="21"/>
              </w:rPr>
            </w:pPr>
          </w:p>
        </w:tc>
        <w:tc>
          <w:tcPr>
            <w:tcW w:w="2334" w:type="dxa"/>
            <w:tcBorders>
              <w:tl2br w:val="nil"/>
              <w:tr2bl w:val="nil"/>
            </w:tcBorders>
            <w:shd w:val="clear" w:color="auto" w:fill="FFFFFF"/>
            <w:vAlign w:val="center"/>
          </w:tcPr>
          <w:p>
            <w:pPr>
              <w:jc w:val="center"/>
              <w:rPr>
                <w:color w:val="auto"/>
                <w:szCs w:val="21"/>
              </w:rPr>
            </w:pPr>
            <w:r>
              <w:rPr>
                <w:rFonts w:hint="eastAsia"/>
                <w:color w:val="auto"/>
                <w:szCs w:val="21"/>
              </w:rPr>
              <w:t>400</w:t>
            </w:r>
          </w:p>
        </w:tc>
      </w:tr>
    </w:tbl>
    <w:p>
      <w:pPr>
        <w:adjustRightInd w:val="0"/>
        <w:snapToGrid w:val="0"/>
        <w:spacing w:line="360" w:lineRule="auto"/>
        <w:ind w:right="105" w:rightChars="50" w:firstLine="480" w:firstLineChars="200"/>
        <w:rPr>
          <w:color w:val="auto"/>
          <w:kern w:val="0"/>
          <w:sz w:val="24"/>
        </w:rPr>
      </w:pPr>
      <w:r>
        <w:rPr>
          <w:color w:val="auto"/>
          <w:kern w:val="0"/>
          <w:sz w:val="24"/>
        </w:rPr>
        <w:t>废水污染物排放信息见</w:t>
      </w:r>
      <w:r>
        <w:rPr>
          <w:rFonts w:hint="eastAsia"/>
          <w:color w:val="auto"/>
          <w:kern w:val="0"/>
          <w:sz w:val="24"/>
        </w:rPr>
        <w:t>下表</w:t>
      </w:r>
      <w:r>
        <w:rPr>
          <w:color w:val="auto"/>
          <w:kern w:val="0"/>
          <w:sz w:val="24"/>
        </w:rPr>
        <w:t>。</w:t>
      </w:r>
    </w:p>
    <w:p>
      <w:pPr>
        <w:pStyle w:val="2"/>
        <w:ind w:firstLine="400"/>
        <w:rPr>
          <w:color w:val="auto"/>
        </w:rPr>
      </w:pPr>
    </w:p>
    <w:p>
      <w:pPr>
        <w:spacing w:line="360" w:lineRule="auto"/>
        <w:ind w:firstLine="422" w:firstLineChars="200"/>
        <w:jc w:val="center"/>
        <w:rPr>
          <w:b/>
          <w:color w:val="auto"/>
          <w:kern w:val="0"/>
          <w:szCs w:val="21"/>
        </w:rPr>
      </w:pPr>
      <w:r>
        <w:rPr>
          <w:b/>
          <w:color w:val="auto"/>
          <w:kern w:val="0"/>
          <w:szCs w:val="21"/>
        </w:rPr>
        <w:t>表</w:t>
      </w:r>
      <w:r>
        <w:rPr>
          <w:rFonts w:hint="eastAsia"/>
          <w:b/>
          <w:color w:val="auto"/>
          <w:szCs w:val="21"/>
        </w:rPr>
        <w:t xml:space="preserve">6.2-4  </w:t>
      </w:r>
      <w:r>
        <w:rPr>
          <w:b/>
          <w:color w:val="auto"/>
          <w:kern w:val="0"/>
          <w:szCs w:val="21"/>
        </w:rPr>
        <w:t>废水污染物排放信息表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17"/>
        <w:gridCol w:w="1323"/>
        <w:gridCol w:w="1346"/>
        <w:gridCol w:w="1386"/>
        <w:gridCol w:w="1590"/>
        <w:gridCol w:w="1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tcBorders>
              <w:tl2br w:val="nil"/>
              <w:tr2bl w:val="nil"/>
            </w:tcBorders>
            <w:vAlign w:val="center"/>
          </w:tcPr>
          <w:p>
            <w:pPr>
              <w:spacing w:line="300" w:lineRule="auto"/>
              <w:jc w:val="center"/>
              <w:rPr>
                <w:color w:val="auto"/>
                <w:szCs w:val="21"/>
              </w:rPr>
            </w:pPr>
            <w:r>
              <w:rPr>
                <w:color w:val="auto"/>
                <w:szCs w:val="21"/>
              </w:rPr>
              <w:t>时期</w:t>
            </w:r>
          </w:p>
        </w:tc>
        <w:tc>
          <w:tcPr>
            <w:tcW w:w="817" w:type="dxa"/>
            <w:tcBorders>
              <w:tl2br w:val="nil"/>
              <w:tr2bl w:val="nil"/>
            </w:tcBorders>
            <w:vAlign w:val="center"/>
          </w:tcPr>
          <w:p>
            <w:pPr>
              <w:spacing w:line="300" w:lineRule="auto"/>
              <w:jc w:val="center"/>
              <w:rPr>
                <w:color w:val="auto"/>
                <w:szCs w:val="21"/>
              </w:rPr>
            </w:pPr>
            <w:r>
              <w:rPr>
                <w:color w:val="auto"/>
                <w:szCs w:val="21"/>
              </w:rPr>
              <w:t>序号</w:t>
            </w:r>
          </w:p>
        </w:tc>
        <w:tc>
          <w:tcPr>
            <w:tcW w:w="1323" w:type="dxa"/>
            <w:tcBorders>
              <w:tl2br w:val="nil"/>
              <w:tr2bl w:val="nil"/>
            </w:tcBorders>
            <w:vAlign w:val="center"/>
          </w:tcPr>
          <w:p>
            <w:pPr>
              <w:spacing w:line="300" w:lineRule="auto"/>
              <w:jc w:val="center"/>
              <w:rPr>
                <w:color w:val="auto"/>
                <w:szCs w:val="21"/>
              </w:rPr>
            </w:pPr>
            <w:r>
              <w:rPr>
                <w:color w:val="auto"/>
                <w:szCs w:val="21"/>
              </w:rPr>
              <w:t>排放口编号</w:t>
            </w:r>
          </w:p>
        </w:tc>
        <w:tc>
          <w:tcPr>
            <w:tcW w:w="1346" w:type="dxa"/>
            <w:tcBorders>
              <w:tl2br w:val="nil"/>
              <w:tr2bl w:val="nil"/>
            </w:tcBorders>
            <w:vAlign w:val="center"/>
          </w:tcPr>
          <w:p>
            <w:pPr>
              <w:spacing w:line="300" w:lineRule="auto"/>
              <w:jc w:val="center"/>
              <w:rPr>
                <w:color w:val="auto"/>
                <w:szCs w:val="21"/>
              </w:rPr>
            </w:pPr>
            <w:r>
              <w:rPr>
                <w:color w:val="auto"/>
                <w:szCs w:val="21"/>
              </w:rPr>
              <w:t>污染物种类</w:t>
            </w:r>
          </w:p>
        </w:tc>
        <w:tc>
          <w:tcPr>
            <w:tcW w:w="1386" w:type="dxa"/>
            <w:tcBorders>
              <w:tl2br w:val="nil"/>
              <w:tr2bl w:val="nil"/>
            </w:tcBorders>
            <w:vAlign w:val="center"/>
          </w:tcPr>
          <w:p>
            <w:pPr>
              <w:spacing w:line="300" w:lineRule="auto"/>
              <w:jc w:val="center"/>
              <w:rPr>
                <w:color w:val="auto"/>
                <w:szCs w:val="21"/>
              </w:rPr>
            </w:pPr>
            <w:r>
              <w:rPr>
                <w:color w:val="auto"/>
                <w:szCs w:val="21"/>
              </w:rPr>
              <w:t>排放浓度/(mg/L)</w:t>
            </w:r>
          </w:p>
        </w:tc>
        <w:tc>
          <w:tcPr>
            <w:tcW w:w="1590" w:type="dxa"/>
            <w:tcBorders>
              <w:tl2br w:val="nil"/>
              <w:tr2bl w:val="nil"/>
            </w:tcBorders>
            <w:vAlign w:val="center"/>
          </w:tcPr>
          <w:p>
            <w:pPr>
              <w:spacing w:line="300" w:lineRule="auto"/>
              <w:jc w:val="center"/>
              <w:rPr>
                <w:color w:val="auto"/>
                <w:szCs w:val="21"/>
              </w:rPr>
            </w:pPr>
            <w:r>
              <w:rPr>
                <w:color w:val="auto"/>
                <w:szCs w:val="21"/>
              </w:rPr>
              <w:t>日排放量/(t/d)</w:t>
            </w:r>
          </w:p>
        </w:tc>
        <w:tc>
          <w:tcPr>
            <w:tcW w:w="1787" w:type="dxa"/>
            <w:tcBorders>
              <w:tl2br w:val="nil"/>
              <w:tr2bl w:val="nil"/>
            </w:tcBorders>
            <w:vAlign w:val="center"/>
          </w:tcPr>
          <w:p>
            <w:pPr>
              <w:spacing w:line="300" w:lineRule="auto"/>
              <w:jc w:val="center"/>
              <w:rPr>
                <w:color w:val="auto"/>
                <w:szCs w:val="21"/>
              </w:rPr>
            </w:pPr>
            <w:r>
              <w:rPr>
                <w:color w:val="auto"/>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restart"/>
            <w:tcBorders>
              <w:tl2br w:val="nil"/>
              <w:tr2bl w:val="nil"/>
            </w:tcBorders>
            <w:vAlign w:val="center"/>
          </w:tcPr>
          <w:p>
            <w:pPr>
              <w:spacing w:line="300" w:lineRule="auto"/>
              <w:jc w:val="center"/>
              <w:rPr>
                <w:color w:val="auto"/>
                <w:szCs w:val="21"/>
              </w:rPr>
            </w:pPr>
            <w:r>
              <w:rPr>
                <w:color w:val="auto"/>
                <w:szCs w:val="21"/>
              </w:rPr>
              <w:t>近期</w:t>
            </w:r>
          </w:p>
        </w:tc>
        <w:tc>
          <w:tcPr>
            <w:tcW w:w="817" w:type="dxa"/>
            <w:vMerge w:val="restart"/>
            <w:tcBorders>
              <w:tl2br w:val="nil"/>
              <w:tr2bl w:val="nil"/>
            </w:tcBorders>
            <w:vAlign w:val="center"/>
          </w:tcPr>
          <w:p>
            <w:pPr>
              <w:spacing w:line="300" w:lineRule="auto"/>
              <w:jc w:val="center"/>
              <w:rPr>
                <w:color w:val="auto"/>
                <w:szCs w:val="21"/>
              </w:rPr>
            </w:pPr>
            <w:r>
              <w:rPr>
                <w:color w:val="auto"/>
                <w:szCs w:val="21"/>
              </w:rPr>
              <w:t>1</w:t>
            </w:r>
          </w:p>
        </w:tc>
        <w:tc>
          <w:tcPr>
            <w:tcW w:w="1323" w:type="dxa"/>
            <w:vMerge w:val="restart"/>
            <w:tcBorders>
              <w:tl2br w:val="nil"/>
              <w:tr2bl w:val="nil"/>
            </w:tcBorders>
            <w:vAlign w:val="center"/>
          </w:tcPr>
          <w:p>
            <w:pPr>
              <w:spacing w:line="300" w:lineRule="auto"/>
              <w:jc w:val="center"/>
              <w:rPr>
                <w:color w:val="auto"/>
                <w:szCs w:val="21"/>
              </w:rPr>
            </w:pPr>
            <w:r>
              <w:rPr>
                <w:rFonts w:hint="eastAsia"/>
                <w:color w:val="auto"/>
                <w:szCs w:val="21"/>
              </w:rPr>
              <w:t>DW001</w:t>
            </w:r>
          </w:p>
        </w:tc>
        <w:tc>
          <w:tcPr>
            <w:tcW w:w="1346" w:type="dxa"/>
            <w:tcBorders>
              <w:tl2br w:val="nil"/>
              <w:tr2bl w:val="nil"/>
            </w:tcBorders>
            <w:vAlign w:val="center"/>
          </w:tcPr>
          <w:p>
            <w:pPr>
              <w:spacing w:line="300" w:lineRule="auto"/>
              <w:jc w:val="center"/>
              <w:rPr>
                <w:color w:val="auto"/>
                <w:szCs w:val="21"/>
              </w:rPr>
            </w:pPr>
            <w:r>
              <w:rPr>
                <w:color w:val="auto"/>
                <w:szCs w:val="21"/>
              </w:rPr>
              <w:t>COD</w:t>
            </w:r>
            <w:r>
              <w:rPr>
                <w:color w:val="auto"/>
                <w:szCs w:val="21"/>
                <w:vertAlign w:val="subscript"/>
              </w:rPr>
              <w:t>Cr</w:t>
            </w:r>
          </w:p>
        </w:tc>
        <w:tc>
          <w:tcPr>
            <w:tcW w:w="1386" w:type="dxa"/>
            <w:tcBorders>
              <w:tl2br w:val="nil"/>
              <w:tr2bl w:val="nil"/>
            </w:tcBorders>
            <w:vAlign w:val="center"/>
          </w:tcPr>
          <w:p>
            <w:pPr>
              <w:spacing w:line="300" w:lineRule="auto"/>
              <w:jc w:val="center"/>
              <w:rPr>
                <w:color w:val="auto"/>
                <w:szCs w:val="21"/>
              </w:rPr>
            </w:pPr>
            <w:r>
              <w:rPr>
                <w:color w:val="auto"/>
                <w:szCs w:val="21"/>
              </w:rPr>
              <w:t>280</w:t>
            </w:r>
          </w:p>
        </w:tc>
        <w:tc>
          <w:tcPr>
            <w:tcW w:w="1590"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0.0006048</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0.1996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817" w:type="dxa"/>
            <w:vMerge w:val="continue"/>
            <w:tcBorders>
              <w:tl2br w:val="nil"/>
              <w:tr2bl w:val="nil"/>
            </w:tcBorders>
            <w:vAlign w:val="center"/>
          </w:tcPr>
          <w:p>
            <w:pPr>
              <w:spacing w:line="300" w:lineRule="auto"/>
              <w:jc w:val="center"/>
              <w:rPr>
                <w:color w:val="auto"/>
                <w:szCs w:val="21"/>
              </w:rPr>
            </w:pPr>
          </w:p>
        </w:tc>
        <w:tc>
          <w:tcPr>
            <w:tcW w:w="1323" w:type="dxa"/>
            <w:vMerge w:val="continue"/>
            <w:tcBorders>
              <w:tl2br w:val="nil"/>
              <w:tr2bl w:val="nil"/>
            </w:tcBorders>
            <w:vAlign w:val="center"/>
          </w:tcPr>
          <w:p>
            <w:pPr>
              <w:spacing w:line="300" w:lineRule="auto"/>
              <w:jc w:val="center"/>
              <w:rPr>
                <w:color w:val="auto"/>
                <w:szCs w:val="21"/>
              </w:rPr>
            </w:pPr>
          </w:p>
        </w:tc>
        <w:tc>
          <w:tcPr>
            <w:tcW w:w="1346" w:type="dxa"/>
            <w:tcBorders>
              <w:tl2br w:val="nil"/>
              <w:tr2bl w:val="nil"/>
            </w:tcBorders>
            <w:vAlign w:val="center"/>
          </w:tcPr>
          <w:p>
            <w:pPr>
              <w:spacing w:line="300" w:lineRule="auto"/>
              <w:jc w:val="center"/>
              <w:rPr>
                <w:color w:val="auto"/>
                <w:szCs w:val="21"/>
              </w:rPr>
            </w:pPr>
            <w:r>
              <w:rPr>
                <w:color w:val="auto"/>
                <w:szCs w:val="21"/>
              </w:rPr>
              <w:t>BOD</w:t>
            </w:r>
            <w:r>
              <w:rPr>
                <w:color w:val="auto"/>
                <w:szCs w:val="21"/>
                <w:vertAlign w:val="subscript"/>
              </w:rPr>
              <w:t>5</w:t>
            </w:r>
          </w:p>
        </w:tc>
        <w:tc>
          <w:tcPr>
            <w:tcW w:w="1386" w:type="dxa"/>
            <w:tcBorders>
              <w:tl2br w:val="nil"/>
              <w:tr2bl w:val="nil"/>
            </w:tcBorders>
            <w:vAlign w:val="center"/>
          </w:tcPr>
          <w:p>
            <w:pPr>
              <w:spacing w:line="300" w:lineRule="auto"/>
              <w:jc w:val="center"/>
              <w:rPr>
                <w:color w:val="auto"/>
                <w:szCs w:val="21"/>
              </w:rPr>
            </w:pPr>
            <w:r>
              <w:rPr>
                <w:color w:val="auto"/>
                <w:szCs w:val="21"/>
              </w:rPr>
              <w:t>180</w:t>
            </w:r>
          </w:p>
        </w:tc>
        <w:tc>
          <w:tcPr>
            <w:tcW w:w="1590"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0.0003888</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0.1283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817" w:type="dxa"/>
            <w:vMerge w:val="continue"/>
            <w:tcBorders>
              <w:tl2br w:val="nil"/>
              <w:tr2bl w:val="nil"/>
            </w:tcBorders>
            <w:vAlign w:val="center"/>
          </w:tcPr>
          <w:p>
            <w:pPr>
              <w:spacing w:line="300" w:lineRule="auto"/>
              <w:jc w:val="center"/>
              <w:rPr>
                <w:color w:val="auto"/>
                <w:szCs w:val="21"/>
              </w:rPr>
            </w:pPr>
          </w:p>
        </w:tc>
        <w:tc>
          <w:tcPr>
            <w:tcW w:w="1323" w:type="dxa"/>
            <w:vMerge w:val="continue"/>
            <w:tcBorders>
              <w:tl2br w:val="nil"/>
              <w:tr2bl w:val="nil"/>
            </w:tcBorders>
            <w:vAlign w:val="center"/>
          </w:tcPr>
          <w:p>
            <w:pPr>
              <w:spacing w:line="300" w:lineRule="auto"/>
              <w:jc w:val="center"/>
              <w:rPr>
                <w:color w:val="auto"/>
                <w:szCs w:val="21"/>
              </w:rPr>
            </w:pPr>
          </w:p>
        </w:tc>
        <w:tc>
          <w:tcPr>
            <w:tcW w:w="1346" w:type="dxa"/>
            <w:tcBorders>
              <w:tl2br w:val="nil"/>
              <w:tr2bl w:val="nil"/>
            </w:tcBorders>
            <w:vAlign w:val="center"/>
          </w:tcPr>
          <w:p>
            <w:pPr>
              <w:spacing w:line="300" w:lineRule="auto"/>
              <w:jc w:val="center"/>
              <w:rPr>
                <w:color w:val="auto"/>
                <w:szCs w:val="21"/>
              </w:rPr>
            </w:pPr>
            <w:r>
              <w:rPr>
                <w:color w:val="auto"/>
                <w:szCs w:val="21"/>
              </w:rPr>
              <w:t>NH</w:t>
            </w:r>
            <w:r>
              <w:rPr>
                <w:color w:val="auto"/>
                <w:szCs w:val="21"/>
                <w:vertAlign w:val="subscript"/>
              </w:rPr>
              <w:t>3</w:t>
            </w:r>
            <w:r>
              <w:rPr>
                <w:color w:val="auto"/>
                <w:szCs w:val="21"/>
              </w:rPr>
              <w:t>-N</w:t>
            </w:r>
          </w:p>
        </w:tc>
        <w:tc>
          <w:tcPr>
            <w:tcW w:w="1386" w:type="dxa"/>
            <w:tcBorders>
              <w:tl2br w:val="nil"/>
              <w:tr2bl w:val="nil"/>
            </w:tcBorders>
            <w:vAlign w:val="center"/>
          </w:tcPr>
          <w:p>
            <w:pPr>
              <w:spacing w:line="300" w:lineRule="auto"/>
              <w:jc w:val="center"/>
              <w:rPr>
                <w:color w:val="auto"/>
                <w:szCs w:val="21"/>
              </w:rPr>
            </w:pPr>
            <w:r>
              <w:rPr>
                <w:color w:val="auto"/>
                <w:szCs w:val="21"/>
              </w:rPr>
              <w:t>20</w:t>
            </w:r>
          </w:p>
        </w:tc>
        <w:tc>
          <w:tcPr>
            <w:tcW w:w="1590"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0.0000432</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0.0143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817" w:type="dxa"/>
            <w:vMerge w:val="continue"/>
            <w:tcBorders>
              <w:tl2br w:val="nil"/>
              <w:tr2bl w:val="nil"/>
            </w:tcBorders>
            <w:vAlign w:val="center"/>
          </w:tcPr>
          <w:p>
            <w:pPr>
              <w:spacing w:line="300" w:lineRule="auto"/>
              <w:jc w:val="center"/>
              <w:rPr>
                <w:color w:val="auto"/>
                <w:szCs w:val="21"/>
              </w:rPr>
            </w:pPr>
          </w:p>
        </w:tc>
        <w:tc>
          <w:tcPr>
            <w:tcW w:w="1323" w:type="dxa"/>
            <w:vMerge w:val="continue"/>
            <w:tcBorders>
              <w:tl2br w:val="nil"/>
              <w:tr2bl w:val="nil"/>
            </w:tcBorders>
            <w:vAlign w:val="center"/>
          </w:tcPr>
          <w:p>
            <w:pPr>
              <w:spacing w:line="300" w:lineRule="auto"/>
              <w:jc w:val="center"/>
              <w:rPr>
                <w:color w:val="auto"/>
                <w:szCs w:val="21"/>
              </w:rPr>
            </w:pPr>
          </w:p>
        </w:tc>
        <w:tc>
          <w:tcPr>
            <w:tcW w:w="1346" w:type="dxa"/>
            <w:tcBorders>
              <w:tl2br w:val="nil"/>
              <w:tr2bl w:val="nil"/>
            </w:tcBorders>
            <w:vAlign w:val="center"/>
          </w:tcPr>
          <w:p>
            <w:pPr>
              <w:spacing w:line="300" w:lineRule="auto"/>
              <w:jc w:val="center"/>
              <w:rPr>
                <w:color w:val="auto"/>
                <w:szCs w:val="21"/>
              </w:rPr>
            </w:pPr>
            <w:r>
              <w:rPr>
                <w:color w:val="auto"/>
                <w:szCs w:val="21"/>
              </w:rPr>
              <w:t>SS</w:t>
            </w:r>
          </w:p>
        </w:tc>
        <w:tc>
          <w:tcPr>
            <w:tcW w:w="1386" w:type="dxa"/>
            <w:tcBorders>
              <w:tl2br w:val="nil"/>
              <w:tr2bl w:val="nil"/>
            </w:tcBorders>
            <w:vAlign w:val="center"/>
          </w:tcPr>
          <w:p>
            <w:pPr>
              <w:spacing w:line="300" w:lineRule="auto"/>
              <w:jc w:val="center"/>
              <w:rPr>
                <w:color w:val="auto"/>
                <w:szCs w:val="21"/>
              </w:rPr>
            </w:pPr>
            <w:r>
              <w:rPr>
                <w:color w:val="auto"/>
                <w:szCs w:val="21"/>
              </w:rPr>
              <w:t>200</w:t>
            </w:r>
          </w:p>
        </w:tc>
        <w:tc>
          <w:tcPr>
            <w:tcW w:w="1590" w:type="dxa"/>
            <w:tcBorders>
              <w:tl2br w:val="nil"/>
              <w:tr2bl w:val="nil"/>
            </w:tcBorders>
            <w:vAlign w:val="center"/>
          </w:tcPr>
          <w:p>
            <w:pPr>
              <w:widowControl/>
              <w:spacing w:line="300" w:lineRule="auto"/>
              <w:jc w:val="left"/>
              <w:textAlignment w:val="center"/>
              <w:rPr>
                <w:color w:val="auto"/>
                <w:szCs w:val="21"/>
              </w:rPr>
            </w:pPr>
            <w:r>
              <w:rPr>
                <w:color w:val="auto"/>
                <w:kern w:val="0"/>
                <w:szCs w:val="21"/>
                <w:lang w:bidi="ar"/>
              </w:rPr>
              <w:t>0.000432</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0.1426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2140" w:type="dxa"/>
            <w:gridSpan w:val="2"/>
            <w:vMerge w:val="restart"/>
            <w:tcBorders>
              <w:tl2br w:val="nil"/>
              <w:tr2bl w:val="nil"/>
            </w:tcBorders>
            <w:vAlign w:val="center"/>
          </w:tcPr>
          <w:p>
            <w:pPr>
              <w:spacing w:line="300" w:lineRule="auto"/>
              <w:jc w:val="center"/>
              <w:rPr>
                <w:color w:val="auto"/>
                <w:szCs w:val="21"/>
              </w:rPr>
            </w:pPr>
            <w:r>
              <w:rPr>
                <w:color w:val="auto"/>
                <w:szCs w:val="21"/>
              </w:rPr>
              <w:t>全厂排放口合计</w:t>
            </w:r>
          </w:p>
        </w:tc>
        <w:tc>
          <w:tcPr>
            <w:tcW w:w="4322" w:type="dxa"/>
            <w:gridSpan w:val="3"/>
            <w:tcBorders>
              <w:tl2br w:val="nil"/>
              <w:tr2bl w:val="nil"/>
            </w:tcBorders>
            <w:vAlign w:val="center"/>
          </w:tcPr>
          <w:p>
            <w:pPr>
              <w:spacing w:line="300" w:lineRule="auto"/>
              <w:jc w:val="center"/>
              <w:rPr>
                <w:color w:val="auto"/>
                <w:szCs w:val="21"/>
              </w:rPr>
            </w:pPr>
            <w:r>
              <w:rPr>
                <w:color w:val="auto"/>
                <w:szCs w:val="21"/>
              </w:rPr>
              <w:t>COD</w:t>
            </w:r>
            <w:r>
              <w:rPr>
                <w:color w:val="auto"/>
                <w:szCs w:val="21"/>
                <w:vertAlign w:val="subscript"/>
              </w:rPr>
              <w:t>Cr</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0.1996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2140" w:type="dxa"/>
            <w:gridSpan w:val="2"/>
            <w:vMerge w:val="continue"/>
            <w:tcBorders>
              <w:tl2br w:val="nil"/>
              <w:tr2bl w:val="nil"/>
            </w:tcBorders>
            <w:vAlign w:val="center"/>
          </w:tcPr>
          <w:p>
            <w:pPr>
              <w:spacing w:line="300" w:lineRule="auto"/>
              <w:jc w:val="center"/>
              <w:rPr>
                <w:color w:val="auto"/>
                <w:szCs w:val="21"/>
              </w:rPr>
            </w:pPr>
          </w:p>
        </w:tc>
        <w:tc>
          <w:tcPr>
            <w:tcW w:w="4322" w:type="dxa"/>
            <w:gridSpan w:val="3"/>
            <w:tcBorders>
              <w:tl2br w:val="nil"/>
              <w:tr2bl w:val="nil"/>
            </w:tcBorders>
            <w:vAlign w:val="center"/>
          </w:tcPr>
          <w:p>
            <w:pPr>
              <w:spacing w:line="300" w:lineRule="auto"/>
              <w:jc w:val="center"/>
              <w:rPr>
                <w:color w:val="auto"/>
                <w:szCs w:val="21"/>
              </w:rPr>
            </w:pPr>
            <w:r>
              <w:rPr>
                <w:color w:val="auto"/>
                <w:szCs w:val="21"/>
              </w:rPr>
              <w:t>BOD</w:t>
            </w:r>
            <w:r>
              <w:rPr>
                <w:color w:val="auto"/>
                <w:szCs w:val="21"/>
                <w:vertAlign w:val="subscript"/>
              </w:rPr>
              <w:t>5</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0.1283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2140" w:type="dxa"/>
            <w:gridSpan w:val="2"/>
            <w:vMerge w:val="continue"/>
            <w:tcBorders>
              <w:tl2br w:val="nil"/>
              <w:tr2bl w:val="nil"/>
            </w:tcBorders>
            <w:vAlign w:val="center"/>
          </w:tcPr>
          <w:p>
            <w:pPr>
              <w:spacing w:line="300" w:lineRule="auto"/>
              <w:jc w:val="center"/>
              <w:rPr>
                <w:color w:val="auto"/>
                <w:szCs w:val="21"/>
              </w:rPr>
            </w:pPr>
          </w:p>
        </w:tc>
        <w:tc>
          <w:tcPr>
            <w:tcW w:w="4322" w:type="dxa"/>
            <w:gridSpan w:val="3"/>
            <w:tcBorders>
              <w:tl2br w:val="nil"/>
              <w:tr2bl w:val="nil"/>
            </w:tcBorders>
            <w:vAlign w:val="center"/>
          </w:tcPr>
          <w:p>
            <w:pPr>
              <w:spacing w:line="300" w:lineRule="auto"/>
              <w:jc w:val="center"/>
              <w:rPr>
                <w:color w:val="auto"/>
                <w:szCs w:val="21"/>
              </w:rPr>
            </w:pPr>
            <w:r>
              <w:rPr>
                <w:color w:val="auto"/>
                <w:szCs w:val="21"/>
              </w:rPr>
              <w:t>NH</w:t>
            </w:r>
            <w:r>
              <w:rPr>
                <w:color w:val="auto"/>
                <w:szCs w:val="21"/>
                <w:vertAlign w:val="subscript"/>
              </w:rPr>
              <w:t>3</w:t>
            </w:r>
            <w:r>
              <w:rPr>
                <w:color w:val="auto"/>
                <w:szCs w:val="21"/>
              </w:rPr>
              <w:t>-N</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0.0143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tl2br w:val="nil"/>
              <w:tr2bl w:val="nil"/>
            </w:tcBorders>
            <w:vAlign w:val="center"/>
          </w:tcPr>
          <w:p>
            <w:pPr>
              <w:spacing w:line="300" w:lineRule="auto"/>
              <w:jc w:val="center"/>
              <w:rPr>
                <w:color w:val="auto"/>
                <w:szCs w:val="21"/>
              </w:rPr>
            </w:pPr>
          </w:p>
        </w:tc>
        <w:tc>
          <w:tcPr>
            <w:tcW w:w="2140" w:type="dxa"/>
            <w:gridSpan w:val="2"/>
            <w:vMerge w:val="continue"/>
            <w:tcBorders>
              <w:tl2br w:val="nil"/>
              <w:tr2bl w:val="nil"/>
            </w:tcBorders>
            <w:vAlign w:val="center"/>
          </w:tcPr>
          <w:p>
            <w:pPr>
              <w:spacing w:line="300" w:lineRule="auto"/>
              <w:jc w:val="center"/>
              <w:rPr>
                <w:color w:val="auto"/>
                <w:szCs w:val="21"/>
              </w:rPr>
            </w:pPr>
          </w:p>
        </w:tc>
        <w:tc>
          <w:tcPr>
            <w:tcW w:w="4322" w:type="dxa"/>
            <w:gridSpan w:val="3"/>
            <w:tcBorders>
              <w:tl2br w:val="nil"/>
              <w:tr2bl w:val="nil"/>
            </w:tcBorders>
            <w:vAlign w:val="center"/>
          </w:tcPr>
          <w:p>
            <w:pPr>
              <w:spacing w:line="300" w:lineRule="auto"/>
              <w:jc w:val="center"/>
              <w:rPr>
                <w:color w:val="auto"/>
                <w:szCs w:val="21"/>
              </w:rPr>
            </w:pPr>
            <w:r>
              <w:rPr>
                <w:color w:val="auto"/>
                <w:szCs w:val="21"/>
              </w:rPr>
              <w:t>SS</w:t>
            </w:r>
          </w:p>
        </w:tc>
        <w:tc>
          <w:tcPr>
            <w:tcW w:w="1787" w:type="dxa"/>
            <w:tcBorders>
              <w:tl2br w:val="nil"/>
              <w:tr2bl w:val="nil"/>
            </w:tcBorders>
            <w:vAlign w:val="center"/>
          </w:tcPr>
          <w:p>
            <w:pPr>
              <w:widowControl/>
              <w:spacing w:line="300" w:lineRule="auto"/>
              <w:jc w:val="center"/>
              <w:textAlignment w:val="center"/>
              <w:rPr>
                <w:color w:val="auto"/>
                <w:szCs w:val="21"/>
              </w:rPr>
            </w:pPr>
            <w:r>
              <w:rPr>
                <w:color w:val="auto"/>
                <w:kern w:val="0"/>
                <w:szCs w:val="21"/>
                <w:lang w:bidi="ar"/>
              </w:rPr>
              <w:t xml:space="preserve">0.1426 </w:t>
            </w:r>
          </w:p>
        </w:tc>
      </w:tr>
    </w:tbl>
    <w:p>
      <w:pPr>
        <w:pStyle w:val="44"/>
        <w:numPr>
          <w:ilvl w:val="2"/>
          <w:numId w:val="0"/>
        </w:numPr>
        <w:tabs>
          <w:tab w:val="clear" w:pos="720"/>
        </w:tabs>
        <w:spacing w:before="159" w:after="159" w:line="360" w:lineRule="auto"/>
        <w:ind w:left="420" w:leftChars="200"/>
        <w:rPr>
          <w:color w:val="auto"/>
          <w:sz w:val="28"/>
          <w:szCs w:val="28"/>
        </w:rPr>
      </w:pPr>
      <w:bookmarkStart w:id="597" w:name="_Toc2037"/>
      <w:bookmarkStart w:id="598" w:name="_Toc16687"/>
      <w:r>
        <w:rPr>
          <w:rFonts w:hint="eastAsia"/>
          <w:color w:val="auto"/>
          <w:sz w:val="28"/>
          <w:szCs w:val="28"/>
        </w:rPr>
        <w:t xml:space="preserve">6.2.2  </w:t>
      </w:r>
      <w:r>
        <w:rPr>
          <w:color w:val="auto"/>
          <w:sz w:val="28"/>
          <w:szCs w:val="28"/>
        </w:rPr>
        <w:t>水环境影响评价结论</w:t>
      </w:r>
      <w:bookmarkEnd w:id="597"/>
      <w:bookmarkEnd w:id="598"/>
    </w:p>
    <w:p>
      <w:pPr>
        <w:pStyle w:val="37"/>
        <w:widowControl w:val="0"/>
        <w:ind w:firstLine="480"/>
        <w:rPr>
          <w:color w:val="auto"/>
        </w:rPr>
      </w:pPr>
      <w:r>
        <w:rPr>
          <w:color w:val="auto"/>
        </w:rPr>
        <w:t>项目外排的污水</w:t>
      </w:r>
      <w:r>
        <w:rPr>
          <w:rFonts w:hint="eastAsia"/>
          <w:color w:val="auto"/>
        </w:rPr>
        <w:t>主要为员工生活污水，水质较简单。</w:t>
      </w:r>
      <w:r>
        <w:rPr>
          <w:color w:val="auto"/>
          <w:szCs w:val="24"/>
        </w:rPr>
        <w:t>项目在污水处理厂纳污范围内，生活污水经三级化粪池预处理达到广东省地方标准《水污染物排放限值》（DB44/26-2001）第二时段三级标准</w:t>
      </w:r>
      <w:r>
        <w:rPr>
          <w:color w:val="auto"/>
        </w:rPr>
        <w:t>及石角污水处理厂</w:t>
      </w:r>
      <w:r>
        <w:rPr>
          <w:color w:val="auto"/>
          <w:szCs w:val="24"/>
        </w:rPr>
        <w:t>进水水质标准较严值后经</w:t>
      </w:r>
      <w:r>
        <w:rPr>
          <w:rFonts w:hint="eastAsia"/>
          <w:color w:val="auto"/>
          <w:szCs w:val="24"/>
        </w:rPr>
        <w:t>市政</w:t>
      </w:r>
      <w:r>
        <w:rPr>
          <w:color w:val="auto"/>
          <w:szCs w:val="24"/>
        </w:rPr>
        <w:t>管网进入</w:t>
      </w:r>
      <w:r>
        <w:rPr>
          <w:rFonts w:hint="eastAsia"/>
          <w:color w:val="auto"/>
          <w:szCs w:val="24"/>
        </w:rPr>
        <w:t>石角</w:t>
      </w:r>
      <w:r>
        <w:rPr>
          <w:color w:val="auto"/>
          <w:szCs w:val="24"/>
        </w:rPr>
        <w:t>污水处理厂</w:t>
      </w:r>
      <w:r>
        <w:rPr>
          <w:rFonts w:hint="eastAsia"/>
          <w:color w:val="auto"/>
          <w:szCs w:val="24"/>
        </w:rPr>
        <w:t>集中处理</w:t>
      </w:r>
      <w:r>
        <w:rPr>
          <w:color w:val="auto"/>
          <w:szCs w:val="24"/>
        </w:rPr>
        <w:t>，</w:t>
      </w:r>
      <w:r>
        <w:rPr>
          <w:rFonts w:hint="eastAsia"/>
          <w:color w:val="auto"/>
          <w:szCs w:val="24"/>
        </w:rPr>
        <w:t>最后尾水达标排入</w:t>
      </w:r>
      <w:r>
        <w:rPr>
          <w:color w:val="auto"/>
          <w:szCs w:val="24"/>
        </w:rPr>
        <w:t>沙埗溪</w:t>
      </w:r>
      <w:r>
        <w:rPr>
          <w:rFonts w:hint="eastAsia"/>
          <w:color w:val="auto"/>
          <w:szCs w:val="24"/>
        </w:rPr>
        <w:t>，</w:t>
      </w:r>
      <w:r>
        <w:rPr>
          <w:color w:val="auto"/>
        </w:rPr>
        <w:t>可有效减少污染物排放对</w:t>
      </w:r>
      <w:r>
        <w:rPr>
          <w:rFonts w:hint="eastAsia"/>
          <w:color w:val="auto"/>
        </w:rPr>
        <w:t>周边水环境</w:t>
      </w:r>
      <w:r>
        <w:rPr>
          <w:color w:val="auto"/>
        </w:rPr>
        <w:t>的影响。</w:t>
      </w:r>
    </w:p>
    <w:p>
      <w:pPr>
        <w:pStyle w:val="37"/>
        <w:widowControl w:val="0"/>
        <w:ind w:firstLine="480"/>
        <w:jc w:val="both"/>
        <w:rPr>
          <w:color w:val="auto"/>
        </w:rPr>
      </w:pPr>
      <w:r>
        <w:rPr>
          <w:rFonts w:hint="eastAsia"/>
          <w:bCs/>
          <w:color w:val="auto"/>
        </w:rPr>
        <w:t>将本项目生活污水各因子的产生浓度和</w:t>
      </w:r>
      <w:r>
        <w:rPr>
          <w:color w:val="auto"/>
        </w:rPr>
        <w:t>石角污水处理厂</w:t>
      </w:r>
      <w:r>
        <w:rPr>
          <w:color w:val="auto"/>
          <w:szCs w:val="24"/>
        </w:rPr>
        <w:t>进水水质标准</w:t>
      </w:r>
      <w:r>
        <w:rPr>
          <w:rFonts w:hint="eastAsia"/>
          <w:color w:val="auto"/>
          <w:szCs w:val="24"/>
        </w:rPr>
        <w:t>对比，发现除BOD</w:t>
      </w:r>
      <w:r>
        <w:rPr>
          <w:rFonts w:hint="eastAsia"/>
          <w:color w:val="auto"/>
          <w:szCs w:val="24"/>
          <w:vertAlign w:val="subscript"/>
        </w:rPr>
        <w:t>5</w:t>
      </w:r>
      <w:r>
        <w:rPr>
          <w:rFonts w:hint="eastAsia"/>
          <w:color w:val="auto"/>
          <w:szCs w:val="24"/>
        </w:rPr>
        <w:t>外，本项目</w:t>
      </w:r>
      <w:r>
        <w:rPr>
          <w:rFonts w:hint="eastAsia"/>
          <w:bCs/>
          <w:color w:val="auto"/>
        </w:rPr>
        <w:t>生活污水各因子的产生浓度基本低于</w:t>
      </w:r>
      <w:r>
        <w:rPr>
          <w:color w:val="auto"/>
        </w:rPr>
        <w:t>石角污水处理厂</w:t>
      </w:r>
      <w:r>
        <w:rPr>
          <w:color w:val="auto"/>
          <w:szCs w:val="24"/>
        </w:rPr>
        <w:t>进水水质标准</w:t>
      </w:r>
      <w:r>
        <w:rPr>
          <w:rFonts w:hint="eastAsia"/>
          <w:color w:val="auto"/>
          <w:szCs w:val="24"/>
        </w:rPr>
        <w:t>。经三级化粪池预处理后，各污染因子浓度均低于</w:t>
      </w:r>
      <w:r>
        <w:rPr>
          <w:color w:val="auto"/>
        </w:rPr>
        <w:t>石角污水处理厂</w:t>
      </w:r>
      <w:r>
        <w:rPr>
          <w:color w:val="auto"/>
          <w:szCs w:val="24"/>
        </w:rPr>
        <w:t>进水水质标准</w:t>
      </w:r>
      <w:r>
        <w:rPr>
          <w:rFonts w:hint="eastAsia"/>
          <w:color w:val="auto"/>
          <w:szCs w:val="24"/>
        </w:rPr>
        <w:t>。</w:t>
      </w:r>
      <w:r>
        <w:rPr>
          <w:bCs/>
          <w:color w:val="auto"/>
        </w:rPr>
        <w:t>说明</w:t>
      </w:r>
      <w:r>
        <w:rPr>
          <w:rFonts w:hint="eastAsia"/>
          <w:bCs/>
          <w:color w:val="auto"/>
        </w:rPr>
        <w:t>本</w:t>
      </w:r>
      <w:r>
        <w:rPr>
          <w:bCs/>
          <w:color w:val="auto"/>
        </w:rPr>
        <w:t>项目</w:t>
      </w:r>
      <w:r>
        <w:rPr>
          <w:rFonts w:hint="eastAsia"/>
          <w:bCs/>
          <w:color w:val="auto"/>
        </w:rPr>
        <w:t>的水污染物排放量小，</w:t>
      </w:r>
      <w:r>
        <w:rPr>
          <w:color w:val="auto"/>
        </w:rPr>
        <w:t>外排的生活污水不足以</w:t>
      </w:r>
      <w:r>
        <w:rPr>
          <w:rFonts w:hint="eastAsia"/>
          <w:color w:val="auto"/>
        </w:rPr>
        <w:t>对石角污水处理厂造成冲击。本项目的建设满足区域水环境质量改善目标要求，满足生态保护红线、水环境质量底线、资源利用上线和环境准入清单管理要求</w:t>
      </w:r>
      <w:r>
        <w:rPr>
          <w:color w:val="auto"/>
        </w:rPr>
        <w:t>。</w:t>
      </w:r>
    </w:p>
    <w:p>
      <w:pPr>
        <w:pStyle w:val="37"/>
        <w:widowControl w:val="0"/>
        <w:ind w:firstLine="480"/>
        <w:jc w:val="both"/>
        <w:rPr>
          <w:color w:val="auto"/>
        </w:rPr>
      </w:pPr>
      <w:r>
        <w:rPr>
          <w:color w:val="auto"/>
        </w:rPr>
        <w:t>但是，当</w:t>
      </w:r>
      <w:r>
        <w:rPr>
          <w:rFonts w:hint="eastAsia"/>
          <w:color w:val="auto"/>
        </w:rPr>
        <w:t>三级化粪池</w:t>
      </w:r>
      <w:r>
        <w:rPr>
          <w:color w:val="auto"/>
        </w:rPr>
        <w:t>出现</w:t>
      </w:r>
      <w:r>
        <w:rPr>
          <w:rFonts w:hint="eastAsia"/>
          <w:color w:val="auto"/>
        </w:rPr>
        <w:t>堵塞、管道破裂等</w:t>
      </w:r>
      <w:r>
        <w:rPr>
          <w:color w:val="auto"/>
        </w:rPr>
        <w:t>故障</w:t>
      </w:r>
      <w:r>
        <w:rPr>
          <w:rFonts w:hint="eastAsia"/>
          <w:color w:val="auto"/>
        </w:rPr>
        <w:t>时</w:t>
      </w:r>
      <w:r>
        <w:rPr>
          <w:color w:val="auto"/>
        </w:rPr>
        <w:t>，外排的污染物浓度和数量将会增加，</w:t>
      </w:r>
      <w:r>
        <w:rPr>
          <w:bCs/>
          <w:color w:val="auto"/>
        </w:rPr>
        <w:t>不利于水环境保持良好状态。因此，</w:t>
      </w:r>
      <w:r>
        <w:rPr>
          <w:color w:val="auto"/>
        </w:rPr>
        <w:t>需马上停止污水的产生，关上阀门，避免污水未经处理进入</w:t>
      </w:r>
      <w:r>
        <w:rPr>
          <w:rFonts w:hint="eastAsia"/>
          <w:color w:val="auto"/>
        </w:rPr>
        <w:t>市政管网</w:t>
      </w:r>
      <w:r>
        <w:rPr>
          <w:color w:val="auto"/>
        </w:rPr>
        <w:t>，并尽快对</w:t>
      </w:r>
      <w:r>
        <w:rPr>
          <w:rFonts w:hint="eastAsia"/>
          <w:color w:val="auto"/>
        </w:rPr>
        <w:t>三级化粪池</w:t>
      </w:r>
      <w:r>
        <w:rPr>
          <w:color w:val="auto"/>
        </w:rPr>
        <w:t>进行</w:t>
      </w:r>
      <w:r>
        <w:rPr>
          <w:rFonts w:hint="eastAsia"/>
          <w:color w:val="auto"/>
        </w:rPr>
        <w:t>清淤、疏通和</w:t>
      </w:r>
      <w:r>
        <w:rPr>
          <w:color w:val="auto"/>
        </w:rPr>
        <w:t>维修，待其运行正常后再投入使用。</w:t>
      </w:r>
    </w:p>
    <w:p>
      <w:pPr>
        <w:pStyle w:val="37"/>
        <w:widowControl w:val="0"/>
        <w:ind w:firstLine="480"/>
        <w:rPr>
          <w:color w:val="auto"/>
        </w:rPr>
      </w:pPr>
      <w:r>
        <w:rPr>
          <w:color w:val="auto"/>
        </w:rPr>
        <w:t>综上所述，在采取相应措施杜绝事故排放的情况下，本项目的建设对</w:t>
      </w:r>
      <w:r>
        <w:rPr>
          <w:rFonts w:hint="eastAsia"/>
          <w:color w:val="auto"/>
        </w:rPr>
        <w:t>周边</w:t>
      </w:r>
      <w:r>
        <w:rPr>
          <w:color w:val="auto"/>
        </w:rPr>
        <w:t>水环境影响较小，可以接受。</w:t>
      </w:r>
    </w:p>
    <w:p>
      <w:pPr>
        <w:pStyle w:val="44"/>
        <w:numPr>
          <w:ilvl w:val="2"/>
          <w:numId w:val="0"/>
        </w:numPr>
        <w:tabs>
          <w:tab w:val="clear" w:pos="720"/>
        </w:tabs>
        <w:spacing w:before="159" w:after="159" w:line="360" w:lineRule="auto"/>
        <w:rPr>
          <w:color w:val="auto"/>
          <w:sz w:val="28"/>
          <w:szCs w:val="28"/>
        </w:rPr>
      </w:pPr>
      <w:bookmarkStart w:id="599" w:name="_Toc28748"/>
      <w:bookmarkStart w:id="600" w:name="_Toc4189"/>
      <w:r>
        <w:rPr>
          <w:rFonts w:hint="eastAsia"/>
          <w:color w:val="auto"/>
          <w:sz w:val="28"/>
          <w:szCs w:val="28"/>
        </w:rPr>
        <w:t xml:space="preserve">6.2.3  </w:t>
      </w:r>
      <w:r>
        <w:rPr>
          <w:color w:val="auto"/>
          <w:sz w:val="28"/>
          <w:szCs w:val="28"/>
        </w:rPr>
        <w:t>地表水环境影响评价自查</w:t>
      </w:r>
      <w:bookmarkEnd w:id="599"/>
      <w:bookmarkEnd w:id="600"/>
    </w:p>
    <w:p>
      <w:pPr>
        <w:pStyle w:val="37"/>
        <w:widowControl w:val="0"/>
        <w:ind w:firstLine="480"/>
        <w:rPr>
          <w:bCs/>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rPr>
        <w:t>根据《环境影响评价技术导则 地表水环境》（HJ2.3-2018），在地表水环境影响评价完成后，应对地表水环境影响评价主要内容和结论进行自查。建设项目地表水影响评价自查表见</w:t>
      </w:r>
      <w:r>
        <w:rPr>
          <w:rFonts w:hint="eastAsia"/>
          <w:color w:val="auto"/>
        </w:rPr>
        <w:t>下表</w:t>
      </w:r>
      <w:r>
        <w:rPr>
          <w:bCs/>
          <w:color w:val="auto"/>
        </w:rPr>
        <w:t>。</w:t>
      </w:r>
    </w:p>
    <w:p>
      <w:pPr>
        <w:spacing w:line="360" w:lineRule="auto"/>
        <w:jc w:val="center"/>
        <w:rPr>
          <w:b/>
          <w:bCs/>
          <w:color w:val="auto"/>
          <w:szCs w:val="21"/>
        </w:rPr>
      </w:pPr>
      <w:r>
        <w:rPr>
          <w:b/>
          <w:color w:val="auto"/>
          <w:szCs w:val="21"/>
        </w:rPr>
        <w:t>表</w:t>
      </w:r>
      <w:r>
        <w:rPr>
          <w:rFonts w:hint="eastAsia"/>
          <w:b/>
          <w:color w:val="auto"/>
          <w:szCs w:val="21"/>
        </w:rPr>
        <w:t xml:space="preserve">6.2-5  </w:t>
      </w:r>
      <w:r>
        <w:rPr>
          <w:b/>
          <w:color w:val="auto"/>
          <w:szCs w:val="21"/>
        </w:rPr>
        <w:t>建设项目地表水环境影响</w:t>
      </w:r>
      <w:r>
        <w:rPr>
          <w:b/>
          <w:bCs/>
          <w:color w:val="auto"/>
          <w:szCs w:val="21"/>
        </w:rPr>
        <w:t>评价自查表</w:t>
      </w:r>
    </w:p>
    <w:tbl>
      <w:tblPr>
        <w:tblStyle w:val="24"/>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2611"/>
        <w:gridCol w:w="1845"/>
        <w:gridCol w:w="780"/>
        <w:gridCol w:w="180"/>
        <w:gridCol w:w="317"/>
        <w:gridCol w:w="1363"/>
        <w:gridCol w:w="960"/>
        <w:gridCol w:w="811"/>
        <w:gridCol w:w="554"/>
        <w:gridCol w:w="16"/>
        <w:gridCol w:w="1350"/>
        <w:gridCol w:w="149"/>
        <w:gridCol w:w="1185"/>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191" w:type="dxa"/>
            <w:gridSpan w:val="2"/>
            <w:tcBorders>
              <w:tl2br w:val="nil"/>
              <w:tr2bl w:val="nil"/>
            </w:tcBorders>
            <w:vAlign w:val="center"/>
          </w:tcPr>
          <w:p>
            <w:pPr>
              <w:widowControl/>
              <w:adjustRightInd w:val="0"/>
              <w:snapToGrid w:val="0"/>
              <w:jc w:val="center"/>
              <w:rPr>
                <w:color w:val="auto"/>
                <w:szCs w:val="21"/>
              </w:rPr>
            </w:pPr>
            <w:r>
              <w:rPr>
                <w:color w:val="auto"/>
                <w:szCs w:val="21"/>
              </w:rPr>
              <w:t>工作内容</w:t>
            </w:r>
          </w:p>
        </w:tc>
        <w:tc>
          <w:tcPr>
            <w:tcW w:w="10983" w:type="dxa"/>
            <w:gridSpan w:val="13"/>
            <w:tcBorders>
              <w:tl2br w:val="nil"/>
              <w:tr2bl w:val="nil"/>
            </w:tcBorders>
            <w:vAlign w:val="center"/>
          </w:tcPr>
          <w:p>
            <w:pPr>
              <w:widowControl/>
              <w:adjustRightInd w:val="0"/>
              <w:snapToGrid w:val="0"/>
              <w:jc w:val="center"/>
              <w:rPr>
                <w:color w:val="auto"/>
                <w:szCs w:val="21"/>
              </w:rPr>
            </w:pPr>
            <w:r>
              <w:rPr>
                <w:color w:val="auto"/>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影响识别</w:t>
            </w: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影响类型</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水污染影响型 ☑</w:t>
            </w:r>
            <w:r>
              <w:rPr>
                <w:color w:val="auto"/>
              </w:rPr>
              <w:t xml:space="preserve">；水文要素影响型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水环境保护目标</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应用水水源保护区 </w:t>
            </w:r>
            <w:r>
              <w:rPr>
                <w:color w:val="auto"/>
              </w:rPr>
              <w:sym w:font="Wingdings 2" w:char="00A3"/>
            </w:r>
            <w:r>
              <w:rPr>
                <w:color w:val="auto"/>
                <w:szCs w:val="21"/>
              </w:rPr>
              <w:t xml:space="preserve">；饮用水取水口 </w:t>
            </w:r>
            <w:r>
              <w:rPr>
                <w:color w:val="auto"/>
              </w:rPr>
              <w:sym w:font="Wingdings 2" w:char="00A3"/>
            </w:r>
            <w:r>
              <w:rPr>
                <w:color w:val="auto"/>
                <w:szCs w:val="21"/>
              </w:rPr>
              <w:t xml:space="preserve">；涉水的自然保护区 </w:t>
            </w:r>
            <w:r>
              <w:rPr>
                <w:color w:val="auto"/>
              </w:rPr>
              <w:sym w:font="Wingdings 2" w:char="00A3"/>
            </w:r>
            <w:r>
              <w:rPr>
                <w:color w:val="auto"/>
                <w:szCs w:val="21"/>
              </w:rPr>
              <w:t xml:space="preserve">；重要湿地 </w:t>
            </w:r>
            <w:r>
              <w:rPr>
                <w:color w:val="auto"/>
              </w:rPr>
              <w:sym w:font="Wingdings 2" w:char="00A3"/>
            </w:r>
            <w:r>
              <w:rPr>
                <w:color w:val="auto"/>
                <w:szCs w:val="21"/>
              </w:rPr>
              <w:t>；</w:t>
            </w:r>
          </w:p>
          <w:p>
            <w:pPr>
              <w:widowControl/>
              <w:adjustRightInd w:val="0"/>
              <w:snapToGrid w:val="0"/>
              <w:jc w:val="left"/>
              <w:rPr>
                <w:color w:val="auto"/>
                <w:szCs w:val="21"/>
              </w:rPr>
            </w:pPr>
            <w:r>
              <w:rPr>
                <w:color w:val="auto"/>
                <w:szCs w:val="21"/>
              </w:rPr>
              <w:t xml:space="preserve">重点保护与珍稀水生生物的栖息地 </w:t>
            </w:r>
            <w:r>
              <w:rPr>
                <w:color w:val="auto"/>
              </w:rPr>
              <w:sym w:font="Wingdings 2" w:char="00A3"/>
            </w:r>
            <w:r>
              <w:rPr>
                <w:color w:val="auto"/>
                <w:szCs w:val="21"/>
              </w:rPr>
              <w:t xml:space="preserve">；重要水生生物的自然产卵地及索耳场、越冬场和洄游通道、天然渔场等水体；涉水的风景名胜区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影响途径</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水污染影响型</w:t>
            </w:r>
          </w:p>
        </w:tc>
        <w:tc>
          <w:tcPr>
            <w:tcW w:w="5538" w:type="dxa"/>
            <w:gridSpan w:val="7"/>
            <w:tcBorders>
              <w:tl2br w:val="nil"/>
              <w:tr2bl w:val="nil"/>
            </w:tcBorders>
            <w:vAlign w:val="center"/>
          </w:tcPr>
          <w:p>
            <w:pPr>
              <w:widowControl/>
              <w:adjustRightInd w:val="0"/>
              <w:snapToGrid w:val="0"/>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 xml:space="preserve">直接排放 </w:t>
            </w:r>
            <w:r>
              <w:rPr>
                <w:color w:val="auto"/>
              </w:rPr>
              <w:sym w:font="Wingdings 2" w:char="00A3"/>
            </w:r>
            <w:r>
              <w:rPr>
                <w:color w:val="auto"/>
                <w:szCs w:val="21"/>
              </w:rPr>
              <w:t xml:space="preserve">；排放 ☑；其他 </w:t>
            </w:r>
            <w:r>
              <w:rPr>
                <w:color w:val="auto"/>
              </w:rPr>
              <w:sym w:font="Wingdings 2" w:char="00A3"/>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水温 </w:t>
            </w:r>
            <w:r>
              <w:rPr>
                <w:color w:val="auto"/>
              </w:rPr>
              <w:sym w:font="Wingdings 2" w:char="00A3"/>
            </w:r>
            <w:r>
              <w:rPr>
                <w:color w:val="auto"/>
                <w:szCs w:val="21"/>
              </w:rPr>
              <w:t xml:space="preserve">；径流 </w:t>
            </w:r>
            <w:r>
              <w:rPr>
                <w:color w:val="auto"/>
              </w:rPr>
              <w:sym w:font="Wingdings 2" w:char="00A3"/>
            </w:r>
            <w:r>
              <w:rPr>
                <w:color w:val="auto"/>
                <w:szCs w:val="21"/>
              </w:rPr>
              <w:t xml:space="preserve">；水域面积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影响因子</w:t>
            </w: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 xml:space="preserve">持久性污染物 </w:t>
            </w:r>
            <w:r>
              <w:rPr>
                <w:color w:val="auto"/>
              </w:rPr>
              <w:sym w:font="Wingdings 2" w:char="00A3"/>
            </w:r>
            <w:r>
              <w:rPr>
                <w:color w:val="auto"/>
                <w:szCs w:val="21"/>
              </w:rPr>
              <w:t xml:space="preserve">；有毒有害污染物 </w:t>
            </w:r>
            <w:r>
              <w:rPr>
                <w:color w:val="auto"/>
              </w:rPr>
              <w:sym w:font="Wingdings 2" w:char="00A3"/>
            </w:r>
            <w:r>
              <w:rPr>
                <w:color w:val="auto"/>
                <w:szCs w:val="21"/>
              </w:rPr>
              <w:t xml:space="preserve">；非持久性污染物 ☑；pH值 </w:t>
            </w:r>
            <w:r>
              <w:rPr>
                <w:color w:val="auto"/>
              </w:rPr>
              <w:sym w:font="Wingdings 2" w:char="00A3"/>
            </w:r>
            <w:r>
              <w:rPr>
                <w:color w:val="auto"/>
                <w:szCs w:val="21"/>
              </w:rPr>
              <w:t xml:space="preserve">；热污染 </w:t>
            </w:r>
            <w:r>
              <w:rPr>
                <w:color w:val="auto"/>
              </w:rPr>
              <w:sym w:font="Wingdings 2" w:char="00A3"/>
            </w:r>
            <w:r>
              <w:rPr>
                <w:color w:val="auto"/>
                <w:szCs w:val="21"/>
              </w:rPr>
              <w:t xml:space="preserve">；富营养化 </w:t>
            </w:r>
            <w:r>
              <w:rPr>
                <w:color w:val="auto"/>
              </w:rPr>
              <w:sym w:font="Wingdings 2" w:char="00A3"/>
            </w:r>
            <w:r>
              <w:rPr>
                <w:color w:val="auto"/>
                <w:szCs w:val="21"/>
              </w:rPr>
              <w:t xml:space="preserve">；其他 </w:t>
            </w:r>
            <w:r>
              <w:rPr>
                <w:color w:val="auto"/>
              </w:rPr>
              <w:sym w:font="Wingdings 2" w:char="00A3"/>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水温 </w:t>
            </w:r>
            <w:r>
              <w:rPr>
                <w:color w:val="auto"/>
              </w:rPr>
              <w:sym w:font="Wingdings 2" w:char="00A3"/>
            </w:r>
            <w:r>
              <w:rPr>
                <w:color w:val="auto"/>
                <w:szCs w:val="21"/>
              </w:rPr>
              <w:t xml:space="preserve">；水位（水深） </w:t>
            </w:r>
            <w:r>
              <w:rPr>
                <w:color w:val="auto"/>
              </w:rPr>
              <w:sym w:font="Wingdings 2" w:char="00A3"/>
            </w:r>
            <w:r>
              <w:rPr>
                <w:color w:val="auto"/>
                <w:szCs w:val="21"/>
              </w:rPr>
              <w:t xml:space="preserve">；流速 </w:t>
            </w:r>
            <w:r>
              <w:rPr>
                <w:color w:val="auto"/>
              </w:rPr>
              <w:sym w:font="Wingdings 2" w:char="00A3"/>
            </w:r>
            <w:r>
              <w:rPr>
                <w:color w:val="auto"/>
                <w:szCs w:val="21"/>
              </w:rPr>
              <w:t xml:space="preserve">；流量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91" w:type="dxa"/>
            <w:gridSpan w:val="2"/>
            <w:vMerge w:val="restart"/>
            <w:tcBorders>
              <w:tl2br w:val="nil"/>
              <w:tr2bl w:val="nil"/>
            </w:tcBorders>
            <w:vAlign w:val="center"/>
          </w:tcPr>
          <w:p>
            <w:pPr>
              <w:widowControl/>
              <w:adjustRightInd w:val="0"/>
              <w:snapToGrid w:val="0"/>
              <w:jc w:val="center"/>
              <w:rPr>
                <w:color w:val="auto"/>
                <w:szCs w:val="21"/>
              </w:rPr>
            </w:pPr>
            <w:r>
              <w:rPr>
                <w:color w:val="auto"/>
                <w:szCs w:val="21"/>
              </w:rPr>
              <w:t>评价等级</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水污染影响型</w:t>
            </w:r>
          </w:p>
        </w:tc>
        <w:tc>
          <w:tcPr>
            <w:tcW w:w="5538" w:type="dxa"/>
            <w:gridSpan w:val="7"/>
            <w:tcBorders>
              <w:tl2br w:val="nil"/>
              <w:tr2bl w:val="nil"/>
            </w:tcBorders>
            <w:vAlign w:val="center"/>
          </w:tcPr>
          <w:p>
            <w:pPr>
              <w:widowControl/>
              <w:adjustRightInd w:val="0"/>
              <w:snapToGrid w:val="0"/>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91" w:type="dxa"/>
            <w:gridSpan w:val="2"/>
            <w:vMerge w:val="continue"/>
            <w:tcBorders>
              <w:tl2br w:val="nil"/>
              <w:tr2bl w:val="nil"/>
            </w:tcBorders>
            <w:vAlign w:val="center"/>
          </w:tcPr>
          <w:p>
            <w:pPr>
              <w:widowControl/>
              <w:adjustRightInd w:val="0"/>
              <w:snapToGrid w:val="0"/>
              <w:jc w:val="center"/>
              <w:rPr>
                <w:color w:val="auto"/>
                <w:szCs w:val="21"/>
              </w:rPr>
            </w:pP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 xml:space="preserve">一级 </w:t>
            </w:r>
            <w:r>
              <w:rPr>
                <w:color w:val="auto"/>
              </w:rPr>
              <w:sym w:font="Wingdings 2" w:char="00A3"/>
            </w:r>
            <w:r>
              <w:rPr>
                <w:color w:val="auto"/>
                <w:szCs w:val="21"/>
              </w:rPr>
              <w:t xml:space="preserve">；二级 </w:t>
            </w:r>
            <w:r>
              <w:rPr>
                <w:color w:val="auto"/>
              </w:rPr>
              <w:sym w:font="Wingdings 2" w:char="00A3"/>
            </w:r>
            <w:r>
              <w:rPr>
                <w:color w:val="auto"/>
                <w:szCs w:val="21"/>
              </w:rPr>
              <w:t xml:space="preserve">；三级A </w:t>
            </w:r>
            <w:r>
              <w:rPr>
                <w:color w:val="auto"/>
              </w:rPr>
              <w:sym w:font="Wingdings 2" w:char="00A3"/>
            </w:r>
            <w:r>
              <w:rPr>
                <w:color w:val="auto"/>
                <w:szCs w:val="21"/>
              </w:rPr>
              <w:t>；三级B ☑</w:t>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一级 </w:t>
            </w:r>
            <w:r>
              <w:rPr>
                <w:color w:val="auto"/>
              </w:rPr>
              <w:sym w:font="Wingdings 2" w:char="00A3"/>
            </w:r>
            <w:r>
              <w:rPr>
                <w:color w:val="auto"/>
                <w:szCs w:val="21"/>
              </w:rPr>
              <w:t xml:space="preserve">；二级 </w:t>
            </w:r>
            <w:r>
              <w:rPr>
                <w:color w:val="auto"/>
              </w:rPr>
              <w:sym w:font="Wingdings 2" w:char="00A3"/>
            </w:r>
            <w:r>
              <w:rPr>
                <w:color w:val="auto"/>
                <w:szCs w:val="21"/>
              </w:rPr>
              <w:t xml:space="preserve">；三级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现状调查</w:t>
            </w: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区域污染源</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调查项目</w:t>
            </w:r>
          </w:p>
        </w:tc>
        <w:tc>
          <w:tcPr>
            <w:tcW w:w="5538" w:type="dxa"/>
            <w:gridSpan w:val="7"/>
            <w:tcBorders>
              <w:tl2br w:val="nil"/>
              <w:tr2bl w:val="nil"/>
            </w:tcBorders>
            <w:vAlign w:val="center"/>
          </w:tcPr>
          <w:p>
            <w:pPr>
              <w:widowControl/>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3122" w:type="dxa"/>
            <w:gridSpan w:val="4"/>
            <w:tcBorders>
              <w:tl2br w:val="nil"/>
              <w:tr2bl w:val="nil"/>
            </w:tcBorders>
            <w:vAlign w:val="center"/>
          </w:tcPr>
          <w:p>
            <w:pPr>
              <w:widowControl/>
              <w:adjustRightInd w:val="0"/>
              <w:snapToGrid w:val="0"/>
              <w:jc w:val="left"/>
              <w:rPr>
                <w:color w:val="auto"/>
                <w:szCs w:val="21"/>
              </w:rPr>
            </w:pPr>
            <w:r>
              <w:rPr>
                <w:color w:val="auto"/>
                <w:szCs w:val="21"/>
              </w:rPr>
              <w:t xml:space="preserve">已建 </w:t>
            </w:r>
            <w:r>
              <w:rPr>
                <w:color w:val="auto"/>
              </w:rPr>
              <w:sym w:font="Wingdings 2" w:char="00A3"/>
            </w:r>
            <w:r>
              <w:rPr>
                <w:color w:val="auto"/>
                <w:szCs w:val="21"/>
              </w:rPr>
              <w:t xml:space="preserve">；在建 </w:t>
            </w:r>
            <w:r>
              <w:rPr>
                <w:color w:val="auto"/>
              </w:rPr>
              <w:sym w:font="Wingdings 2" w:char="00A3"/>
            </w:r>
            <w:r>
              <w:rPr>
                <w:color w:val="auto"/>
                <w:szCs w:val="21"/>
              </w:rPr>
              <w:t xml:space="preserve">；拟建 </w:t>
            </w:r>
            <w:r>
              <w:rPr>
                <w:color w:val="auto"/>
              </w:rPr>
              <w:sym w:font="Wingdings 2" w:char="00A3"/>
            </w:r>
            <w:r>
              <w:rPr>
                <w:color w:val="auto"/>
                <w:szCs w:val="21"/>
              </w:rPr>
              <w:t xml:space="preserve">；其他 </w:t>
            </w:r>
            <w:r>
              <w:rPr>
                <w:color w:val="auto"/>
              </w:rPr>
              <w:sym w:font="Wingdings 2" w:char="00A3"/>
            </w:r>
            <w:r>
              <w:rPr>
                <w:color w:val="auto"/>
                <w:szCs w:val="21"/>
              </w:rPr>
              <w:t>；</w:t>
            </w:r>
          </w:p>
        </w:tc>
        <w:tc>
          <w:tcPr>
            <w:tcW w:w="2323" w:type="dxa"/>
            <w:gridSpan w:val="2"/>
            <w:tcBorders>
              <w:tl2br w:val="nil"/>
              <w:tr2bl w:val="nil"/>
            </w:tcBorders>
            <w:vAlign w:val="center"/>
          </w:tcPr>
          <w:p>
            <w:pPr>
              <w:widowControl/>
              <w:adjustRightInd w:val="0"/>
              <w:snapToGrid w:val="0"/>
              <w:jc w:val="left"/>
              <w:rPr>
                <w:color w:val="auto"/>
                <w:szCs w:val="21"/>
              </w:rPr>
            </w:pPr>
            <w:r>
              <w:rPr>
                <w:color w:val="auto"/>
                <w:szCs w:val="21"/>
              </w:rPr>
              <w:t xml:space="preserve">拟替代的污染源 </w:t>
            </w:r>
            <w:r>
              <w:rPr>
                <w:color w:val="auto"/>
              </w:rPr>
              <w:sym w:font="Wingdings 2" w:char="00A3"/>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排污许可证 </w:t>
            </w:r>
            <w:r>
              <w:rPr>
                <w:color w:val="auto"/>
              </w:rPr>
              <w:sym w:font="Wingdings 2" w:char="00A3"/>
            </w:r>
            <w:r>
              <w:rPr>
                <w:color w:val="auto"/>
                <w:szCs w:val="21"/>
              </w:rPr>
              <w:t xml:space="preserve">；环评 </w:t>
            </w:r>
            <w:r>
              <w:rPr>
                <w:color w:val="auto"/>
              </w:rPr>
              <w:sym w:font="Wingdings 2" w:char="00A3"/>
            </w:r>
            <w:r>
              <w:rPr>
                <w:color w:val="auto"/>
                <w:szCs w:val="21"/>
              </w:rPr>
              <w:t xml:space="preserve">；环保验收 </w:t>
            </w:r>
            <w:r>
              <w:rPr>
                <w:color w:val="auto"/>
              </w:rPr>
              <w:sym w:font="Wingdings 2" w:char="00A3"/>
            </w:r>
            <w:r>
              <w:rPr>
                <w:color w:val="auto"/>
                <w:szCs w:val="21"/>
              </w:rPr>
              <w:t xml:space="preserve">；即有实测 </w:t>
            </w:r>
            <w:r>
              <w:rPr>
                <w:color w:val="auto"/>
              </w:rPr>
              <w:sym w:font="Wingdings 2" w:char="00A3"/>
            </w:r>
            <w:r>
              <w:rPr>
                <w:color w:val="auto"/>
                <w:szCs w:val="21"/>
              </w:rPr>
              <w:t xml:space="preserve">；现场监测 </w:t>
            </w:r>
            <w:r>
              <w:rPr>
                <w:color w:val="auto"/>
              </w:rPr>
              <w:sym w:font="Wingdings 2" w:char="00A3"/>
            </w:r>
            <w:r>
              <w:rPr>
                <w:color w:val="auto"/>
                <w:szCs w:val="21"/>
              </w:rPr>
              <w:t xml:space="preserve">；入河排放口数据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受影响水体水环境质量</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调查时期</w:t>
            </w:r>
          </w:p>
        </w:tc>
        <w:tc>
          <w:tcPr>
            <w:tcW w:w="5538" w:type="dxa"/>
            <w:gridSpan w:val="7"/>
            <w:tcBorders>
              <w:tl2br w:val="nil"/>
              <w:tr2bl w:val="nil"/>
            </w:tcBorders>
            <w:vAlign w:val="center"/>
          </w:tcPr>
          <w:p>
            <w:pPr>
              <w:widowControl/>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 xml:space="preserve">丰水期 </w:t>
            </w:r>
            <w:r>
              <w:rPr>
                <w:color w:val="auto"/>
              </w:rPr>
              <w:sym w:font="Wingdings 2" w:char="00A3"/>
            </w:r>
            <w:r>
              <w:rPr>
                <w:color w:val="auto"/>
                <w:szCs w:val="21"/>
              </w:rPr>
              <w:t xml:space="preserve">；平水期 ☑；枯水期 </w:t>
            </w:r>
            <w:r>
              <w:rPr>
                <w:color w:val="auto"/>
              </w:rPr>
              <w:sym w:font="Wingdings 2" w:char="00A3"/>
            </w:r>
            <w:r>
              <w:rPr>
                <w:color w:val="auto"/>
                <w:szCs w:val="21"/>
              </w:rPr>
              <w:t xml:space="preserve">；冰封期 </w:t>
            </w:r>
            <w:r>
              <w:rPr>
                <w:color w:val="auto"/>
              </w:rPr>
              <w:sym w:font="Wingdings 2" w:char="00A3"/>
            </w:r>
            <w:r>
              <w:rPr>
                <w:color w:val="auto"/>
                <w:szCs w:val="21"/>
              </w:rPr>
              <w:t>；</w:t>
            </w:r>
          </w:p>
          <w:p>
            <w:pPr>
              <w:widowControl/>
              <w:adjustRightInd w:val="0"/>
              <w:snapToGrid w:val="0"/>
              <w:jc w:val="left"/>
              <w:rPr>
                <w:color w:val="auto"/>
                <w:szCs w:val="21"/>
              </w:rPr>
            </w:pPr>
            <w:r>
              <w:rPr>
                <w:color w:val="auto"/>
                <w:szCs w:val="21"/>
              </w:rPr>
              <w:t xml:space="preserve">春季 </w:t>
            </w:r>
            <w:r>
              <w:rPr>
                <w:color w:val="auto"/>
              </w:rPr>
              <w:sym w:font="Wingdings 2" w:char="00A3"/>
            </w:r>
            <w:r>
              <w:rPr>
                <w:color w:val="auto"/>
                <w:szCs w:val="21"/>
              </w:rPr>
              <w:t xml:space="preserve">；夏季 ☑；秋季 </w:t>
            </w:r>
            <w:r>
              <w:rPr>
                <w:color w:val="auto"/>
              </w:rPr>
              <w:sym w:font="Wingdings 2" w:char="00A3"/>
            </w:r>
            <w:r>
              <w:rPr>
                <w:color w:val="auto"/>
                <w:szCs w:val="21"/>
              </w:rPr>
              <w:t xml:space="preserve">；冬季 </w:t>
            </w:r>
            <w:r>
              <w:rPr>
                <w:color w:val="auto"/>
              </w:rPr>
              <w:sym w:font="Wingdings 2" w:char="00A3"/>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生态环境保护主管部门 </w:t>
            </w:r>
            <w:r>
              <w:rPr>
                <w:color w:val="auto"/>
              </w:rPr>
              <w:sym w:font="Wingdings 2" w:char="00A3"/>
            </w:r>
            <w:r>
              <w:rPr>
                <w:color w:val="auto"/>
                <w:szCs w:val="21"/>
              </w:rPr>
              <w:t xml:space="preserve">；补充监测 ☑；其他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区域水资源开发利用状况</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未开发 ☑；开发量40%以下 </w:t>
            </w:r>
            <w:r>
              <w:rPr>
                <w:color w:val="auto"/>
              </w:rPr>
              <w:sym w:font="Wingdings 2" w:char="00A3"/>
            </w:r>
            <w:r>
              <w:rPr>
                <w:color w:val="auto"/>
                <w:szCs w:val="21"/>
              </w:rPr>
              <w:t xml:space="preserve">；发量40%以上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水文情势调查</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调查时期</w:t>
            </w:r>
          </w:p>
        </w:tc>
        <w:tc>
          <w:tcPr>
            <w:tcW w:w="5538" w:type="dxa"/>
            <w:gridSpan w:val="7"/>
            <w:tcBorders>
              <w:tl2br w:val="nil"/>
              <w:tr2bl w:val="nil"/>
            </w:tcBorders>
            <w:vAlign w:val="center"/>
          </w:tcPr>
          <w:p>
            <w:pPr>
              <w:widowControl/>
              <w:adjustRightInd w:val="0"/>
              <w:snapToGrid w:val="0"/>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丰水期</w:t>
            </w:r>
            <w:r>
              <w:rPr>
                <w:color w:val="auto"/>
              </w:rPr>
              <w:sym w:font="Wingdings 2" w:char="00A3"/>
            </w:r>
            <w:r>
              <w:rPr>
                <w:color w:val="auto"/>
                <w:szCs w:val="21"/>
              </w:rPr>
              <w:t xml:space="preserve"> ；平水期</w:t>
            </w:r>
            <w:r>
              <w:rPr>
                <w:color w:val="auto"/>
              </w:rPr>
              <w:sym w:font="Wingdings 2" w:char="00A3"/>
            </w:r>
            <w:r>
              <w:rPr>
                <w:color w:val="auto"/>
                <w:szCs w:val="21"/>
              </w:rPr>
              <w:t xml:space="preserve"> ；枯水期 ☑；冰封期 </w:t>
            </w:r>
            <w:r>
              <w:rPr>
                <w:color w:val="auto"/>
              </w:rPr>
              <w:sym w:font="Wingdings 2" w:char="00A3"/>
            </w:r>
            <w:r>
              <w:rPr>
                <w:color w:val="auto"/>
                <w:szCs w:val="21"/>
              </w:rPr>
              <w:t>；</w:t>
            </w:r>
          </w:p>
          <w:p>
            <w:pPr>
              <w:widowControl/>
              <w:adjustRightInd w:val="0"/>
              <w:snapToGrid w:val="0"/>
              <w:jc w:val="left"/>
              <w:rPr>
                <w:color w:val="auto"/>
                <w:szCs w:val="21"/>
              </w:rPr>
            </w:pPr>
            <w:r>
              <w:rPr>
                <w:color w:val="auto"/>
                <w:szCs w:val="21"/>
              </w:rPr>
              <w:t xml:space="preserve">春季 </w:t>
            </w:r>
            <w:r>
              <w:rPr>
                <w:color w:val="auto"/>
              </w:rPr>
              <w:sym w:font="Wingdings 2" w:char="00A3"/>
            </w:r>
            <w:r>
              <w:rPr>
                <w:color w:val="auto"/>
                <w:szCs w:val="21"/>
              </w:rPr>
              <w:t xml:space="preserve">；夏季 </w:t>
            </w:r>
            <w:r>
              <w:rPr>
                <w:color w:val="auto"/>
              </w:rPr>
              <w:sym w:font="Wingdings 2" w:char="00A3"/>
            </w:r>
            <w:r>
              <w:rPr>
                <w:color w:val="auto"/>
                <w:szCs w:val="21"/>
              </w:rPr>
              <w:t xml:space="preserve">；秋季 </w:t>
            </w:r>
            <w:r>
              <w:rPr>
                <w:color w:val="auto"/>
              </w:rPr>
              <w:sym w:font="Wingdings 2" w:char="00A3"/>
            </w:r>
            <w:r>
              <w:rPr>
                <w:color w:val="auto"/>
                <w:szCs w:val="21"/>
              </w:rPr>
              <w:t>；冬季 ☑</w:t>
            </w:r>
          </w:p>
        </w:tc>
        <w:tc>
          <w:tcPr>
            <w:tcW w:w="5538" w:type="dxa"/>
            <w:gridSpan w:val="7"/>
            <w:tcBorders>
              <w:tl2br w:val="nil"/>
              <w:tr2bl w:val="nil"/>
            </w:tcBorders>
            <w:vAlign w:val="center"/>
          </w:tcPr>
          <w:p>
            <w:pPr>
              <w:widowControl/>
              <w:adjustRightInd w:val="0"/>
              <w:snapToGrid w:val="0"/>
              <w:jc w:val="left"/>
              <w:rPr>
                <w:color w:val="auto"/>
                <w:szCs w:val="21"/>
              </w:rPr>
            </w:pPr>
            <w:r>
              <w:rPr>
                <w:color w:val="auto"/>
                <w:szCs w:val="21"/>
              </w:rPr>
              <w:t xml:space="preserve">水行政主管部门 ☑；补充监测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补充监测</w:t>
            </w:r>
          </w:p>
        </w:tc>
        <w:tc>
          <w:tcPr>
            <w:tcW w:w="5445" w:type="dxa"/>
            <w:gridSpan w:val="6"/>
            <w:tcBorders>
              <w:tl2br w:val="nil"/>
              <w:tr2bl w:val="nil"/>
            </w:tcBorders>
            <w:vAlign w:val="center"/>
          </w:tcPr>
          <w:p>
            <w:pPr>
              <w:widowControl/>
              <w:adjustRightInd w:val="0"/>
              <w:snapToGrid w:val="0"/>
              <w:jc w:val="center"/>
              <w:rPr>
                <w:color w:val="auto"/>
                <w:szCs w:val="21"/>
              </w:rPr>
            </w:pPr>
            <w:r>
              <w:rPr>
                <w:color w:val="auto"/>
                <w:szCs w:val="21"/>
              </w:rPr>
              <w:t>监测时期</w:t>
            </w:r>
          </w:p>
        </w:tc>
        <w:tc>
          <w:tcPr>
            <w:tcW w:w="2880" w:type="dxa"/>
            <w:gridSpan w:val="5"/>
            <w:tcBorders>
              <w:tl2br w:val="nil"/>
              <w:tr2bl w:val="nil"/>
            </w:tcBorders>
            <w:vAlign w:val="center"/>
          </w:tcPr>
          <w:p>
            <w:pPr>
              <w:widowControl/>
              <w:adjustRightInd w:val="0"/>
              <w:snapToGrid w:val="0"/>
              <w:jc w:val="center"/>
              <w:rPr>
                <w:color w:val="auto"/>
                <w:szCs w:val="21"/>
              </w:rPr>
            </w:pPr>
            <w:r>
              <w:rPr>
                <w:color w:val="auto"/>
                <w:szCs w:val="21"/>
              </w:rPr>
              <w:t>监测因子</w:t>
            </w:r>
          </w:p>
        </w:tc>
        <w:tc>
          <w:tcPr>
            <w:tcW w:w="2658" w:type="dxa"/>
            <w:gridSpan w:val="2"/>
            <w:tcBorders>
              <w:tl2br w:val="nil"/>
              <w:tr2bl w:val="nil"/>
            </w:tcBorders>
            <w:vAlign w:val="center"/>
          </w:tcPr>
          <w:p>
            <w:pPr>
              <w:widowControl/>
              <w:adjustRightInd w:val="0"/>
              <w:snapToGrid w:val="0"/>
              <w:jc w:val="center"/>
              <w:rPr>
                <w:color w:val="auto"/>
                <w:szCs w:val="21"/>
              </w:rPr>
            </w:pPr>
            <w:r>
              <w:rPr>
                <w:color w:val="auto"/>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5445" w:type="dxa"/>
            <w:gridSpan w:val="6"/>
            <w:tcBorders>
              <w:tl2br w:val="nil"/>
              <w:tr2bl w:val="nil"/>
            </w:tcBorders>
            <w:vAlign w:val="center"/>
          </w:tcPr>
          <w:p>
            <w:pPr>
              <w:widowControl/>
              <w:adjustRightInd w:val="0"/>
              <w:snapToGrid w:val="0"/>
              <w:jc w:val="left"/>
              <w:rPr>
                <w:color w:val="auto"/>
                <w:szCs w:val="21"/>
              </w:rPr>
            </w:pPr>
            <w:r>
              <w:rPr>
                <w:color w:val="auto"/>
                <w:szCs w:val="21"/>
              </w:rPr>
              <w:t xml:space="preserve">丰水期 </w:t>
            </w:r>
            <w:r>
              <w:rPr>
                <w:color w:val="auto"/>
              </w:rPr>
              <w:sym w:font="Wingdings 2" w:char="00A3"/>
            </w:r>
            <w:r>
              <w:rPr>
                <w:color w:val="auto"/>
                <w:szCs w:val="21"/>
              </w:rPr>
              <w:t xml:space="preserve">；平水期 ☑；枯水期 </w:t>
            </w:r>
            <w:r>
              <w:rPr>
                <w:color w:val="auto"/>
              </w:rPr>
              <w:sym w:font="Wingdings 2" w:char="00A3"/>
            </w:r>
            <w:r>
              <w:rPr>
                <w:color w:val="auto"/>
                <w:szCs w:val="21"/>
              </w:rPr>
              <w:t xml:space="preserve">；冰封期 </w:t>
            </w:r>
            <w:r>
              <w:rPr>
                <w:color w:val="auto"/>
              </w:rPr>
              <w:sym w:font="Wingdings 2" w:char="00A3"/>
            </w:r>
            <w:r>
              <w:rPr>
                <w:color w:val="auto"/>
                <w:szCs w:val="21"/>
              </w:rPr>
              <w:t>；</w:t>
            </w:r>
          </w:p>
          <w:p>
            <w:pPr>
              <w:widowControl/>
              <w:adjustRightInd w:val="0"/>
              <w:snapToGrid w:val="0"/>
              <w:jc w:val="left"/>
              <w:rPr>
                <w:color w:val="auto"/>
                <w:szCs w:val="21"/>
              </w:rPr>
            </w:pPr>
            <w:r>
              <w:rPr>
                <w:color w:val="auto"/>
                <w:szCs w:val="21"/>
              </w:rPr>
              <w:t xml:space="preserve">春季 </w:t>
            </w:r>
            <w:r>
              <w:rPr>
                <w:color w:val="auto"/>
              </w:rPr>
              <w:sym w:font="Wingdings 2" w:char="00A3"/>
            </w:r>
            <w:r>
              <w:rPr>
                <w:color w:val="auto"/>
                <w:szCs w:val="21"/>
              </w:rPr>
              <w:t xml:space="preserve">；夏季 ☑；秋季 </w:t>
            </w:r>
            <w:r>
              <w:rPr>
                <w:color w:val="auto"/>
              </w:rPr>
              <w:sym w:font="Wingdings 2" w:char="00A3"/>
            </w:r>
            <w:r>
              <w:rPr>
                <w:color w:val="auto"/>
                <w:szCs w:val="21"/>
              </w:rPr>
              <w:t xml:space="preserve">；冬季 </w:t>
            </w:r>
            <w:r>
              <w:rPr>
                <w:color w:val="auto"/>
              </w:rPr>
              <w:sym w:font="Wingdings 2" w:char="00A3"/>
            </w:r>
          </w:p>
        </w:tc>
        <w:tc>
          <w:tcPr>
            <w:tcW w:w="2880" w:type="dxa"/>
            <w:gridSpan w:val="5"/>
            <w:tcBorders>
              <w:tl2br w:val="nil"/>
              <w:tr2bl w:val="nil"/>
            </w:tcBorders>
            <w:vAlign w:val="center"/>
          </w:tcPr>
          <w:p>
            <w:pPr>
              <w:widowControl/>
              <w:adjustRightInd w:val="0"/>
              <w:snapToGrid w:val="0"/>
              <w:jc w:val="left"/>
              <w:rPr>
                <w:color w:val="auto"/>
                <w:szCs w:val="21"/>
              </w:rPr>
            </w:pPr>
            <w:r>
              <w:rPr>
                <w:color w:val="auto"/>
                <w:szCs w:val="21"/>
              </w:rPr>
              <w:t>（</w:t>
            </w:r>
            <w:r>
              <w:rPr>
                <w:bCs/>
                <w:color w:val="auto"/>
                <w:szCs w:val="21"/>
              </w:rPr>
              <w:t>水温、pH值、悬浮物、溶解氧、化学需氧量、五日生化需氧量、氨氮、总磷、阴离子表面活性剂和粪大肠菌群</w:t>
            </w:r>
            <w:r>
              <w:rPr>
                <w:color w:val="auto"/>
                <w:szCs w:val="21"/>
              </w:rPr>
              <w:t>）</w:t>
            </w:r>
          </w:p>
        </w:tc>
        <w:tc>
          <w:tcPr>
            <w:tcW w:w="2658" w:type="dxa"/>
            <w:gridSpan w:val="2"/>
            <w:tcBorders>
              <w:tl2br w:val="nil"/>
              <w:tr2bl w:val="nil"/>
            </w:tcBorders>
            <w:vAlign w:val="center"/>
          </w:tcPr>
          <w:p>
            <w:pPr>
              <w:widowControl/>
              <w:adjustRightInd w:val="0"/>
              <w:snapToGrid w:val="0"/>
              <w:jc w:val="left"/>
              <w:rPr>
                <w:color w:val="auto"/>
                <w:szCs w:val="21"/>
              </w:rPr>
            </w:pPr>
            <w:r>
              <w:rPr>
                <w:color w:val="auto"/>
                <w:szCs w:val="21"/>
              </w:rPr>
              <w:t>监测断面或点位个数</w:t>
            </w:r>
          </w:p>
          <w:p>
            <w:pPr>
              <w:widowControl/>
              <w:adjustRightInd w:val="0"/>
              <w:snapToGrid w:val="0"/>
              <w:jc w:val="left"/>
              <w:rPr>
                <w:color w:val="auto"/>
                <w:szCs w:val="21"/>
              </w:rPr>
            </w:pPr>
            <w:r>
              <w:rPr>
                <w:color w:val="auto"/>
                <w:szCs w:val="21"/>
              </w:rPr>
              <w:t>（3）个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现状评价</w:t>
            </w: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评价范围</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河流：长度（2.5 ）km；湖库、河口及近岸海域：面积（    ）km</w:t>
            </w:r>
            <w:r>
              <w:rPr>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评价因子</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水温、pH值、悬浮物、溶解氧、化学需氧量、五日生化需氧量、氨氮、总磷、阴离子表面活性剂和粪大肠菌群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评价标准</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河流、湖库、河☑：Ⅰ类 </w:t>
            </w:r>
            <w:r>
              <w:rPr>
                <w:color w:val="auto"/>
              </w:rPr>
              <w:sym w:font="Wingdings 2" w:char="00A3"/>
            </w:r>
            <w:r>
              <w:rPr>
                <w:color w:val="auto"/>
                <w:szCs w:val="21"/>
              </w:rPr>
              <w:t xml:space="preserve">；Ⅱ类 </w:t>
            </w:r>
            <w:r>
              <w:rPr>
                <w:color w:val="auto"/>
              </w:rPr>
              <w:sym w:font="Wingdings 2" w:char="00A3"/>
            </w:r>
            <w:r>
              <w:rPr>
                <w:color w:val="auto"/>
                <w:szCs w:val="21"/>
              </w:rPr>
              <w:t xml:space="preserve">；Ⅲ类 </w:t>
            </w:r>
            <w:r>
              <w:rPr>
                <w:color w:val="auto"/>
              </w:rPr>
              <w:sym w:font="Wingdings 2" w:char="00A3"/>
            </w:r>
            <w:r>
              <w:rPr>
                <w:color w:val="auto"/>
                <w:szCs w:val="21"/>
              </w:rPr>
              <w:t xml:space="preserve">；Ⅳ类 ☑；Ⅴ类 </w:t>
            </w:r>
            <w:r>
              <w:rPr>
                <w:color w:val="auto"/>
              </w:rPr>
              <w:sym w:font="Wingdings 2" w:char="00A3"/>
            </w:r>
            <w:r>
              <w:rPr>
                <w:color w:val="auto"/>
                <w:szCs w:val="21"/>
              </w:rPr>
              <w:t>；</w:t>
            </w:r>
          </w:p>
          <w:p>
            <w:pPr>
              <w:widowControl/>
              <w:adjustRightInd w:val="0"/>
              <w:snapToGrid w:val="0"/>
              <w:jc w:val="left"/>
              <w:rPr>
                <w:color w:val="auto"/>
              </w:rPr>
            </w:pPr>
            <w:r>
              <w:rPr>
                <w:color w:val="auto"/>
                <w:szCs w:val="21"/>
              </w:rPr>
              <w:t xml:space="preserve">近岸海域：第一类 </w:t>
            </w:r>
            <w:r>
              <w:rPr>
                <w:color w:val="auto"/>
              </w:rPr>
              <w:sym w:font="Wingdings 2" w:char="00A3"/>
            </w:r>
            <w:r>
              <w:rPr>
                <w:color w:val="auto"/>
                <w:szCs w:val="21"/>
              </w:rPr>
              <w:t xml:space="preserve">；第二类 </w:t>
            </w:r>
            <w:r>
              <w:rPr>
                <w:color w:val="auto"/>
              </w:rPr>
              <w:sym w:font="Wingdings 2" w:char="00A3"/>
            </w:r>
            <w:r>
              <w:rPr>
                <w:color w:val="auto"/>
                <w:szCs w:val="21"/>
              </w:rPr>
              <w:t xml:space="preserve">；第三类 </w:t>
            </w:r>
            <w:r>
              <w:rPr>
                <w:color w:val="auto"/>
              </w:rPr>
              <w:sym w:font="Wingdings 2" w:char="00A3"/>
            </w:r>
            <w:r>
              <w:rPr>
                <w:color w:val="auto"/>
                <w:szCs w:val="21"/>
              </w:rPr>
              <w:t xml:space="preserve">；第四类 </w:t>
            </w:r>
            <w:r>
              <w:rPr>
                <w:color w:val="auto"/>
              </w:rPr>
              <w:sym w:font="Wingdings 2" w:char="00A3"/>
            </w:r>
          </w:p>
          <w:p>
            <w:pPr>
              <w:widowControl/>
              <w:adjustRightInd w:val="0"/>
              <w:snapToGrid w:val="0"/>
              <w:jc w:val="left"/>
              <w:rPr>
                <w:color w:val="auto"/>
              </w:rPr>
            </w:pPr>
            <w:r>
              <w:rPr>
                <w:color w:val="auto"/>
              </w:rPr>
              <w:t>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评价时期</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丰水期 </w:t>
            </w:r>
            <w:r>
              <w:rPr>
                <w:color w:val="auto"/>
              </w:rPr>
              <w:sym w:font="Wingdings 2" w:char="00A3"/>
            </w:r>
            <w:r>
              <w:rPr>
                <w:color w:val="auto"/>
                <w:szCs w:val="21"/>
              </w:rPr>
              <w:t xml:space="preserve">；平水期 ☑；枯水期 </w:t>
            </w:r>
            <w:r>
              <w:rPr>
                <w:color w:val="auto"/>
              </w:rPr>
              <w:sym w:font="Wingdings 2" w:char="00A3"/>
            </w:r>
            <w:r>
              <w:rPr>
                <w:color w:val="auto"/>
                <w:szCs w:val="21"/>
              </w:rPr>
              <w:t xml:space="preserve">；冰封期 </w:t>
            </w:r>
            <w:r>
              <w:rPr>
                <w:color w:val="auto"/>
              </w:rPr>
              <w:sym w:font="Wingdings 2" w:char="00A3"/>
            </w:r>
            <w:r>
              <w:rPr>
                <w:color w:val="auto"/>
                <w:szCs w:val="21"/>
              </w:rPr>
              <w:t>；</w:t>
            </w:r>
          </w:p>
          <w:p>
            <w:pPr>
              <w:widowControl/>
              <w:adjustRightInd w:val="0"/>
              <w:snapToGrid w:val="0"/>
              <w:jc w:val="left"/>
              <w:rPr>
                <w:color w:val="auto"/>
                <w:szCs w:val="21"/>
              </w:rPr>
            </w:pPr>
            <w:r>
              <w:rPr>
                <w:color w:val="auto"/>
                <w:szCs w:val="21"/>
              </w:rPr>
              <w:t xml:space="preserve">春季 </w:t>
            </w:r>
            <w:r>
              <w:rPr>
                <w:color w:val="auto"/>
              </w:rPr>
              <w:sym w:font="Wingdings 2" w:char="00A3"/>
            </w:r>
            <w:r>
              <w:rPr>
                <w:color w:val="auto"/>
                <w:szCs w:val="21"/>
              </w:rPr>
              <w:t xml:space="preserve">；夏季 ☑；秋季 </w:t>
            </w:r>
            <w:r>
              <w:rPr>
                <w:color w:val="auto"/>
              </w:rPr>
              <w:sym w:font="Wingdings 2" w:char="00A3"/>
            </w:r>
            <w:r>
              <w:rPr>
                <w:color w:val="auto"/>
                <w:szCs w:val="21"/>
              </w:rPr>
              <w:t xml:space="preserve">；冬季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评价结论</w:t>
            </w:r>
          </w:p>
        </w:tc>
        <w:tc>
          <w:tcPr>
            <w:tcW w:w="9510" w:type="dxa"/>
            <w:gridSpan w:val="12"/>
            <w:tcBorders>
              <w:tl2br w:val="nil"/>
              <w:tr2bl w:val="nil"/>
            </w:tcBorders>
            <w:vAlign w:val="center"/>
          </w:tcPr>
          <w:p>
            <w:pPr>
              <w:widowControl/>
              <w:adjustRightInd w:val="0"/>
              <w:snapToGrid w:val="0"/>
              <w:jc w:val="left"/>
              <w:rPr>
                <w:color w:val="auto"/>
              </w:rPr>
            </w:pPr>
            <w:r>
              <w:rPr>
                <w:color w:val="auto"/>
              </w:rPr>
              <w:t xml:space="preserve">水环境功能区或水功能区、近岸海域环境功能区水质达标状况：达标 ☑；不达标 </w:t>
            </w:r>
            <w:r>
              <w:rPr>
                <w:color w:val="auto"/>
              </w:rPr>
              <w:sym w:font="Wingdings 2" w:char="00A3"/>
            </w:r>
            <w:r>
              <w:rPr>
                <w:color w:val="auto"/>
              </w:rPr>
              <w:t xml:space="preserve"> </w:t>
            </w:r>
          </w:p>
          <w:p>
            <w:pPr>
              <w:widowControl/>
              <w:adjustRightInd w:val="0"/>
              <w:snapToGrid w:val="0"/>
              <w:jc w:val="left"/>
              <w:rPr>
                <w:color w:val="auto"/>
              </w:rPr>
            </w:pPr>
            <w:r>
              <w:rPr>
                <w:color w:val="auto"/>
              </w:rPr>
              <w:t xml:space="preserve">水环境控制单元或断面水质达标状况：达标 ☑；不达标 </w:t>
            </w:r>
            <w:r>
              <w:rPr>
                <w:color w:val="auto"/>
              </w:rPr>
              <w:sym w:font="Wingdings 2" w:char="00A3"/>
            </w:r>
          </w:p>
          <w:p>
            <w:pPr>
              <w:widowControl/>
              <w:adjustRightInd w:val="0"/>
              <w:snapToGrid w:val="0"/>
              <w:jc w:val="left"/>
              <w:rPr>
                <w:color w:val="auto"/>
              </w:rPr>
            </w:pPr>
            <w:r>
              <w:rPr>
                <w:color w:val="auto"/>
              </w:rPr>
              <w:t xml:space="preserve">水环境保护目标质量状况：达标 </w:t>
            </w:r>
            <w:r>
              <w:rPr>
                <w:color w:val="auto"/>
              </w:rPr>
              <w:sym w:font="Wingdings 2" w:char="00A3"/>
            </w:r>
            <w:r>
              <w:rPr>
                <w:color w:val="auto"/>
              </w:rPr>
              <w:t xml:space="preserve">；不达标 </w:t>
            </w:r>
            <w:r>
              <w:rPr>
                <w:color w:val="auto"/>
              </w:rPr>
              <w:sym w:font="Wingdings 2" w:char="00A3"/>
            </w:r>
          </w:p>
          <w:p>
            <w:pPr>
              <w:widowControl/>
              <w:adjustRightInd w:val="0"/>
              <w:snapToGrid w:val="0"/>
              <w:jc w:val="left"/>
              <w:rPr>
                <w:color w:val="auto"/>
              </w:rPr>
            </w:pPr>
            <w:r>
              <w:rPr>
                <w:color w:val="auto"/>
              </w:rPr>
              <w:t xml:space="preserve">对照断面、控制断面等代表性断面的水质状况 ☑：达标 ☑；不达标 </w:t>
            </w:r>
            <w:r>
              <w:rPr>
                <w:color w:val="auto"/>
              </w:rPr>
              <w:sym w:font="Wingdings 2" w:char="00A3"/>
            </w:r>
          </w:p>
          <w:p>
            <w:pPr>
              <w:widowControl/>
              <w:adjustRightInd w:val="0"/>
              <w:snapToGrid w:val="0"/>
              <w:jc w:val="left"/>
              <w:rPr>
                <w:color w:val="auto"/>
              </w:rPr>
            </w:pPr>
            <w:r>
              <w:rPr>
                <w:color w:val="auto"/>
              </w:rPr>
              <w:t xml:space="preserve">底泥污染评价 </w:t>
            </w:r>
            <w:r>
              <w:rPr>
                <w:color w:val="auto"/>
              </w:rPr>
              <w:sym w:font="Wingdings 2" w:char="00A3"/>
            </w:r>
          </w:p>
          <w:p>
            <w:pPr>
              <w:widowControl/>
              <w:adjustRightInd w:val="0"/>
              <w:snapToGrid w:val="0"/>
              <w:jc w:val="left"/>
              <w:rPr>
                <w:color w:val="auto"/>
              </w:rPr>
            </w:pPr>
            <w:r>
              <w:rPr>
                <w:color w:val="auto"/>
              </w:rPr>
              <w:t xml:space="preserve">水资源与开发利用程度及其水文情势评价 </w:t>
            </w:r>
            <w:r>
              <w:rPr>
                <w:color w:val="auto"/>
              </w:rPr>
              <w:sym w:font="Wingdings 2" w:char="00A3"/>
            </w:r>
          </w:p>
          <w:p>
            <w:pPr>
              <w:widowControl/>
              <w:adjustRightInd w:val="0"/>
              <w:snapToGrid w:val="0"/>
              <w:jc w:val="left"/>
              <w:rPr>
                <w:color w:val="auto"/>
              </w:rPr>
            </w:pPr>
            <w:r>
              <w:rPr>
                <w:color w:val="auto"/>
              </w:rPr>
              <w:t xml:space="preserve">水环境质量回顾评价 </w:t>
            </w:r>
            <w:r>
              <w:rPr>
                <w:color w:val="auto"/>
              </w:rPr>
              <w:sym w:font="Wingdings 2" w:char="00A3"/>
            </w:r>
          </w:p>
          <w:p>
            <w:pPr>
              <w:widowControl/>
              <w:adjustRightInd w:val="0"/>
              <w:snapToGrid w:val="0"/>
              <w:jc w:val="left"/>
              <w:rPr>
                <w:color w:val="auto"/>
              </w:rPr>
            </w:pPr>
            <w:r>
              <w:rPr>
                <w:color w:val="auto"/>
              </w:rPr>
              <w:t xml:space="preserve">流域（区域）水资源（包括水能资源）与开发利用总体状况、生态流量管理要求与现状满足程度、建设项目占用水域空间的水流状况与河湖演变状况 </w:t>
            </w:r>
            <w:r>
              <w:rPr>
                <w:color w:val="auto"/>
              </w:rPr>
              <w:sym w:font="Wingdings 2" w:char="00A3"/>
            </w:r>
          </w:p>
          <w:p>
            <w:pPr>
              <w:pStyle w:val="2"/>
              <w:ind w:leftChars="0" w:hanging="420" w:hangingChars="200"/>
              <w:rPr>
                <w:color w:val="auto"/>
              </w:rPr>
            </w:pPr>
            <w:r>
              <w:rPr>
                <w:rFonts w:hint="eastAsia" w:ascii="Calibri" w:hAnsi="Calibri"/>
                <w:color w:val="auto"/>
                <w:kern w:val="2"/>
                <w:sz w:val="21"/>
              </w:rPr>
              <w:t>依托污水处理设施稳定达标排放评价</w:t>
            </w:r>
            <w:r>
              <w:rPr>
                <w:color w:val="auto"/>
              </w:rPr>
              <w:t>☑</w:t>
            </w:r>
          </w:p>
        </w:tc>
        <w:tc>
          <w:tcPr>
            <w:tcW w:w="1473" w:type="dxa"/>
            <w:tcBorders>
              <w:tl2br w:val="nil"/>
              <w:tr2bl w:val="nil"/>
            </w:tcBorders>
            <w:vAlign w:val="center"/>
          </w:tcPr>
          <w:p>
            <w:pPr>
              <w:widowControl/>
              <w:adjustRightInd w:val="0"/>
              <w:snapToGrid w:val="0"/>
              <w:jc w:val="left"/>
              <w:rPr>
                <w:color w:val="auto"/>
              </w:rPr>
            </w:pPr>
            <w:r>
              <w:rPr>
                <w:color w:val="auto"/>
                <w:szCs w:val="21"/>
              </w:rPr>
              <w:t>达标区   ☑</w:t>
            </w:r>
          </w:p>
          <w:p>
            <w:pPr>
              <w:widowControl/>
              <w:adjustRightInd w:val="0"/>
              <w:snapToGrid w:val="0"/>
              <w:jc w:val="left"/>
              <w:rPr>
                <w:color w:val="auto"/>
                <w:szCs w:val="21"/>
              </w:rPr>
            </w:pPr>
            <w:r>
              <w:rPr>
                <w:color w:val="auto"/>
                <w:szCs w:val="21"/>
              </w:rPr>
              <w:t xml:space="preserve">不达标区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影响预测</w:t>
            </w: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预测范围</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河流：长度（2.5）km；湖库、河口及近岸海域：面积（    ）km</w:t>
            </w:r>
            <w:r>
              <w:rPr>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预测因子</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（化学需氧量、五日生化需氧量、氨氮、悬浮物）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预测时期</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丰水期 </w:t>
            </w:r>
            <w:r>
              <w:rPr>
                <w:color w:val="auto"/>
              </w:rPr>
              <w:sym w:font="Wingdings 2" w:char="00A3"/>
            </w:r>
            <w:r>
              <w:rPr>
                <w:color w:val="auto"/>
                <w:szCs w:val="21"/>
              </w:rPr>
              <w:t xml:space="preserve">；平水期 </w:t>
            </w:r>
            <w:r>
              <w:rPr>
                <w:color w:val="auto"/>
              </w:rPr>
              <w:sym w:font="Wingdings 2" w:char="00A3"/>
            </w:r>
            <w:r>
              <w:rPr>
                <w:color w:val="auto"/>
                <w:szCs w:val="21"/>
              </w:rPr>
              <w:t xml:space="preserve">；枯水期 </w:t>
            </w:r>
            <w:r>
              <w:rPr>
                <w:color w:val="auto"/>
              </w:rPr>
              <w:sym w:font="Wingdings 2" w:char="00A3"/>
            </w:r>
            <w:r>
              <w:rPr>
                <w:color w:val="auto"/>
                <w:szCs w:val="21"/>
              </w:rPr>
              <w:t xml:space="preserve">；冰封期 </w:t>
            </w:r>
            <w:r>
              <w:rPr>
                <w:color w:val="auto"/>
              </w:rPr>
              <w:sym w:font="Wingdings 2" w:char="00A3"/>
            </w:r>
            <w:r>
              <w:rPr>
                <w:color w:val="auto"/>
                <w:szCs w:val="21"/>
              </w:rPr>
              <w:t>；</w:t>
            </w:r>
          </w:p>
          <w:p>
            <w:pPr>
              <w:widowControl/>
              <w:adjustRightInd w:val="0"/>
              <w:snapToGrid w:val="0"/>
              <w:jc w:val="left"/>
              <w:rPr>
                <w:color w:val="auto"/>
              </w:rPr>
            </w:pPr>
            <w:r>
              <w:rPr>
                <w:color w:val="auto"/>
                <w:szCs w:val="21"/>
              </w:rPr>
              <w:t xml:space="preserve">春季 </w:t>
            </w:r>
            <w:r>
              <w:rPr>
                <w:color w:val="auto"/>
              </w:rPr>
              <w:sym w:font="Wingdings 2" w:char="00A3"/>
            </w:r>
            <w:r>
              <w:rPr>
                <w:color w:val="auto"/>
                <w:szCs w:val="21"/>
              </w:rPr>
              <w:t xml:space="preserve">；夏季 </w:t>
            </w:r>
            <w:r>
              <w:rPr>
                <w:color w:val="auto"/>
              </w:rPr>
              <w:sym w:font="Wingdings 2" w:char="00A3"/>
            </w:r>
            <w:r>
              <w:rPr>
                <w:color w:val="auto"/>
                <w:szCs w:val="21"/>
              </w:rPr>
              <w:t xml:space="preserve">；秋季 </w:t>
            </w:r>
            <w:r>
              <w:rPr>
                <w:color w:val="auto"/>
              </w:rPr>
              <w:sym w:font="Wingdings 2" w:char="00A3"/>
            </w:r>
            <w:r>
              <w:rPr>
                <w:color w:val="auto"/>
                <w:szCs w:val="21"/>
              </w:rPr>
              <w:t xml:space="preserve">；冬季 </w:t>
            </w:r>
            <w:r>
              <w:rPr>
                <w:color w:val="auto"/>
              </w:rPr>
              <w:sym w:font="Wingdings 2" w:char="00A3"/>
            </w:r>
          </w:p>
          <w:p>
            <w:pPr>
              <w:widowControl/>
              <w:adjustRightInd w:val="0"/>
              <w:snapToGrid w:val="0"/>
              <w:jc w:val="left"/>
              <w:rPr>
                <w:color w:val="auto"/>
              </w:rPr>
            </w:pPr>
            <w:r>
              <w:rPr>
                <w:color w:val="auto"/>
              </w:rPr>
              <w:t>设计水文条件</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预测情景</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建设期 </w:t>
            </w:r>
            <w:r>
              <w:rPr>
                <w:color w:val="auto"/>
              </w:rPr>
              <w:sym w:font="Wingdings 2" w:char="00A3"/>
            </w:r>
            <w:r>
              <w:rPr>
                <w:color w:val="auto"/>
                <w:szCs w:val="21"/>
              </w:rPr>
              <w:t xml:space="preserve">；生产运行期 </w:t>
            </w:r>
            <w:r>
              <w:rPr>
                <w:color w:val="auto"/>
              </w:rPr>
              <w:sym w:font="Wingdings 2" w:char="00A3"/>
            </w:r>
            <w:r>
              <w:rPr>
                <w:color w:val="auto"/>
                <w:szCs w:val="21"/>
              </w:rPr>
              <w:t xml:space="preserve">；服务期满后 </w:t>
            </w:r>
            <w:r>
              <w:rPr>
                <w:color w:val="auto"/>
              </w:rPr>
              <w:sym w:font="Wingdings 2" w:char="00A3"/>
            </w:r>
          </w:p>
          <w:p>
            <w:pPr>
              <w:widowControl/>
              <w:adjustRightInd w:val="0"/>
              <w:snapToGrid w:val="0"/>
              <w:jc w:val="left"/>
              <w:rPr>
                <w:color w:val="auto"/>
                <w:szCs w:val="21"/>
              </w:rPr>
            </w:pPr>
            <w:r>
              <w:rPr>
                <w:color w:val="auto"/>
                <w:szCs w:val="21"/>
              </w:rPr>
              <w:t xml:space="preserve">正常工况 </w:t>
            </w:r>
            <w:r>
              <w:rPr>
                <w:color w:val="auto"/>
              </w:rPr>
              <w:sym w:font="Wingdings 2" w:char="00A3"/>
            </w:r>
            <w:r>
              <w:rPr>
                <w:color w:val="auto"/>
                <w:szCs w:val="21"/>
              </w:rPr>
              <w:t xml:space="preserve">；非正常工况 </w:t>
            </w:r>
            <w:r>
              <w:rPr>
                <w:color w:val="auto"/>
              </w:rPr>
              <w:sym w:font="Wingdings 2" w:char="00A3"/>
            </w:r>
          </w:p>
          <w:p>
            <w:pPr>
              <w:widowControl/>
              <w:adjustRightInd w:val="0"/>
              <w:snapToGrid w:val="0"/>
              <w:jc w:val="left"/>
              <w:rPr>
                <w:color w:val="auto"/>
                <w:szCs w:val="21"/>
              </w:rPr>
            </w:pPr>
            <w:r>
              <w:rPr>
                <w:color w:val="auto"/>
                <w:szCs w:val="21"/>
              </w:rPr>
              <w:t xml:space="preserve">污染控制可减缓措施方案 </w:t>
            </w:r>
            <w:r>
              <w:rPr>
                <w:color w:val="auto"/>
              </w:rPr>
              <w:sym w:font="Wingdings 2" w:char="00A3"/>
            </w:r>
          </w:p>
          <w:p>
            <w:pPr>
              <w:widowControl/>
              <w:adjustRightInd w:val="0"/>
              <w:snapToGrid w:val="0"/>
              <w:jc w:val="left"/>
              <w:rPr>
                <w:color w:val="auto"/>
                <w:szCs w:val="21"/>
              </w:rPr>
            </w:pPr>
            <w:r>
              <w:rPr>
                <w:color w:val="auto"/>
                <w:szCs w:val="21"/>
              </w:rPr>
              <w:t xml:space="preserve">区（流）域环境质量改善目标要求情景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预测方法</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数值解 </w:t>
            </w:r>
            <w:r>
              <w:rPr>
                <w:color w:val="auto"/>
              </w:rPr>
              <w:sym w:font="Wingdings 2" w:char="00A3"/>
            </w:r>
            <w:r>
              <w:rPr>
                <w:color w:val="auto"/>
                <w:szCs w:val="21"/>
              </w:rPr>
              <w:t xml:space="preserve">；解析解 </w:t>
            </w:r>
            <w:r>
              <w:rPr>
                <w:color w:val="auto"/>
              </w:rPr>
              <w:sym w:font="Wingdings 2" w:char="00A3"/>
            </w:r>
            <w:r>
              <w:rPr>
                <w:color w:val="auto"/>
                <w:szCs w:val="21"/>
              </w:rPr>
              <w:t xml:space="preserve">；其他 </w:t>
            </w:r>
            <w:r>
              <w:rPr>
                <w:color w:val="auto"/>
              </w:rPr>
              <w:sym w:font="Wingdings 2" w:char="00A3"/>
            </w:r>
          </w:p>
          <w:p>
            <w:pPr>
              <w:widowControl/>
              <w:adjustRightInd w:val="0"/>
              <w:snapToGrid w:val="0"/>
              <w:jc w:val="left"/>
              <w:rPr>
                <w:color w:val="auto"/>
                <w:szCs w:val="21"/>
              </w:rPr>
            </w:pPr>
            <w:r>
              <w:rPr>
                <w:color w:val="auto"/>
                <w:szCs w:val="21"/>
              </w:rPr>
              <w:t xml:space="preserve">导则推荐模式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影响评价</w:t>
            </w: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水污染控制和水环境影响减缓措施有效性评价</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区（流）域环境质量改善目标 </w:t>
            </w:r>
            <w:r>
              <w:rPr>
                <w:color w:val="auto"/>
              </w:rPr>
              <w:sym w:font="Wingdings 2" w:char="00A3"/>
            </w:r>
            <w:r>
              <w:rPr>
                <w:color w:val="auto"/>
                <w:szCs w:val="21"/>
              </w:rPr>
              <w:t xml:space="preserve">； 替代消减源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水环境影响评价</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排放口混合区外满足水环境保护要求  ☑</w:t>
            </w:r>
          </w:p>
          <w:p>
            <w:pPr>
              <w:widowControl/>
              <w:adjustRightInd w:val="0"/>
              <w:snapToGrid w:val="0"/>
              <w:jc w:val="left"/>
              <w:rPr>
                <w:color w:val="auto"/>
                <w:szCs w:val="21"/>
              </w:rPr>
            </w:pPr>
            <w:r>
              <w:rPr>
                <w:color w:val="auto"/>
                <w:szCs w:val="21"/>
              </w:rPr>
              <w:t>水环境功能区或水功能区、近岸海域环境功能区水质达标 ☑</w:t>
            </w:r>
          </w:p>
          <w:p>
            <w:pPr>
              <w:widowControl/>
              <w:adjustRightInd w:val="0"/>
              <w:snapToGrid w:val="0"/>
              <w:jc w:val="left"/>
              <w:rPr>
                <w:color w:val="auto"/>
                <w:szCs w:val="21"/>
              </w:rPr>
            </w:pPr>
            <w:r>
              <w:rPr>
                <w:color w:val="auto"/>
                <w:szCs w:val="21"/>
              </w:rPr>
              <w:t>满足水环境保护目标水域水环境质量要求 ☑</w:t>
            </w:r>
          </w:p>
          <w:p>
            <w:pPr>
              <w:widowControl/>
              <w:adjustRightInd w:val="0"/>
              <w:snapToGrid w:val="0"/>
              <w:jc w:val="left"/>
              <w:rPr>
                <w:color w:val="auto"/>
                <w:szCs w:val="21"/>
              </w:rPr>
            </w:pPr>
            <w:r>
              <w:rPr>
                <w:color w:val="auto"/>
                <w:szCs w:val="21"/>
              </w:rPr>
              <w:t>水环境控制单元或断面水质达标  ☑</w:t>
            </w:r>
          </w:p>
          <w:p>
            <w:pPr>
              <w:widowControl/>
              <w:adjustRightInd w:val="0"/>
              <w:snapToGrid w:val="0"/>
              <w:jc w:val="left"/>
              <w:rPr>
                <w:color w:val="auto"/>
                <w:szCs w:val="21"/>
              </w:rPr>
            </w:pPr>
            <w:r>
              <w:rPr>
                <w:color w:val="auto"/>
                <w:szCs w:val="21"/>
              </w:rPr>
              <w:t xml:space="preserve">满足重点水污染物排放总量控制指标要求，重点行业建设项目，主要污染物排放满足等量或减量替代要求  </w:t>
            </w:r>
            <w:r>
              <w:rPr>
                <w:color w:val="auto"/>
              </w:rPr>
              <w:sym w:font="Wingdings 2" w:char="00A3"/>
            </w:r>
          </w:p>
          <w:p>
            <w:pPr>
              <w:widowControl/>
              <w:adjustRightInd w:val="0"/>
              <w:snapToGrid w:val="0"/>
              <w:jc w:val="left"/>
              <w:rPr>
                <w:color w:val="auto"/>
                <w:szCs w:val="21"/>
              </w:rPr>
            </w:pPr>
            <w:r>
              <w:rPr>
                <w:color w:val="auto"/>
                <w:szCs w:val="21"/>
              </w:rPr>
              <w:t>满足区（流）域环境质量改善目标要求  ☑</w:t>
            </w:r>
          </w:p>
          <w:p>
            <w:pPr>
              <w:widowControl/>
              <w:adjustRightInd w:val="0"/>
              <w:snapToGrid w:val="0"/>
              <w:jc w:val="left"/>
              <w:rPr>
                <w:color w:val="auto"/>
                <w:szCs w:val="21"/>
              </w:rPr>
            </w:pPr>
            <w:r>
              <w:rPr>
                <w:color w:val="auto"/>
                <w:szCs w:val="21"/>
              </w:rPr>
              <w:t xml:space="preserve">水文要素影响型建设项目同时应包括水文情势变化评价、主要水文特征值影响评价、生态流量符合性评价 </w:t>
            </w:r>
            <w:r>
              <w:rPr>
                <w:color w:val="auto"/>
              </w:rPr>
              <w:sym w:font="Wingdings 2" w:char="00A3"/>
            </w:r>
          </w:p>
          <w:p>
            <w:pPr>
              <w:widowControl/>
              <w:adjustRightInd w:val="0"/>
              <w:snapToGrid w:val="0"/>
              <w:jc w:val="left"/>
              <w:rPr>
                <w:color w:val="auto"/>
                <w:szCs w:val="21"/>
              </w:rPr>
            </w:pPr>
            <w:r>
              <w:rPr>
                <w:color w:val="auto"/>
                <w:szCs w:val="21"/>
              </w:rPr>
              <w:t xml:space="preserve">对于新设或调整入河（湖库、近岸海域）排放口的建设项目，应包括排放口设置的环境合理性评价 </w:t>
            </w:r>
            <w:r>
              <w:rPr>
                <w:color w:val="auto"/>
              </w:rPr>
              <w:sym w:font="Wingdings 2" w:char="00A3"/>
            </w:r>
          </w:p>
          <w:p>
            <w:pPr>
              <w:widowControl/>
              <w:adjustRightInd w:val="0"/>
              <w:snapToGrid w:val="0"/>
              <w:jc w:val="left"/>
              <w:rPr>
                <w:color w:val="auto"/>
                <w:szCs w:val="21"/>
              </w:rPr>
            </w:pPr>
            <w:r>
              <w:rPr>
                <w:color w:val="auto"/>
                <w:szCs w:val="21"/>
              </w:rP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污染源排放量核算</w:t>
            </w:r>
          </w:p>
        </w:tc>
        <w:tc>
          <w:tcPr>
            <w:tcW w:w="2805" w:type="dxa"/>
            <w:gridSpan w:val="3"/>
            <w:tcBorders>
              <w:tl2br w:val="nil"/>
              <w:tr2bl w:val="nil"/>
            </w:tcBorders>
            <w:vAlign w:val="center"/>
          </w:tcPr>
          <w:p>
            <w:pPr>
              <w:widowControl/>
              <w:adjustRightInd w:val="0"/>
              <w:snapToGrid w:val="0"/>
              <w:jc w:val="center"/>
              <w:rPr>
                <w:color w:val="auto"/>
                <w:szCs w:val="21"/>
              </w:rPr>
            </w:pPr>
            <w:r>
              <w:rPr>
                <w:color w:val="auto"/>
                <w:szCs w:val="21"/>
              </w:rPr>
              <w:t>污染物名称</w:t>
            </w:r>
          </w:p>
        </w:tc>
        <w:tc>
          <w:tcPr>
            <w:tcW w:w="4005" w:type="dxa"/>
            <w:gridSpan w:val="5"/>
            <w:tcBorders>
              <w:tl2br w:val="nil"/>
              <w:tr2bl w:val="nil"/>
            </w:tcBorders>
            <w:vAlign w:val="center"/>
          </w:tcPr>
          <w:p>
            <w:pPr>
              <w:widowControl/>
              <w:adjustRightInd w:val="0"/>
              <w:snapToGrid w:val="0"/>
              <w:jc w:val="center"/>
              <w:rPr>
                <w:color w:val="auto"/>
                <w:szCs w:val="21"/>
              </w:rPr>
            </w:pPr>
            <w:r>
              <w:rPr>
                <w:color w:val="auto"/>
                <w:szCs w:val="21"/>
              </w:rPr>
              <w:t>排放量/（t/a）</w:t>
            </w:r>
          </w:p>
        </w:tc>
        <w:tc>
          <w:tcPr>
            <w:tcW w:w="4173" w:type="dxa"/>
            <w:gridSpan w:val="5"/>
            <w:tcBorders>
              <w:tl2br w:val="nil"/>
              <w:tr2bl w:val="nil"/>
            </w:tcBorders>
            <w:vAlign w:val="center"/>
          </w:tcPr>
          <w:p>
            <w:pPr>
              <w:widowControl/>
              <w:adjustRightInd w:val="0"/>
              <w:snapToGrid w:val="0"/>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2805" w:type="dxa"/>
            <w:gridSpan w:val="3"/>
            <w:tcBorders>
              <w:tl2br w:val="nil"/>
              <w:tr2bl w:val="nil"/>
            </w:tcBorders>
            <w:vAlign w:val="center"/>
          </w:tcPr>
          <w:p>
            <w:pPr>
              <w:widowControl/>
              <w:adjustRightInd w:val="0"/>
              <w:snapToGrid w:val="0"/>
              <w:jc w:val="cente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、氨氮、SS）</w:t>
            </w:r>
          </w:p>
        </w:tc>
        <w:tc>
          <w:tcPr>
            <w:tcW w:w="4005" w:type="dxa"/>
            <w:gridSpan w:val="5"/>
            <w:tcBorders>
              <w:tl2br w:val="nil"/>
              <w:tr2bl w:val="nil"/>
            </w:tcBorders>
            <w:vAlign w:val="center"/>
          </w:tcPr>
          <w:p>
            <w:pPr>
              <w:widowControl/>
              <w:adjustRightInd w:val="0"/>
              <w:snapToGrid w:val="0"/>
              <w:jc w:val="center"/>
              <w:rPr>
                <w:color w:val="auto"/>
                <w:szCs w:val="21"/>
              </w:rPr>
            </w:pPr>
            <w:r>
              <w:rPr>
                <w:color w:val="auto"/>
                <w:szCs w:val="21"/>
              </w:rPr>
              <w:t xml:space="preserve">（ </w:t>
            </w:r>
            <w:r>
              <w:rPr>
                <w:rFonts w:hint="eastAsia"/>
                <w:color w:val="auto"/>
                <w:kern w:val="0"/>
                <w:szCs w:val="21"/>
                <w:lang w:bidi="ar"/>
              </w:rPr>
              <w:t>0.1996</w:t>
            </w:r>
            <w:r>
              <w:rPr>
                <w:color w:val="auto"/>
                <w:szCs w:val="21"/>
              </w:rPr>
              <w:t>；</w:t>
            </w:r>
            <w:r>
              <w:rPr>
                <w:rFonts w:hint="eastAsia"/>
                <w:color w:val="auto"/>
                <w:kern w:val="0"/>
                <w:szCs w:val="21"/>
                <w:lang w:bidi="ar"/>
              </w:rPr>
              <w:t>0.1283</w:t>
            </w:r>
            <w:r>
              <w:rPr>
                <w:color w:val="auto"/>
                <w:szCs w:val="21"/>
              </w:rPr>
              <w:t>；</w:t>
            </w:r>
            <w:r>
              <w:rPr>
                <w:rFonts w:hint="eastAsia"/>
                <w:color w:val="auto"/>
                <w:kern w:val="0"/>
                <w:szCs w:val="21"/>
                <w:lang w:bidi="ar"/>
              </w:rPr>
              <w:t>0.0143</w:t>
            </w:r>
            <w:r>
              <w:rPr>
                <w:color w:val="auto"/>
                <w:szCs w:val="21"/>
              </w:rPr>
              <w:t>；</w:t>
            </w:r>
            <w:r>
              <w:rPr>
                <w:rFonts w:hint="eastAsia"/>
                <w:color w:val="auto"/>
                <w:kern w:val="0"/>
                <w:szCs w:val="21"/>
                <w:lang w:bidi="ar"/>
              </w:rPr>
              <w:t>0.1426</w:t>
            </w:r>
            <w:r>
              <w:rPr>
                <w:color w:val="auto"/>
                <w:szCs w:val="21"/>
              </w:rPr>
              <w:t>）</w:t>
            </w:r>
          </w:p>
        </w:tc>
        <w:tc>
          <w:tcPr>
            <w:tcW w:w="4173" w:type="dxa"/>
            <w:gridSpan w:val="5"/>
            <w:tcBorders>
              <w:tl2br w:val="nil"/>
              <w:tr2bl w:val="nil"/>
            </w:tcBorders>
            <w:vAlign w:val="center"/>
          </w:tcPr>
          <w:p>
            <w:pPr>
              <w:widowControl/>
              <w:adjustRightInd w:val="0"/>
              <w:snapToGrid w:val="0"/>
              <w:jc w:val="center"/>
              <w:rPr>
                <w:color w:val="auto"/>
                <w:szCs w:val="21"/>
              </w:rPr>
            </w:pPr>
            <w:r>
              <w:rPr>
                <w:color w:val="auto"/>
                <w:szCs w:val="21"/>
              </w:rPr>
              <w:t>（</w:t>
            </w:r>
            <w:r>
              <w:rPr>
                <w:rFonts w:hint="eastAsia"/>
                <w:color w:val="auto"/>
                <w:szCs w:val="21"/>
              </w:rPr>
              <w:t>280</w:t>
            </w:r>
            <w:r>
              <w:rPr>
                <w:color w:val="auto"/>
                <w:szCs w:val="21"/>
              </w:rPr>
              <w:t>；</w:t>
            </w:r>
            <w:r>
              <w:rPr>
                <w:rFonts w:hint="eastAsia"/>
                <w:color w:val="auto"/>
                <w:szCs w:val="21"/>
              </w:rPr>
              <w:t>180</w:t>
            </w:r>
            <w:r>
              <w:rPr>
                <w:color w:val="auto"/>
                <w:szCs w:val="21"/>
              </w:rPr>
              <w:t>；</w:t>
            </w:r>
            <w:r>
              <w:rPr>
                <w:rFonts w:hint="eastAsia"/>
                <w:color w:val="auto"/>
                <w:szCs w:val="21"/>
              </w:rPr>
              <w:t>20</w:t>
            </w:r>
            <w:r>
              <w:rPr>
                <w:color w:val="auto"/>
                <w:szCs w:val="21"/>
              </w:rPr>
              <w:t>；</w:t>
            </w:r>
            <w:r>
              <w:rPr>
                <w:rFonts w:hint="eastAsia"/>
                <w:color w:val="auto"/>
                <w:szCs w:val="21"/>
              </w:rPr>
              <w:t>200</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替代源排放量情况</w:t>
            </w:r>
          </w:p>
        </w:tc>
        <w:tc>
          <w:tcPr>
            <w:tcW w:w="1845" w:type="dxa"/>
            <w:tcBorders>
              <w:tl2br w:val="nil"/>
              <w:tr2bl w:val="nil"/>
            </w:tcBorders>
            <w:vAlign w:val="center"/>
          </w:tcPr>
          <w:p>
            <w:pPr>
              <w:widowControl/>
              <w:adjustRightInd w:val="0"/>
              <w:snapToGrid w:val="0"/>
              <w:jc w:val="center"/>
              <w:rPr>
                <w:color w:val="auto"/>
                <w:szCs w:val="21"/>
              </w:rPr>
            </w:pPr>
            <w:r>
              <w:rPr>
                <w:color w:val="auto"/>
                <w:szCs w:val="21"/>
              </w:rPr>
              <w:t>污染源名称</w:t>
            </w:r>
          </w:p>
        </w:tc>
        <w:tc>
          <w:tcPr>
            <w:tcW w:w="2640" w:type="dxa"/>
            <w:gridSpan w:val="4"/>
            <w:tcBorders>
              <w:tl2br w:val="nil"/>
              <w:tr2bl w:val="nil"/>
            </w:tcBorders>
            <w:vAlign w:val="center"/>
          </w:tcPr>
          <w:p>
            <w:pPr>
              <w:widowControl/>
              <w:adjustRightInd w:val="0"/>
              <w:snapToGrid w:val="0"/>
              <w:jc w:val="center"/>
              <w:rPr>
                <w:color w:val="auto"/>
                <w:szCs w:val="21"/>
              </w:rPr>
            </w:pPr>
            <w:r>
              <w:rPr>
                <w:color w:val="auto"/>
                <w:szCs w:val="21"/>
              </w:rPr>
              <w:t>排污许可证编号</w:t>
            </w:r>
          </w:p>
        </w:tc>
        <w:tc>
          <w:tcPr>
            <w:tcW w:w="1771" w:type="dxa"/>
            <w:gridSpan w:val="2"/>
            <w:tcBorders>
              <w:tl2br w:val="nil"/>
              <w:tr2bl w:val="nil"/>
            </w:tcBorders>
            <w:vAlign w:val="center"/>
          </w:tcPr>
          <w:p>
            <w:pPr>
              <w:widowControl/>
              <w:adjustRightInd w:val="0"/>
              <w:snapToGrid w:val="0"/>
              <w:jc w:val="center"/>
              <w:rPr>
                <w:color w:val="auto"/>
                <w:szCs w:val="21"/>
              </w:rPr>
            </w:pPr>
            <w:r>
              <w:rPr>
                <w:color w:val="auto"/>
                <w:szCs w:val="21"/>
              </w:rPr>
              <w:t>污染物名称</w:t>
            </w:r>
          </w:p>
        </w:tc>
        <w:tc>
          <w:tcPr>
            <w:tcW w:w="1920" w:type="dxa"/>
            <w:gridSpan w:val="3"/>
            <w:tcBorders>
              <w:tl2br w:val="nil"/>
              <w:tr2bl w:val="nil"/>
            </w:tcBorders>
            <w:vAlign w:val="center"/>
          </w:tcPr>
          <w:p>
            <w:pPr>
              <w:widowControl/>
              <w:adjustRightInd w:val="0"/>
              <w:snapToGrid w:val="0"/>
              <w:jc w:val="center"/>
              <w:rPr>
                <w:color w:val="auto"/>
                <w:szCs w:val="21"/>
              </w:rPr>
            </w:pPr>
            <w:r>
              <w:rPr>
                <w:color w:val="auto"/>
                <w:szCs w:val="21"/>
              </w:rPr>
              <w:t>排放量</w:t>
            </w:r>
          </w:p>
        </w:tc>
        <w:tc>
          <w:tcPr>
            <w:tcW w:w="2807" w:type="dxa"/>
            <w:gridSpan w:val="3"/>
            <w:tcBorders>
              <w:tl2br w:val="nil"/>
              <w:tr2bl w:val="nil"/>
            </w:tcBorders>
            <w:vAlign w:val="center"/>
          </w:tcPr>
          <w:p>
            <w:pPr>
              <w:widowControl/>
              <w:adjustRightInd w:val="0"/>
              <w:snapToGrid w:val="0"/>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1845" w:type="dxa"/>
            <w:tcBorders>
              <w:tl2br w:val="nil"/>
              <w:tr2bl w:val="nil"/>
            </w:tcBorders>
            <w:vAlign w:val="center"/>
          </w:tcPr>
          <w:p>
            <w:pPr>
              <w:widowControl/>
              <w:adjustRightInd w:val="0"/>
              <w:snapToGrid w:val="0"/>
              <w:jc w:val="center"/>
              <w:rPr>
                <w:color w:val="auto"/>
                <w:szCs w:val="21"/>
              </w:rPr>
            </w:pPr>
            <w:r>
              <w:rPr>
                <w:color w:val="auto"/>
                <w:szCs w:val="21"/>
              </w:rPr>
              <w:t>（    ）</w:t>
            </w:r>
          </w:p>
        </w:tc>
        <w:tc>
          <w:tcPr>
            <w:tcW w:w="2640" w:type="dxa"/>
            <w:gridSpan w:val="4"/>
            <w:tcBorders>
              <w:tl2br w:val="nil"/>
              <w:tr2bl w:val="nil"/>
            </w:tcBorders>
            <w:vAlign w:val="center"/>
          </w:tcPr>
          <w:p>
            <w:pPr>
              <w:widowControl/>
              <w:adjustRightInd w:val="0"/>
              <w:snapToGrid w:val="0"/>
              <w:jc w:val="center"/>
              <w:rPr>
                <w:color w:val="auto"/>
                <w:szCs w:val="21"/>
              </w:rPr>
            </w:pPr>
            <w:r>
              <w:rPr>
                <w:color w:val="auto"/>
                <w:szCs w:val="21"/>
              </w:rPr>
              <w:t>（    ）</w:t>
            </w:r>
          </w:p>
        </w:tc>
        <w:tc>
          <w:tcPr>
            <w:tcW w:w="1771" w:type="dxa"/>
            <w:gridSpan w:val="2"/>
            <w:tcBorders>
              <w:tl2br w:val="nil"/>
              <w:tr2bl w:val="nil"/>
            </w:tcBorders>
            <w:vAlign w:val="center"/>
          </w:tcPr>
          <w:p>
            <w:pPr>
              <w:widowControl/>
              <w:adjustRightInd w:val="0"/>
              <w:snapToGrid w:val="0"/>
              <w:jc w:val="center"/>
              <w:rPr>
                <w:color w:val="auto"/>
                <w:szCs w:val="21"/>
              </w:rPr>
            </w:pPr>
            <w:r>
              <w:rPr>
                <w:color w:val="auto"/>
                <w:szCs w:val="21"/>
              </w:rPr>
              <w:t>（    ）</w:t>
            </w:r>
          </w:p>
        </w:tc>
        <w:tc>
          <w:tcPr>
            <w:tcW w:w="1920" w:type="dxa"/>
            <w:gridSpan w:val="3"/>
            <w:tcBorders>
              <w:tl2br w:val="nil"/>
              <w:tr2bl w:val="nil"/>
            </w:tcBorders>
            <w:vAlign w:val="center"/>
          </w:tcPr>
          <w:p>
            <w:pPr>
              <w:widowControl/>
              <w:adjustRightInd w:val="0"/>
              <w:snapToGrid w:val="0"/>
              <w:jc w:val="center"/>
              <w:rPr>
                <w:color w:val="auto"/>
                <w:szCs w:val="21"/>
              </w:rPr>
            </w:pPr>
            <w:r>
              <w:rPr>
                <w:color w:val="auto"/>
                <w:szCs w:val="21"/>
              </w:rPr>
              <w:t>（    ）</w:t>
            </w:r>
          </w:p>
        </w:tc>
        <w:tc>
          <w:tcPr>
            <w:tcW w:w="2807" w:type="dxa"/>
            <w:gridSpan w:val="3"/>
            <w:tcBorders>
              <w:tl2br w:val="nil"/>
              <w:tr2bl w:val="nil"/>
            </w:tcBorders>
            <w:vAlign w:val="center"/>
          </w:tcPr>
          <w:p>
            <w:pPr>
              <w:widowControl/>
              <w:adjustRightInd w:val="0"/>
              <w:snapToGrid w:val="0"/>
              <w:jc w:val="center"/>
              <w:rPr>
                <w:color w:val="auto"/>
                <w:szCs w:val="21"/>
              </w:rPr>
            </w:pPr>
            <w:r>
              <w:rPr>
                <w:color w:val="auto"/>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生态流量确定</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生态流量：一般水期（  ）m</w:t>
            </w:r>
            <w:r>
              <w:rPr>
                <w:color w:val="auto"/>
                <w:szCs w:val="21"/>
                <w:vertAlign w:val="superscript"/>
              </w:rPr>
              <w:t>3</w:t>
            </w:r>
            <w:r>
              <w:rPr>
                <w:color w:val="auto"/>
                <w:szCs w:val="21"/>
              </w:rPr>
              <w:t>/s；鱼类繁殖期（  ）m</w:t>
            </w:r>
            <w:r>
              <w:rPr>
                <w:color w:val="auto"/>
                <w:szCs w:val="21"/>
                <w:vertAlign w:val="superscript"/>
              </w:rPr>
              <w:t>3</w:t>
            </w:r>
            <w:r>
              <w:rPr>
                <w:color w:val="auto"/>
                <w:szCs w:val="21"/>
              </w:rPr>
              <w:t>/s；其他（  ）m</w:t>
            </w:r>
            <w:r>
              <w:rPr>
                <w:color w:val="auto"/>
                <w:szCs w:val="21"/>
                <w:vertAlign w:val="superscript"/>
              </w:rPr>
              <w:t>3</w:t>
            </w:r>
            <w:r>
              <w:rPr>
                <w:color w:val="auto"/>
                <w:szCs w:val="21"/>
              </w:rPr>
              <w:t>/s</w:t>
            </w:r>
          </w:p>
          <w:p>
            <w:pPr>
              <w:widowControl/>
              <w:adjustRightInd w:val="0"/>
              <w:snapToGrid w:val="0"/>
              <w:jc w:val="left"/>
              <w:rPr>
                <w:color w:val="auto"/>
                <w:szCs w:val="21"/>
              </w:rPr>
            </w:pPr>
            <w:r>
              <w:rPr>
                <w:color w:val="auto"/>
                <w:szCs w:val="21"/>
              </w:rPr>
              <w:t>生态水位：一般水期（  ）m</w:t>
            </w:r>
            <w:r>
              <w:rPr>
                <w:color w:val="auto"/>
                <w:szCs w:val="21"/>
                <w:vertAlign w:val="superscript"/>
              </w:rPr>
              <w:t>3</w:t>
            </w:r>
            <w:r>
              <w:rPr>
                <w:color w:val="auto"/>
                <w:szCs w:val="21"/>
              </w:rPr>
              <w:t>/s；鱼类繁殖期（  ）m</w:t>
            </w:r>
            <w:r>
              <w:rPr>
                <w:color w:val="auto"/>
                <w:szCs w:val="21"/>
                <w:vertAlign w:val="superscript"/>
              </w:rPr>
              <w:t>3</w:t>
            </w:r>
            <w:r>
              <w:rPr>
                <w:color w:val="auto"/>
                <w:szCs w:val="21"/>
              </w:rPr>
              <w:t>/s；其他（  ）m</w:t>
            </w:r>
            <w:r>
              <w:rPr>
                <w:color w:val="auto"/>
                <w:szCs w:val="21"/>
                <w:vertAlign w:val="superscript"/>
              </w:rPr>
              <w:t>3</w:t>
            </w:r>
            <w:r>
              <w:rPr>
                <w:color w:val="auto"/>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restart"/>
            <w:tcBorders>
              <w:tl2br w:val="nil"/>
              <w:tr2bl w:val="nil"/>
            </w:tcBorders>
            <w:vAlign w:val="center"/>
          </w:tcPr>
          <w:p>
            <w:pPr>
              <w:widowControl/>
              <w:adjustRightInd w:val="0"/>
              <w:snapToGrid w:val="0"/>
              <w:jc w:val="center"/>
              <w:rPr>
                <w:color w:val="auto"/>
                <w:szCs w:val="21"/>
              </w:rPr>
            </w:pPr>
            <w:r>
              <w:rPr>
                <w:color w:val="auto"/>
                <w:szCs w:val="21"/>
              </w:rPr>
              <w:t>防治措施</w:t>
            </w: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环保措施</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污水处理设施 ☑；水文减缓设施 </w:t>
            </w:r>
            <w:r>
              <w:rPr>
                <w:color w:val="auto"/>
              </w:rPr>
              <w:sym w:font="Wingdings 2" w:char="00A3"/>
            </w:r>
            <w:r>
              <w:rPr>
                <w:color w:val="auto"/>
                <w:szCs w:val="21"/>
              </w:rPr>
              <w:t xml:space="preserve">；生态流量保障设施 </w:t>
            </w:r>
            <w:r>
              <w:rPr>
                <w:color w:val="auto"/>
              </w:rPr>
              <w:sym w:font="Wingdings 2" w:char="00A3"/>
            </w:r>
            <w:r>
              <w:rPr>
                <w:color w:val="auto"/>
                <w:szCs w:val="21"/>
              </w:rPr>
              <w:t xml:space="preserve">；区域消减依托其他工程措施 </w:t>
            </w:r>
            <w:r>
              <w:rPr>
                <w:color w:val="auto"/>
              </w:rPr>
              <w:sym w:font="Wingdings 2" w:char="00A3"/>
            </w:r>
            <w:r>
              <w:rPr>
                <w:color w:val="auto"/>
                <w:szCs w:val="21"/>
              </w:rPr>
              <w:t xml:space="preserve">；其他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restart"/>
            <w:tcBorders>
              <w:tl2br w:val="nil"/>
              <w:tr2bl w:val="nil"/>
            </w:tcBorders>
            <w:vAlign w:val="center"/>
          </w:tcPr>
          <w:p>
            <w:pPr>
              <w:widowControl/>
              <w:adjustRightInd w:val="0"/>
              <w:snapToGrid w:val="0"/>
              <w:jc w:val="center"/>
              <w:rPr>
                <w:color w:val="auto"/>
                <w:szCs w:val="21"/>
              </w:rPr>
            </w:pPr>
            <w:r>
              <w:rPr>
                <w:color w:val="auto"/>
                <w:szCs w:val="21"/>
              </w:rPr>
              <w:t>监测计划</w:t>
            </w:r>
          </w:p>
        </w:tc>
        <w:tc>
          <w:tcPr>
            <w:tcW w:w="2625" w:type="dxa"/>
            <w:gridSpan w:val="2"/>
            <w:tcBorders>
              <w:tl2br w:val="nil"/>
              <w:tr2bl w:val="nil"/>
            </w:tcBorders>
            <w:vAlign w:val="center"/>
          </w:tcPr>
          <w:p>
            <w:pPr>
              <w:widowControl/>
              <w:adjustRightInd w:val="0"/>
              <w:snapToGrid w:val="0"/>
              <w:jc w:val="center"/>
              <w:rPr>
                <w:color w:val="auto"/>
                <w:szCs w:val="21"/>
              </w:rPr>
            </w:pPr>
          </w:p>
        </w:tc>
        <w:tc>
          <w:tcPr>
            <w:tcW w:w="4201" w:type="dxa"/>
            <w:gridSpan w:val="7"/>
            <w:tcBorders>
              <w:tl2br w:val="nil"/>
              <w:tr2bl w:val="nil"/>
            </w:tcBorders>
            <w:vAlign w:val="center"/>
          </w:tcPr>
          <w:p>
            <w:pPr>
              <w:widowControl/>
              <w:adjustRightInd w:val="0"/>
              <w:snapToGrid w:val="0"/>
              <w:jc w:val="center"/>
              <w:rPr>
                <w:color w:val="auto"/>
                <w:szCs w:val="21"/>
              </w:rPr>
            </w:pPr>
            <w:r>
              <w:rPr>
                <w:color w:val="auto"/>
                <w:szCs w:val="21"/>
              </w:rPr>
              <w:t>环境质量</w:t>
            </w:r>
          </w:p>
        </w:tc>
        <w:tc>
          <w:tcPr>
            <w:tcW w:w="4157" w:type="dxa"/>
            <w:gridSpan w:val="4"/>
            <w:tcBorders>
              <w:tl2br w:val="nil"/>
              <w:tr2bl w:val="nil"/>
            </w:tcBorders>
            <w:vAlign w:val="center"/>
          </w:tcPr>
          <w:p>
            <w:pPr>
              <w:widowControl/>
              <w:adjustRightInd w:val="0"/>
              <w:snapToGrid w:val="0"/>
              <w:jc w:val="center"/>
              <w:rPr>
                <w:color w:val="auto"/>
                <w:szCs w:val="21"/>
              </w:rPr>
            </w:pPr>
            <w:r>
              <w:rPr>
                <w:color w:val="auto"/>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2625" w:type="dxa"/>
            <w:gridSpan w:val="2"/>
            <w:tcBorders>
              <w:tl2br w:val="nil"/>
              <w:tr2bl w:val="nil"/>
            </w:tcBorders>
            <w:vAlign w:val="center"/>
          </w:tcPr>
          <w:p>
            <w:pPr>
              <w:widowControl/>
              <w:adjustRightInd w:val="0"/>
              <w:snapToGrid w:val="0"/>
              <w:jc w:val="center"/>
              <w:rPr>
                <w:color w:val="auto"/>
                <w:szCs w:val="21"/>
              </w:rPr>
            </w:pPr>
            <w:r>
              <w:rPr>
                <w:color w:val="auto"/>
                <w:szCs w:val="21"/>
              </w:rPr>
              <w:t>监测方法</w:t>
            </w:r>
          </w:p>
        </w:tc>
        <w:tc>
          <w:tcPr>
            <w:tcW w:w="4201" w:type="dxa"/>
            <w:gridSpan w:val="7"/>
            <w:tcBorders>
              <w:tl2br w:val="nil"/>
              <w:tr2bl w:val="nil"/>
            </w:tcBorders>
            <w:vAlign w:val="center"/>
          </w:tcPr>
          <w:p>
            <w:pPr>
              <w:widowControl/>
              <w:adjustRightInd w:val="0"/>
              <w:snapToGrid w:val="0"/>
              <w:jc w:val="center"/>
              <w:rPr>
                <w:color w:val="auto"/>
                <w:szCs w:val="21"/>
              </w:rPr>
            </w:pPr>
            <w:r>
              <w:rPr>
                <w:color w:val="auto"/>
                <w:szCs w:val="21"/>
              </w:rPr>
              <w:t xml:space="preserve">手动 </w:t>
            </w:r>
            <w:r>
              <w:rPr>
                <w:color w:val="auto"/>
              </w:rPr>
              <w:sym w:font="Wingdings 2" w:char="00A3"/>
            </w:r>
            <w:r>
              <w:rPr>
                <w:color w:val="auto"/>
                <w:szCs w:val="21"/>
              </w:rPr>
              <w:t xml:space="preserve">；自动 </w:t>
            </w:r>
            <w:r>
              <w:rPr>
                <w:color w:val="auto"/>
              </w:rPr>
              <w:sym w:font="Wingdings 2" w:char="00A3"/>
            </w:r>
            <w:r>
              <w:rPr>
                <w:color w:val="auto"/>
                <w:szCs w:val="21"/>
              </w:rPr>
              <w:t>；无检测 ☑</w:t>
            </w:r>
          </w:p>
        </w:tc>
        <w:tc>
          <w:tcPr>
            <w:tcW w:w="4157" w:type="dxa"/>
            <w:gridSpan w:val="4"/>
            <w:tcBorders>
              <w:tl2br w:val="nil"/>
              <w:tr2bl w:val="nil"/>
            </w:tcBorders>
            <w:vAlign w:val="center"/>
          </w:tcPr>
          <w:p>
            <w:pPr>
              <w:widowControl/>
              <w:adjustRightInd w:val="0"/>
              <w:snapToGrid w:val="0"/>
              <w:jc w:val="center"/>
              <w:rPr>
                <w:color w:val="auto"/>
                <w:szCs w:val="21"/>
              </w:rPr>
            </w:pPr>
            <w:r>
              <w:rPr>
                <w:color w:val="auto"/>
                <w:szCs w:val="21"/>
              </w:rPr>
              <w:t xml:space="preserve">手动 ☑；自动 </w:t>
            </w:r>
            <w:r>
              <w:rPr>
                <w:color w:val="auto"/>
              </w:rPr>
              <w:sym w:font="Wingdings 2" w:char="00A3"/>
            </w:r>
            <w:r>
              <w:rPr>
                <w:color w:val="auto"/>
                <w:szCs w:val="21"/>
              </w:rPr>
              <w:t xml:space="preserve">；无检测 </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2625" w:type="dxa"/>
            <w:gridSpan w:val="2"/>
            <w:tcBorders>
              <w:tl2br w:val="nil"/>
              <w:tr2bl w:val="nil"/>
            </w:tcBorders>
            <w:vAlign w:val="center"/>
          </w:tcPr>
          <w:p>
            <w:pPr>
              <w:widowControl/>
              <w:adjustRightInd w:val="0"/>
              <w:snapToGrid w:val="0"/>
              <w:jc w:val="center"/>
              <w:rPr>
                <w:color w:val="auto"/>
                <w:szCs w:val="21"/>
              </w:rPr>
            </w:pPr>
            <w:r>
              <w:rPr>
                <w:color w:val="auto"/>
                <w:szCs w:val="21"/>
              </w:rPr>
              <w:t>监测点位</w:t>
            </w:r>
          </w:p>
        </w:tc>
        <w:tc>
          <w:tcPr>
            <w:tcW w:w="4201" w:type="dxa"/>
            <w:gridSpan w:val="7"/>
            <w:tcBorders>
              <w:tl2br w:val="nil"/>
              <w:tr2bl w:val="nil"/>
            </w:tcBorders>
            <w:vAlign w:val="center"/>
          </w:tcPr>
          <w:p>
            <w:pPr>
              <w:widowControl/>
              <w:adjustRightInd w:val="0"/>
              <w:snapToGrid w:val="0"/>
              <w:jc w:val="center"/>
              <w:rPr>
                <w:color w:val="auto"/>
                <w:szCs w:val="21"/>
              </w:rPr>
            </w:pPr>
            <w:r>
              <w:rPr>
                <w:color w:val="auto"/>
                <w:szCs w:val="21"/>
              </w:rPr>
              <w:t>（      ）</w:t>
            </w:r>
          </w:p>
        </w:tc>
        <w:tc>
          <w:tcPr>
            <w:tcW w:w="4157" w:type="dxa"/>
            <w:gridSpan w:val="4"/>
            <w:tcBorders>
              <w:tl2br w:val="nil"/>
              <w:tr2bl w:val="nil"/>
            </w:tcBorders>
            <w:vAlign w:val="center"/>
          </w:tcPr>
          <w:p>
            <w:pPr>
              <w:widowControl/>
              <w:adjustRightInd w:val="0"/>
              <w:snapToGrid w:val="0"/>
              <w:jc w:val="center"/>
              <w:rPr>
                <w:color w:val="auto"/>
                <w:szCs w:val="21"/>
              </w:rPr>
            </w:pPr>
            <w:r>
              <w:rPr>
                <w:color w:val="auto"/>
                <w:szCs w:val="21"/>
              </w:rPr>
              <w:t>（废水排放口</w:t>
            </w:r>
            <w:r>
              <w:rPr>
                <w:rFonts w:hint="eastAsia"/>
                <w:color w:val="auto"/>
                <w:szCs w:val="21"/>
              </w:rPr>
              <w:t>DW001</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vMerge w:val="continue"/>
            <w:tcBorders>
              <w:tl2br w:val="nil"/>
              <w:tr2bl w:val="nil"/>
            </w:tcBorders>
            <w:vAlign w:val="center"/>
          </w:tcPr>
          <w:p>
            <w:pPr>
              <w:widowControl/>
              <w:adjustRightInd w:val="0"/>
              <w:snapToGrid w:val="0"/>
              <w:jc w:val="center"/>
              <w:rPr>
                <w:color w:val="auto"/>
                <w:szCs w:val="21"/>
              </w:rPr>
            </w:pPr>
          </w:p>
        </w:tc>
        <w:tc>
          <w:tcPr>
            <w:tcW w:w="2625" w:type="dxa"/>
            <w:gridSpan w:val="2"/>
            <w:tcBorders>
              <w:tl2br w:val="nil"/>
              <w:tr2bl w:val="nil"/>
            </w:tcBorders>
            <w:vAlign w:val="center"/>
          </w:tcPr>
          <w:p>
            <w:pPr>
              <w:widowControl/>
              <w:adjustRightInd w:val="0"/>
              <w:snapToGrid w:val="0"/>
              <w:jc w:val="center"/>
              <w:rPr>
                <w:color w:val="auto"/>
                <w:szCs w:val="21"/>
              </w:rPr>
            </w:pPr>
            <w:r>
              <w:rPr>
                <w:color w:val="auto"/>
                <w:szCs w:val="21"/>
              </w:rPr>
              <w:t>监测因子</w:t>
            </w:r>
          </w:p>
        </w:tc>
        <w:tc>
          <w:tcPr>
            <w:tcW w:w="4201" w:type="dxa"/>
            <w:gridSpan w:val="7"/>
            <w:tcBorders>
              <w:tl2br w:val="nil"/>
              <w:tr2bl w:val="nil"/>
            </w:tcBorders>
            <w:vAlign w:val="center"/>
          </w:tcPr>
          <w:p>
            <w:pPr>
              <w:widowControl/>
              <w:adjustRightInd w:val="0"/>
              <w:snapToGrid w:val="0"/>
              <w:jc w:val="center"/>
              <w:rPr>
                <w:color w:val="auto"/>
                <w:szCs w:val="21"/>
              </w:rPr>
            </w:pPr>
            <w:r>
              <w:rPr>
                <w:color w:val="auto"/>
                <w:szCs w:val="21"/>
              </w:rPr>
              <w:t>（      ）</w:t>
            </w:r>
          </w:p>
        </w:tc>
        <w:tc>
          <w:tcPr>
            <w:tcW w:w="4157" w:type="dxa"/>
            <w:gridSpan w:val="4"/>
            <w:tcBorders>
              <w:tl2br w:val="nil"/>
              <w:tr2bl w:val="nil"/>
            </w:tcBorders>
            <w:vAlign w:val="center"/>
          </w:tcPr>
          <w:p>
            <w:pPr>
              <w:widowControl/>
              <w:adjustRightInd w:val="0"/>
              <w:snapToGrid w:val="0"/>
              <w:jc w:val="cente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、氨氮、SS）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0" w:type="dxa"/>
            <w:vMerge w:val="continue"/>
            <w:tcBorders>
              <w:tl2br w:val="nil"/>
              <w:tr2bl w:val="nil"/>
            </w:tcBorders>
            <w:vAlign w:val="center"/>
          </w:tcPr>
          <w:p>
            <w:pPr>
              <w:widowControl/>
              <w:adjustRightInd w:val="0"/>
              <w:snapToGrid w:val="0"/>
              <w:jc w:val="center"/>
              <w:rPr>
                <w:color w:val="auto"/>
                <w:szCs w:val="21"/>
              </w:rPr>
            </w:pPr>
          </w:p>
        </w:tc>
        <w:tc>
          <w:tcPr>
            <w:tcW w:w="2611" w:type="dxa"/>
            <w:tcBorders>
              <w:tl2br w:val="nil"/>
              <w:tr2bl w:val="nil"/>
            </w:tcBorders>
            <w:vAlign w:val="center"/>
          </w:tcPr>
          <w:p>
            <w:pPr>
              <w:widowControl/>
              <w:adjustRightInd w:val="0"/>
              <w:snapToGrid w:val="0"/>
              <w:jc w:val="center"/>
              <w:rPr>
                <w:color w:val="auto"/>
                <w:szCs w:val="21"/>
              </w:rPr>
            </w:pPr>
            <w:r>
              <w:rPr>
                <w:color w:val="auto"/>
                <w:szCs w:val="21"/>
              </w:rPr>
              <w:t>污染物排放清单</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91" w:type="dxa"/>
            <w:gridSpan w:val="2"/>
            <w:tcBorders>
              <w:tl2br w:val="nil"/>
              <w:tr2bl w:val="nil"/>
            </w:tcBorders>
            <w:vAlign w:val="center"/>
          </w:tcPr>
          <w:p>
            <w:pPr>
              <w:widowControl/>
              <w:adjustRightInd w:val="0"/>
              <w:snapToGrid w:val="0"/>
              <w:jc w:val="center"/>
              <w:rPr>
                <w:color w:val="auto"/>
                <w:szCs w:val="21"/>
              </w:rPr>
            </w:pPr>
            <w:r>
              <w:rPr>
                <w:color w:val="auto"/>
                <w:szCs w:val="21"/>
              </w:rPr>
              <w:t>评价结论</w:t>
            </w:r>
          </w:p>
        </w:tc>
        <w:tc>
          <w:tcPr>
            <w:tcW w:w="10983" w:type="dxa"/>
            <w:gridSpan w:val="13"/>
            <w:tcBorders>
              <w:tl2br w:val="nil"/>
              <w:tr2bl w:val="nil"/>
            </w:tcBorders>
            <w:vAlign w:val="center"/>
          </w:tcPr>
          <w:p>
            <w:pPr>
              <w:widowControl/>
              <w:adjustRightInd w:val="0"/>
              <w:snapToGrid w:val="0"/>
              <w:jc w:val="left"/>
              <w:rPr>
                <w:color w:val="auto"/>
                <w:szCs w:val="21"/>
              </w:rPr>
            </w:pPr>
            <w:r>
              <w:rPr>
                <w:color w:val="auto"/>
                <w:szCs w:val="21"/>
              </w:rPr>
              <w:t xml:space="preserve">可以接受 ☑；不可以接受 </w:t>
            </w:r>
            <w:r>
              <w:rPr>
                <w:color w:val="auto"/>
              </w:rPr>
              <w:sym w:font="Wingdings 2" w:char="00A3"/>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74" w:type="dxa"/>
            <w:gridSpan w:val="15"/>
            <w:tcBorders>
              <w:tl2br w:val="nil"/>
              <w:tr2bl w:val="nil"/>
            </w:tcBorders>
            <w:vAlign w:val="center"/>
          </w:tcPr>
          <w:p>
            <w:pPr>
              <w:widowControl/>
              <w:adjustRightInd w:val="0"/>
              <w:snapToGrid w:val="0"/>
              <w:jc w:val="left"/>
              <w:rPr>
                <w:color w:val="auto"/>
                <w:szCs w:val="21"/>
              </w:rPr>
            </w:pPr>
            <w:r>
              <w:rPr>
                <w:color w:val="auto"/>
                <w:szCs w:val="21"/>
              </w:rPr>
              <w:t>注：“</w:t>
            </w:r>
            <w:r>
              <w:rPr>
                <w:color w:val="auto"/>
              </w:rPr>
              <w:sym w:font="Wingdings 2" w:char="00A3"/>
            </w:r>
            <w:r>
              <w:rPr>
                <w:color w:val="auto"/>
                <w:szCs w:val="21"/>
              </w:rPr>
              <w:t>”为勾选项，可√；“（  ）”为内容填写项：“备注”为其他补充内容。</w:t>
            </w:r>
          </w:p>
        </w:tc>
      </w:tr>
    </w:tbl>
    <w:p>
      <w:pPr>
        <w:rPr>
          <w:color w:val="auto"/>
        </w:rPr>
        <w:sectPr>
          <w:pgSz w:w="16838" w:h="11906" w:orient="landscape"/>
          <w:pgMar w:top="138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outlineLvl w:val="1"/>
        <w:rPr>
          <w:b/>
          <w:bCs/>
          <w:color w:val="auto"/>
          <w:sz w:val="32"/>
          <w:szCs w:val="32"/>
        </w:rPr>
      </w:pPr>
      <w:bookmarkStart w:id="601" w:name="_Toc22658"/>
      <w:bookmarkStart w:id="602" w:name="_Toc30619"/>
      <w:bookmarkStart w:id="603" w:name="_Toc20059"/>
      <w:bookmarkStart w:id="604" w:name="_Toc3168"/>
      <w:r>
        <w:rPr>
          <w:rFonts w:hint="eastAsia"/>
          <w:b/>
          <w:bCs/>
          <w:color w:val="auto"/>
          <w:sz w:val="32"/>
          <w:szCs w:val="32"/>
        </w:rPr>
        <w:t>6</w:t>
      </w:r>
      <w:r>
        <w:rPr>
          <w:b/>
          <w:bCs/>
          <w:color w:val="auto"/>
          <w:sz w:val="32"/>
          <w:szCs w:val="32"/>
        </w:rPr>
        <w:t>.3</w:t>
      </w:r>
      <w:r>
        <w:rPr>
          <w:rFonts w:hint="eastAsia"/>
          <w:b/>
          <w:bCs/>
          <w:color w:val="auto"/>
          <w:sz w:val="32"/>
          <w:szCs w:val="32"/>
        </w:rPr>
        <w:t xml:space="preserve">  </w:t>
      </w:r>
      <w:r>
        <w:rPr>
          <w:b/>
          <w:bCs/>
          <w:color w:val="auto"/>
          <w:sz w:val="32"/>
          <w:szCs w:val="32"/>
        </w:rPr>
        <w:t>运营期地下水环境影响</w:t>
      </w:r>
      <w:bookmarkEnd w:id="601"/>
      <w:bookmarkEnd w:id="602"/>
      <w:bookmarkEnd w:id="603"/>
      <w:bookmarkEnd w:id="604"/>
    </w:p>
    <w:p>
      <w:pPr>
        <w:pStyle w:val="8"/>
        <w:numPr>
          <w:ilvl w:val="3"/>
          <w:numId w:val="0"/>
        </w:numPr>
        <w:tabs>
          <w:tab w:val="left" w:pos="360"/>
          <w:tab w:val="left" w:pos="567"/>
          <w:tab w:val="left" w:pos="851"/>
          <w:tab w:val="clear" w:pos="720"/>
        </w:tabs>
        <w:snapToGrid w:val="0"/>
        <w:rPr>
          <w:color w:val="auto"/>
          <w:sz w:val="28"/>
          <w:szCs w:val="28"/>
        </w:rPr>
      </w:pPr>
      <w:bookmarkStart w:id="605" w:name="_Toc21015"/>
      <w:bookmarkStart w:id="606" w:name="_Toc16578"/>
      <w:r>
        <w:rPr>
          <w:rFonts w:hint="eastAsia"/>
          <w:color w:val="auto"/>
          <w:sz w:val="28"/>
          <w:szCs w:val="28"/>
        </w:rPr>
        <w:t xml:space="preserve">6.3.1  </w:t>
      </w:r>
      <w:bookmarkStart w:id="607" w:name="_Toc453169695"/>
      <w:r>
        <w:rPr>
          <w:rFonts w:hint="eastAsia"/>
          <w:color w:val="auto"/>
          <w:sz w:val="28"/>
          <w:szCs w:val="28"/>
        </w:rPr>
        <w:t>评价</w:t>
      </w:r>
      <w:bookmarkEnd w:id="607"/>
      <w:r>
        <w:rPr>
          <w:rFonts w:hint="eastAsia"/>
          <w:color w:val="auto"/>
          <w:sz w:val="28"/>
          <w:szCs w:val="28"/>
        </w:rPr>
        <w:t>内容</w:t>
      </w:r>
    </w:p>
    <w:p>
      <w:pPr>
        <w:pStyle w:val="62"/>
        <w:rPr>
          <w:rFonts w:ascii="Times New Roman" w:hAnsi="Times New Roman"/>
          <w:color w:val="auto"/>
        </w:rPr>
      </w:pPr>
      <w:r>
        <w:rPr>
          <w:rFonts w:hint="eastAsia" w:ascii="Times New Roman" w:hAnsi="Times New Roman"/>
          <w:color w:val="auto"/>
          <w:lang w:val="en-US"/>
        </w:rPr>
        <w:t>从上文可知，</w:t>
      </w:r>
      <w:r>
        <w:rPr>
          <w:rFonts w:ascii="Times New Roman" w:hAnsi="Times New Roman"/>
          <w:color w:val="auto"/>
        </w:rPr>
        <w:t>本项目</w:t>
      </w:r>
      <w:r>
        <w:rPr>
          <w:rFonts w:hint="eastAsia" w:ascii="Times New Roman" w:hAnsi="Times New Roman"/>
          <w:color w:val="auto"/>
          <w:lang w:val="en-US"/>
        </w:rPr>
        <w:t>地下水环境影响评价等级为三级。项目</w:t>
      </w:r>
      <w:r>
        <w:rPr>
          <w:rFonts w:ascii="Times New Roman" w:hAnsi="Times New Roman"/>
          <w:color w:val="auto"/>
        </w:rPr>
        <w:t>采用市政供水，不开采利用地下水，不会引起地下水流场或地下水位变化，不会产生新的水文地质问题</w:t>
      </w:r>
      <w:r>
        <w:rPr>
          <w:rFonts w:hint="eastAsia" w:ascii="Times New Roman" w:hAnsi="Times New Roman"/>
          <w:color w:val="auto"/>
        </w:rPr>
        <w:t>。</w:t>
      </w:r>
      <w:r>
        <w:rPr>
          <w:rFonts w:hint="eastAsia" w:ascii="Times New Roman" w:hAnsi="Times New Roman"/>
          <w:color w:val="auto"/>
          <w:lang w:val="en-US"/>
        </w:rPr>
        <w:t>项目各处也将做好</w:t>
      </w:r>
      <w:r>
        <w:rPr>
          <w:rFonts w:ascii="Times New Roman" w:hAnsi="Times New Roman"/>
          <w:color w:val="auto"/>
        </w:rPr>
        <w:t>地下水污染防渗措施</w:t>
      </w:r>
      <w:r>
        <w:rPr>
          <w:rFonts w:hint="eastAsia" w:ascii="Times New Roman" w:hAnsi="Times New Roman"/>
          <w:color w:val="auto"/>
        </w:rPr>
        <w:t>，</w:t>
      </w:r>
      <w:r>
        <w:rPr>
          <w:rFonts w:ascii="Times New Roman" w:hAnsi="Times New Roman"/>
          <w:color w:val="auto"/>
        </w:rPr>
        <w:t>在正常情况下，防渗措施可有效防止项目运营过程中污染物进入地下水环境</w:t>
      </w:r>
      <w:r>
        <w:rPr>
          <w:rFonts w:hint="eastAsia" w:ascii="Times New Roman" w:hAnsi="Times New Roman"/>
          <w:color w:val="auto"/>
        </w:rPr>
        <w:t>。</w:t>
      </w:r>
      <w:r>
        <w:rPr>
          <w:rFonts w:hint="eastAsia" w:ascii="Times New Roman" w:hAnsi="Times New Roman"/>
          <w:color w:val="auto"/>
          <w:lang w:val="en-US"/>
        </w:rPr>
        <w:t>但当出现泄漏事故时，</w:t>
      </w:r>
      <w:r>
        <w:rPr>
          <w:rFonts w:ascii="Times New Roman" w:hAnsi="Times New Roman"/>
          <w:color w:val="auto"/>
        </w:rPr>
        <w:t>废水</w:t>
      </w:r>
      <w:r>
        <w:rPr>
          <w:rFonts w:hint="eastAsia" w:ascii="Times New Roman" w:hAnsi="Times New Roman"/>
          <w:color w:val="auto"/>
          <w:lang w:val="en-US"/>
        </w:rPr>
        <w:t>或物料有可能</w:t>
      </w:r>
      <w:r>
        <w:rPr>
          <w:rFonts w:ascii="Times New Roman" w:hAnsi="Times New Roman"/>
          <w:color w:val="auto"/>
        </w:rPr>
        <w:t>通过包气带进入地下水。因此，地下水环境影响预测与评价</w:t>
      </w:r>
      <w:r>
        <w:rPr>
          <w:rFonts w:hint="eastAsia" w:ascii="Times New Roman" w:hAnsi="Times New Roman"/>
          <w:color w:val="auto"/>
          <w:lang w:val="en-US"/>
        </w:rPr>
        <w:t>主要</w:t>
      </w:r>
      <w:r>
        <w:rPr>
          <w:rFonts w:ascii="Times New Roman" w:hAnsi="Times New Roman"/>
          <w:color w:val="auto"/>
        </w:rPr>
        <w:t>关注非正常状况下对地下水的环境影响。</w:t>
      </w:r>
      <w:bookmarkStart w:id="608" w:name="_Toc18439"/>
    </w:p>
    <w:p>
      <w:pPr>
        <w:pStyle w:val="62"/>
        <w:ind w:firstLine="0" w:firstLineChars="0"/>
        <w:rPr>
          <w:rFonts w:ascii="Times New Roman" w:hAnsi="Times New Roman"/>
          <w:b/>
          <w:color w:val="auto"/>
          <w:sz w:val="28"/>
          <w:szCs w:val="28"/>
          <w:lang w:val="en-US"/>
        </w:rPr>
      </w:pPr>
      <w:r>
        <w:rPr>
          <w:rFonts w:hint="eastAsia" w:ascii="Times New Roman" w:hAnsi="Times New Roman"/>
          <w:b/>
          <w:color w:val="auto"/>
          <w:sz w:val="28"/>
          <w:szCs w:val="28"/>
          <w:lang w:val="en-US"/>
        </w:rPr>
        <w:t>6.3.2 地下水污染源识别</w:t>
      </w:r>
      <w:bookmarkEnd w:id="608"/>
      <w:bookmarkStart w:id="609" w:name="_Toc30683"/>
    </w:p>
    <w:p>
      <w:pPr>
        <w:pStyle w:val="62"/>
        <w:ind w:firstLine="0" w:firstLineChars="0"/>
        <w:rPr>
          <w:rFonts w:ascii="Times New Roman" w:hAnsi="Times New Roman"/>
          <w:color w:val="auto"/>
        </w:rPr>
      </w:pPr>
      <w:r>
        <w:rPr>
          <w:rFonts w:ascii="Times New Roman" w:hAnsi="Times New Roman"/>
          <w:color w:val="auto"/>
        </w:rPr>
        <w:t>1、地下水污染途径分类</w:t>
      </w:r>
      <w:bookmarkEnd w:id="609"/>
      <w:bookmarkStart w:id="610" w:name="_Toc18608"/>
    </w:p>
    <w:p>
      <w:pPr>
        <w:pStyle w:val="62"/>
        <w:rPr>
          <w:rFonts w:ascii="Times New Roman" w:hAnsi="Times New Roman"/>
          <w:color w:val="auto"/>
        </w:rPr>
      </w:pPr>
      <w:r>
        <w:rPr>
          <w:rFonts w:ascii="Times New Roman" w:hAnsi="Times New Roman"/>
          <w:color w:val="auto"/>
        </w:rPr>
        <w:t>（1）间歇入渗型。大气降水或其他灌溉水使污染物随水通过非饱水带，周期地渗入含水层，主要是污染潜水。淋滤固体废物堆引起的污染，即属此类。</w:t>
      </w:r>
      <w:bookmarkEnd w:id="610"/>
      <w:bookmarkStart w:id="611" w:name="_Toc23344"/>
    </w:p>
    <w:p>
      <w:pPr>
        <w:pStyle w:val="62"/>
        <w:rPr>
          <w:rFonts w:ascii="Times New Roman" w:hAnsi="Times New Roman"/>
          <w:color w:val="auto"/>
        </w:rPr>
      </w:pPr>
      <w:r>
        <w:rPr>
          <w:rFonts w:ascii="Times New Roman" w:hAnsi="Times New Roman"/>
          <w:color w:val="auto"/>
        </w:rPr>
        <w:t>（2）连续入渗型。污染物随水不断地渗入含水层，主要也是污染潜水。废水聚集地段（如废水渠、废水池、废水渗井等）和受污染的地表水体连续渗漏造成地下水污染，即属此类。</w:t>
      </w:r>
      <w:bookmarkEnd w:id="611"/>
      <w:bookmarkStart w:id="612" w:name="_Toc25319"/>
    </w:p>
    <w:p>
      <w:pPr>
        <w:pStyle w:val="62"/>
        <w:rPr>
          <w:rFonts w:ascii="Times New Roman" w:hAnsi="Times New Roman"/>
          <w:color w:val="auto"/>
        </w:rPr>
      </w:pPr>
      <w:r>
        <w:rPr>
          <w:rFonts w:ascii="Times New Roman" w:hAnsi="Times New Roman"/>
          <w:color w:val="auto"/>
        </w:rPr>
        <w:t>（3）越流型。污染物是通过越流的方式从已受污染的含水层（或天然咸水层）转移到未受污染的含水层（或天然淡水层）。污染物或者是通过整个层间，或者是通过地层尖灭的天窗，或者是通过破损的井管，污染潜水和承压水。地下水的开采改变了越流方向，使已受污染的潜水进入未受污染的承压水，即属此类。</w:t>
      </w:r>
      <w:bookmarkEnd w:id="612"/>
      <w:bookmarkStart w:id="613" w:name="_Toc25485"/>
    </w:p>
    <w:p>
      <w:pPr>
        <w:pStyle w:val="62"/>
        <w:rPr>
          <w:rFonts w:ascii="Times New Roman" w:hAnsi="Times New Roman"/>
          <w:color w:val="auto"/>
        </w:rPr>
      </w:pPr>
      <w:r>
        <w:rPr>
          <w:rFonts w:ascii="Times New Roman" w:hAnsi="Times New Roman"/>
          <w:color w:val="auto"/>
        </w:rPr>
        <w:t>（4）径流型。污染物通过地下径流进入含水层，污染潜水或承压水。污染物通过地下岩溶孔道进入含水层，即属此类。</w:t>
      </w:r>
      <w:bookmarkEnd w:id="613"/>
      <w:bookmarkStart w:id="614" w:name="_Toc23014"/>
    </w:p>
    <w:p>
      <w:pPr>
        <w:pStyle w:val="62"/>
        <w:ind w:firstLine="0" w:firstLineChars="0"/>
        <w:rPr>
          <w:rFonts w:ascii="Times New Roman" w:hAnsi="Times New Roman"/>
          <w:color w:val="auto"/>
        </w:rPr>
      </w:pPr>
      <w:r>
        <w:rPr>
          <w:rFonts w:ascii="Times New Roman" w:hAnsi="Times New Roman"/>
          <w:color w:val="auto"/>
        </w:rPr>
        <w:t>2、地下水污染源分析</w:t>
      </w:r>
      <w:bookmarkEnd w:id="614"/>
      <w:bookmarkStart w:id="615" w:name="_Toc3818"/>
    </w:p>
    <w:p>
      <w:pPr>
        <w:pStyle w:val="62"/>
        <w:rPr>
          <w:rFonts w:ascii="Times New Roman" w:hAnsi="Times New Roman"/>
          <w:color w:val="auto"/>
        </w:rPr>
      </w:pPr>
      <w:r>
        <w:rPr>
          <w:rFonts w:ascii="Times New Roman" w:hAnsi="Times New Roman"/>
          <w:color w:val="auto"/>
        </w:rPr>
        <w:t>本项目不对地下水进行开采和使用。项目整体均在室内，地面全部采用混凝土硬化，在</w:t>
      </w:r>
      <w:r>
        <w:rPr>
          <w:rFonts w:hint="eastAsia" w:ascii="Times New Roman" w:hAnsi="Times New Roman"/>
          <w:color w:val="auto"/>
          <w:lang w:val="en-US"/>
        </w:rPr>
        <w:t>湿式破碎生产区、卷材生产区</w:t>
      </w:r>
      <w:r>
        <w:rPr>
          <w:rFonts w:ascii="Times New Roman" w:hAnsi="Times New Roman"/>
          <w:color w:val="auto"/>
        </w:rPr>
        <w:t>、原料</w:t>
      </w:r>
      <w:r>
        <w:rPr>
          <w:rFonts w:hint="eastAsia" w:ascii="Times New Roman" w:hAnsi="Times New Roman"/>
          <w:color w:val="auto"/>
          <w:lang w:val="en-US"/>
        </w:rPr>
        <w:t>堆放区</w:t>
      </w:r>
      <w:r>
        <w:rPr>
          <w:rFonts w:ascii="Times New Roman" w:hAnsi="Times New Roman"/>
          <w:color w:val="auto"/>
        </w:rPr>
        <w:t>、危废暂存间</w:t>
      </w:r>
      <w:r>
        <w:rPr>
          <w:rFonts w:hint="eastAsia" w:ascii="Times New Roman" w:hAnsi="Times New Roman"/>
          <w:color w:val="auto"/>
        </w:rPr>
        <w:t>、</w:t>
      </w:r>
      <w:r>
        <w:rPr>
          <w:rFonts w:hint="eastAsia" w:ascii="Times New Roman" w:hAnsi="Times New Roman"/>
          <w:color w:val="auto"/>
          <w:lang w:val="en-US"/>
        </w:rPr>
        <w:t>三级化粪池等</w:t>
      </w:r>
      <w:r>
        <w:rPr>
          <w:rFonts w:ascii="Times New Roman" w:hAnsi="Times New Roman"/>
          <w:color w:val="auto"/>
        </w:rPr>
        <w:t>处均采取了防渗措施，大部分的管道采取架空的方式铺设。</w:t>
      </w:r>
      <w:bookmarkEnd w:id="615"/>
    </w:p>
    <w:p>
      <w:pPr>
        <w:adjustRightInd w:val="0"/>
        <w:snapToGrid w:val="0"/>
        <w:spacing w:line="360" w:lineRule="auto"/>
        <w:ind w:right="105" w:rightChars="50" w:firstLine="480" w:firstLineChars="200"/>
        <w:rPr>
          <w:color w:val="auto"/>
          <w:kern w:val="0"/>
          <w:sz w:val="24"/>
        </w:rPr>
      </w:pPr>
      <w:r>
        <w:rPr>
          <w:color w:val="auto"/>
          <w:kern w:val="0"/>
          <w:sz w:val="24"/>
          <w:lang w:val="zh-CN"/>
        </w:rPr>
        <w:t>本项目</w:t>
      </w:r>
      <w:r>
        <w:rPr>
          <w:rFonts w:hint="eastAsia"/>
          <w:color w:val="auto"/>
          <w:kern w:val="0"/>
          <w:sz w:val="24"/>
          <w:lang w:val="zh-CN"/>
        </w:rPr>
        <w:t>湿式破碎生产线</w:t>
      </w:r>
      <w:r>
        <w:rPr>
          <w:rFonts w:hint="eastAsia"/>
          <w:color w:val="auto"/>
          <w:kern w:val="0"/>
          <w:sz w:val="24"/>
        </w:rPr>
        <w:t>的生产</w:t>
      </w:r>
      <w:r>
        <w:rPr>
          <w:color w:val="auto"/>
          <w:kern w:val="0"/>
          <w:sz w:val="24"/>
          <w:lang w:val="zh-CN"/>
        </w:rPr>
        <w:t>废水经</w:t>
      </w:r>
      <w:r>
        <w:rPr>
          <w:rFonts w:hint="eastAsia"/>
          <w:color w:val="auto"/>
          <w:kern w:val="0"/>
          <w:sz w:val="24"/>
        </w:rPr>
        <w:t>沉淀池</w:t>
      </w:r>
      <w:r>
        <w:rPr>
          <w:color w:val="auto"/>
          <w:kern w:val="0"/>
          <w:sz w:val="24"/>
          <w:lang w:val="zh-CN"/>
        </w:rPr>
        <w:t>处理后均回用于生产，不外排。</w:t>
      </w:r>
      <w:r>
        <w:rPr>
          <w:rFonts w:hint="eastAsia"/>
          <w:color w:val="auto"/>
          <w:kern w:val="0"/>
          <w:sz w:val="24"/>
        </w:rPr>
        <w:t>卷材生产线的冷却水循环使用，定期补充，不外排。综上所述，本项目无生产废水外排。</w:t>
      </w:r>
      <w:r>
        <w:rPr>
          <w:color w:val="auto"/>
          <w:kern w:val="0"/>
          <w:sz w:val="24"/>
          <w:lang w:val="zh-CN"/>
        </w:rPr>
        <w:t>项目的外排的生活污水</w:t>
      </w:r>
      <w:r>
        <w:rPr>
          <w:color w:val="auto"/>
          <w:kern w:val="0"/>
          <w:sz w:val="24"/>
        </w:rPr>
        <w:t>为员工的洗盥污水，水质较为简单。</w:t>
      </w:r>
      <w:r>
        <w:rPr>
          <w:color w:val="auto"/>
          <w:sz w:val="24"/>
        </w:rPr>
        <w:t>项目在污水处理厂纳污范围内，生活污水经三级化粪池预处理达到广东省地方标准《水污染物排放限值》（DB44/26-2001）第二时段三级标准和</w:t>
      </w:r>
      <w:r>
        <w:rPr>
          <w:rFonts w:hint="eastAsia"/>
          <w:color w:val="auto"/>
          <w:sz w:val="24"/>
          <w:lang w:eastAsia="zh-CN"/>
        </w:rPr>
        <w:t>石角污水处理厂</w:t>
      </w:r>
      <w:r>
        <w:rPr>
          <w:color w:val="auto"/>
          <w:sz w:val="24"/>
        </w:rPr>
        <w:t>进水水质标准较严值后经</w:t>
      </w:r>
      <w:r>
        <w:rPr>
          <w:rFonts w:hint="eastAsia"/>
          <w:color w:val="auto"/>
          <w:sz w:val="24"/>
        </w:rPr>
        <w:t>市政</w:t>
      </w:r>
      <w:r>
        <w:rPr>
          <w:color w:val="auto"/>
          <w:sz w:val="24"/>
        </w:rPr>
        <w:t>管网进入</w:t>
      </w:r>
      <w:r>
        <w:rPr>
          <w:rFonts w:hint="eastAsia"/>
          <w:color w:val="auto"/>
          <w:sz w:val="24"/>
        </w:rPr>
        <w:t>石角</w:t>
      </w:r>
      <w:r>
        <w:rPr>
          <w:color w:val="auto"/>
          <w:sz w:val="24"/>
        </w:rPr>
        <w:t>污水处理厂</w:t>
      </w:r>
      <w:r>
        <w:rPr>
          <w:rFonts w:hint="eastAsia"/>
          <w:color w:val="auto"/>
          <w:sz w:val="24"/>
        </w:rPr>
        <w:t>集中处理</w:t>
      </w:r>
      <w:r>
        <w:rPr>
          <w:color w:val="auto"/>
          <w:sz w:val="24"/>
        </w:rPr>
        <w:t>，</w:t>
      </w:r>
      <w:r>
        <w:rPr>
          <w:rFonts w:hint="eastAsia"/>
          <w:color w:val="auto"/>
          <w:sz w:val="24"/>
        </w:rPr>
        <w:t>最后尾水达标排入</w:t>
      </w:r>
      <w:r>
        <w:rPr>
          <w:color w:val="auto"/>
          <w:sz w:val="24"/>
        </w:rPr>
        <w:t>沙埗溪。</w:t>
      </w:r>
    </w:p>
    <w:p>
      <w:pPr>
        <w:spacing w:line="360" w:lineRule="auto"/>
        <w:ind w:firstLine="480" w:firstLineChars="200"/>
        <w:rPr>
          <w:color w:val="auto"/>
          <w:sz w:val="24"/>
        </w:rPr>
      </w:pPr>
      <w:r>
        <w:rPr>
          <w:color w:val="auto"/>
          <w:sz w:val="24"/>
        </w:rPr>
        <w:t>综上所述，在正常状态下，液体物料和生活污水不易渗入地下造成地下水污染。本项目在运营期对地下水环境产生明显污染的主要原因不是污水的正常产生和排放，而是在污水、液体原料的意外和事故泄漏。当发生类似事故时，项目对地下水可能造成污染的途径如下：</w:t>
      </w:r>
    </w:p>
    <w:p>
      <w:pPr>
        <w:spacing w:line="360" w:lineRule="auto"/>
        <w:ind w:firstLine="480" w:firstLineChars="200"/>
        <w:rPr>
          <w:color w:val="auto"/>
          <w:sz w:val="24"/>
        </w:rPr>
      </w:pPr>
      <w:r>
        <w:rPr>
          <w:color w:val="auto"/>
          <w:sz w:val="24"/>
        </w:rPr>
        <w:t>（1）</w:t>
      </w:r>
      <w:r>
        <w:rPr>
          <w:rFonts w:hint="eastAsia"/>
          <w:color w:val="auto"/>
          <w:sz w:val="24"/>
        </w:rPr>
        <w:t>沉淀池</w:t>
      </w:r>
      <w:r>
        <w:rPr>
          <w:color w:val="auto"/>
          <w:sz w:val="24"/>
        </w:rPr>
        <w:t>、三级化粪池等池体或污水管道破裂，从而导致污水泄漏、下渗，污染地下水。</w:t>
      </w:r>
    </w:p>
    <w:p>
      <w:pPr>
        <w:spacing w:line="360" w:lineRule="auto"/>
        <w:ind w:firstLine="480" w:firstLineChars="200"/>
        <w:rPr>
          <w:color w:val="auto"/>
          <w:sz w:val="24"/>
        </w:rPr>
      </w:pPr>
      <w:r>
        <w:rPr>
          <w:color w:val="auto"/>
          <w:sz w:val="24"/>
        </w:rPr>
        <w:t>（2）危险废物存储管理不善，造成容器破裂或者随处倾倒，造成其下渗污染地下水。</w:t>
      </w:r>
    </w:p>
    <w:p>
      <w:pPr>
        <w:spacing w:line="360" w:lineRule="auto"/>
        <w:ind w:firstLine="480" w:firstLineChars="200"/>
        <w:rPr>
          <w:color w:val="auto"/>
          <w:sz w:val="24"/>
        </w:rPr>
      </w:pPr>
      <w:r>
        <w:rPr>
          <w:color w:val="auto"/>
          <w:sz w:val="24"/>
        </w:rPr>
        <w:t>（3）原料</w:t>
      </w:r>
      <w:r>
        <w:rPr>
          <w:rFonts w:hint="eastAsia"/>
          <w:color w:val="auto"/>
          <w:sz w:val="24"/>
        </w:rPr>
        <w:t>堆放区</w:t>
      </w:r>
      <w:r>
        <w:rPr>
          <w:color w:val="auto"/>
          <w:sz w:val="24"/>
        </w:rPr>
        <w:t>、危废暂存间、车间的防渗层失效，或未采取有效防渗措施，液体原料的泄露事故可能会导致污染物直接下渗污染地下水。</w:t>
      </w:r>
    </w:p>
    <w:p>
      <w:pPr>
        <w:pStyle w:val="8"/>
        <w:numPr>
          <w:ilvl w:val="3"/>
          <w:numId w:val="0"/>
        </w:numPr>
        <w:tabs>
          <w:tab w:val="left" w:pos="360"/>
          <w:tab w:val="left" w:pos="567"/>
          <w:tab w:val="left" w:pos="851"/>
          <w:tab w:val="clear" w:pos="720"/>
        </w:tabs>
        <w:snapToGrid w:val="0"/>
        <w:rPr>
          <w:color w:val="auto"/>
          <w:sz w:val="28"/>
          <w:szCs w:val="28"/>
        </w:rPr>
      </w:pPr>
      <w:bookmarkStart w:id="616" w:name="_Toc25830"/>
      <w:r>
        <w:rPr>
          <w:rFonts w:hint="eastAsia"/>
          <w:color w:val="auto"/>
          <w:sz w:val="28"/>
          <w:szCs w:val="28"/>
        </w:rPr>
        <w:t>6.3.2 地下水环境影响分析</w:t>
      </w:r>
      <w:bookmarkEnd w:id="616"/>
    </w:p>
    <w:p>
      <w:pPr>
        <w:spacing w:line="360" w:lineRule="auto"/>
        <w:ind w:firstLine="480" w:firstLineChars="200"/>
        <w:rPr>
          <w:color w:val="auto"/>
          <w:kern w:val="0"/>
          <w:sz w:val="24"/>
        </w:rPr>
      </w:pPr>
      <w:r>
        <w:rPr>
          <w:color w:val="auto"/>
          <w:kern w:val="0"/>
          <w:sz w:val="24"/>
        </w:rPr>
        <w:t>1、分析方法</w:t>
      </w:r>
    </w:p>
    <w:p>
      <w:pPr>
        <w:spacing w:line="360" w:lineRule="auto"/>
        <w:ind w:firstLine="480" w:firstLineChars="200"/>
        <w:rPr>
          <w:b/>
          <w:bCs/>
          <w:color w:val="auto"/>
          <w:sz w:val="24"/>
        </w:rPr>
      </w:pPr>
      <w:r>
        <w:rPr>
          <w:color w:val="auto"/>
          <w:kern w:val="0"/>
          <w:sz w:val="24"/>
        </w:rPr>
        <w:t>本项目的地下水环境影响评价等级为三级，根据</w:t>
      </w:r>
      <w:r>
        <w:rPr>
          <w:color w:val="auto"/>
          <w:sz w:val="24"/>
        </w:rPr>
        <w:t>《环境影响评价技术导则 地下水环境》（HJ610-2016），三级评下要求采用解析法或者类比分析法进行地下水影响分析与评价。</w:t>
      </w:r>
      <w:r>
        <w:rPr>
          <w:rFonts w:hint="eastAsia"/>
          <w:color w:val="auto"/>
          <w:sz w:val="24"/>
        </w:rPr>
        <w:t>下文将使用解析法进行分析。</w:t>
      </w:r>
    </w:p>
    <w:p>
      <w:pPr>
        <w:spacing w:line="360" w:lineRule="auto"/>
        <w:ind w:firstLine="480" w:firstLineChars="200"/>
        <w:jc w:val="left"/>
        <w:rPr>
          <w:color w:val="auto"/>
          <w:sz w:val="24"/>
        </w:rPr>
      </w:pPr>
      <w:r>
        <w:rPr>
          <w:color w:val="auto"/>
          <w:sz w:val="24"/>
        </w:rPr>
        <w:t>2、地下水影响分析</w:t>
      </w:r>
    </w:p>
    <w:p>
      <w:pPr>
        <w:spacing w:line="360" w:lineRule="auto"/>
        <w:ind w:firstLine="480" w:firstLineChars="200"/>
        <w:rPr>
          <w:color w:val="auto"/>
          <w:sz w:val="24"/>
        </w:rPr>
      </w:pPr>
      <w:r>
        <w:rPr>
          <w:color w:val="auto"/>
          <w:sz w:val="24"/>
        </w:rPr>
        <w:t>泄漏的污水、原料等会对地下水水质造成一定影响，其影响范围主要集中在渗漏处地下水径流的下游方向。泄漏事故发生后，污染物在地下水流作用下，向地下水径流的下游方向迁移，随着时间的推移，污染物影响范围逐渐增大；由于污染物不断向四周迁移，污染与范围内污染物浓度逐渐降低。</w:t>
      </w:r>
    </w:p>
    <w:p>
      <w:pPr>
        <w:spacing w:line="360" w:lineRule="auto"/>
        <w:ind w:firstLine="480" w:firstLineChars="200"/>
        <w:rPr>
          <w:color w:val="auto"/>
          <w:sz w:val="24"/>
        </w:rPr>
      </w:pPr>
      <w:r>
        <w:rPr>
          <w:color w:val="auto"/>
          <w:sz w:val="24"/>
        </w:rPr>
        <w:t>由于</w:t>
      </w:r>
      <w:r>
        <w:rPr>
          <w:rFonts w:hint="eastAsia"/>
          <w:color w:val="auto"/>
          <w:sz w:val="24"/>
        </w:rPr>
        <w:t>项目所在地的</w:t>
      </w:r>
      <w:r>
        <w:rPr>
          <w:color w:val="auto"/>
          <w:sz w:val="24"/>
        </w:rPr>
        <w:t>地下水流动</w:t>
      </w:r>
      <w:r>
        <w:rPr>
          <w:rFonts w:hint="eastAsia"/>
          <w:color w:val="auto"/>
          <w:sz w:val="24"/>
        </w:rPr>
        <w:t>较</w:t>
      </w:r>
      <w:r>
        <w:rPr>
          <w:color w:val="auto"/>
          <w:sz w:val="24"/>
        </w:rPr>
        <w:t>缓慢，地下微生物对污染物的分解速度、效率不高。地下水一旦受到污染，目前尚没有行之有效的方法在短时间内治理，使其迅速恢复原来状态。一般是采取切断污染源和补灌干净水稀释等措施，加上即使彻底消除其污染源，但已经进入含水层的污染物仍将长期产生不良影响，在较长的时间内才能使水质复原。因此，对于地下水污染务必坚持预防为主，治理为辅的原则。本项目重点污染防治区包括</w:t>
      </w:r>
      <w:r>
        <w:rPr>
          <w:rFonts w:hint="eastAsia"/>
          <w:color w:val="auto"/>
          <w:sz w:val="24"/>
        </w:rPr>
        <w:t>三级化粪池、沉淀池</w:t>
      </w:r>
      <w:r>
        <w:rPr>
          <w:color w:val="auto"/>
          <w:sz w:val="24"/>
        </w:rPr>
        <w:t>、</w:t>
      </w:r>
      <w:r>
        <w:rPr>
          <w:rFonts w:hint="eastAsia"/>
          <w:color w:val="auto"/>
          <w:sz w:val="24"/>
        </w:rPr>
        <w:t>沥青储罐、软化油储罐和</w:t>
      </w:r>
      <w:r>
        <w:rPr>
          <w:color w:val="auto"/>
          <w:sz w:val="24"/>
        </w:rPr>
        <w:t>危废暂存间等。</w:t>
      </w:r>
    </w:p>
    <w:p>
      <w:pPr>
        <w:spacing w:line="360" w:lineRule="auto"/>
        <w:ind w:firstLine="480" w:firstLineChars="200"/>
        <w:jc w:val="left"/>
        <w:rPr>
          <w:color w:val="auto"/>
          <w:sz w:val="24"/>
        </w:rPr>
      </w:pPr>
      <w:r>
        <w:rPr>
          <w:color w:val="auto"/>
          <w:sz w:val="24"/>
        </w:rPr>
        <w:t>项目使用的原料种类、数量不多，对地下水的危害程度不高。产生的污水仅有员工的生活污水，其污染物浓度不高，且本项目的产生量小。项目的防渗漏措施也相对完善。一般情况下泄漏并渗入地下污染地下水的概率很低。若发生污染物渗漏事故，也可采取应急措施有针对性地阻止其进一步渗漏。对于已经渗入地下的污染物，由于浓度低，渗漏量小，在采取一定措施后，可使其得到控制，使其影响降至最低。</w:t>
      </w:r>
    </w:p>
    <w:p>
      <w:pPr>
        <w:spacing w:line="360" w:lineRule="auto"/>
        <w:ind w:firstLine="480" w:firstLineChars="200"/>
        <w:jc w:val="left"/>
        <w:rPr>
          <w:color w:val="auto"/>
          <w:sz w:val="24"/>
        </w:rPr>
      </w:pPr>
      <w:r>
        <w:rPr>
          <w:color w:val="auto"/>
          <w:sz w:val="24"/>
        </w:rPr>
        <w:t>项目所在地区基本由自来水供应饮用水，水源主要来自江河地表水，基本不对地下水进行开采，周边地区没有地下水的集中饮用水源。周边现有水井的井水已不被饮用。因此，本项目的建设不会对威胁到周边居民的饮用水安全。</w:t>
      </w:r>
    </w:p>
    <w:p>
      <w:pPr>
        <w:pStyle w:val="8"/>
        <w:numPr>
          <w:ilvl w:val="3"/>
          <w:numId w:val="0"/>
        </w:numPr>
        <w:tabs>
          <w:tab w:val="left" w:pos="360"/>
          <w:tab w:val="left" w:pos="567"/>
          <w:tab w:val="left" w:pos="851"/>
          <w:tab w:val="clear" w:pos="720"/>
        </w:tabs>
        <w:snapToGrid w:val="0"/>
        <w:rPr>
          <w:color w:val="auto"/>
          <w:sz w:val="28"/>
          <w:szCs w:val="28"/>
        </w:rPr>
      </w:pPr>
      <w:bookmarkStart w:id="617" w:name="_Toc3146"/>
      <w:r>
        <w:rPr>
          <w:rFonts w:hint="eastAsia"/>
          <w:color w:val="auto"/>
          <w:sz w:val="28"/>
          <w:szCs w:val="28"/>
        </w:rPr>
        <w:t>6.3.3 地下水环境影响评价结论</w:t>
      </w:r>
      <w:bookmarkEnd w:id="617"/>
    </w:p>
    <w:p>
      <w:pPr>
        <w:spacing w:line="360" w:lineRule="auto"/>
        <w:ind w:firstLine="480" w:firstLineChars="200"/>
        <w:jc w:val="left"/>
        <w:rPr>
          <w:color w:val="auto"/>
          <w:sz w:val="24"/>
        </w:rPr>
      </w:pPr>
      <w:r>
        <w:rPr>
          <w:color w:val="auto"/>
          <w:sz w:val="24"/>
        </w:rPr>
        <w:t>根据区域水文地质条件及地质调查可知，项目厂区及附近现状不存在地下水位降落漏斗、地裂缝、岩溶塌陷等水文地质问题。因此，本项目污染源附近地下水对外围地下水的影响范围有限；同时项目所处水文地质单元内不存在地下水源保护区，区域内居民生活饮用水未开采地下水作为饮用水，因此地下水环境敏感程度为不敏感。</w:t>
      </w:r>
    </w:p>
    <w:p>
      <w:pPr>
        <w:spacing w:line="360" w:lineRule="auto"/>
        <w:ind w:firstLine="480" w:firstLineChars="200"/>
        <w:jc w:val="left"/>
        <w:rPr>
          <w:color w:val="auto"/>
          <w:sz w:val="24"/>
        </w:rPr>
      </w:pPr>
      <w:r>
        <w:rPr>
          <w:color w:val="auto"/>
          <w:sz w:val="24"/>
        </w:rPr>
        <w:t>为防止对地下水产生污染，应对厂区地面进行硬化，对</w:t>
      </w:r>
      <w:r>
        <w:rPr>
          <w:rFonts w:hint="eastAsia"/>
          <w:color w:val="auto"/>
          <w:sz w:val="24"/>
        </w:rPr>
        <w:t>三级化粪池、沉淀池</w:t>
      </w:r>
      <w:r>
        <w:rPr>
          <w:color w:val="auto"/>
          <w:sz w:val="24"/>
        </w:rPr>
        <w:t>、</w:t>
      </w:r>
      <w:r>
        <w:rPr>
          <w:rFonts w:hint="eastAsia"/>
          <w:color w:val="auto"/>
          <w:sz w:val="24"/>
        </w:rPr>
        <w:t>沥青储罐、软化油储罐和</w:t>
      </w:r>
      <w:r>
        <w:rPr>
          <w:color w:val="auto"/>
          <w:sz w:val="24"/>
        </w:rPr>
        <w:t>危废暂存间等</w:t>
      </w:r>
      <w:r>
        <w:rPr>
          <w:rFonts w:hint="eastAsia"/>
          <w:color w:val="auto"/>
          <w:sz w:val="24"/>
        </w:rPr>
        <w:t>进行重点防渗，湿式破碎生产线、原料堆放区和卷材生产区的</w:t>
      </w:r>
      <w:r>
        <w:rPr>
          <w:color w:val="auto"/>
          <w:sz w:val="24"/>
        </w:rPr>
        <w:t>底部做好防渗措施，使得污染物难与地下水发生接触，对场地地下水水质的影响较小。</w:t>
      </w:r>
    </w:p>
    <w:p>
      <w:pPr>
        <w:spacing w:line="360" w:lineRule="auto"/>
        <w:ind w:firstLine="480" w:firstLineChars="200"/>
        <w:jc w:val="left"/>
        <w:rPr>
          <w:color w:val="auto"/>
          <w:sz w:val="24"/>
        </w:rPr>
      </w:pPr>
      <w:r>
        <w:rPr>
          <w:color w:val="auto"/>
          <w:sz w:val="24"/>
        </w:rPr>
        <w:t>在充分落实工程设计及本评价提出的各项环保措施与建议，并确保各项环保设施正常运行、保证厂内各污染防治区的防渗措施落实到位的前提下，可将污染控制在小范围内。因此，本项目运营对地下水环境的影响可以接受。</w:t>
      </w:r>
    </w:p>
    <w:p>
      <w:pPr>
        <w:spacing w:line="360" w:lineRule="auto"/>
        <w:outlineLvl w:val="1"/>
        <w:rPr>
          <w:b/>
          <w:bCs/>
          <w:color w:val="auto"/>
          <w:sz w:val="32"/>
          <w:szCs w:val="32"/>
        </w:rPr>
      </w:pPr>
      <w:bookmarkStart w:id="618" w:name="_Toc12544"/>
      <w:bookmarkStart w:id="619" w:name="_Toc28662"/>
      <w:r>
        <w:rPr>
          <w:rFonts w:hint="eastAsia"/>
          <w:b/>
          <w:bCs/>
          <w:color w:val="auto"/>
          <w:sz w:val="32"/>
          <w:szCs w:val="32"/>
        </w:rPr>
        <w:t>6.</w:t>
      </w:r>
      <w:r>
        <w:rPr>
          <w:b/>
          <w:bCs/>
          <w:color w:val="auto"/>
          <w:sz w:val="32"/>
          <w:szCs w:val="32"/>
        </w:rPr>
        <w:t>4</w:t>
      </w:r>
      <w:r>
        <w:rPr>
          <w:rFonts w:hint="eastAsia"/>
          <w:b/>
          <w:bCs/>
          <w:color w:val="auto"/>
          <w:sz w:val="32"/>
          <w:szCs w:val="32"/>
        </w:rPr>
        <w:t xml:space="preserve">  </w:t>
      </w:r>
      <w:r>
        <w:rPr>
          <w:b/>
          <w:bCs/>
          <w:color w:val="auto"/>
          <w:sz w:val="32"/>
          <w:szCs w:val="32"/>
        </w:rPr>
        <w:t>运营期大气环境影响</w:t>
      </w:r>
      <w:bookmarkEnd w:id="605"/>
      <w:bookmarkEnd w:id="606"/>
      <w:bookmarkEnd w:id="618"/>
      <w:bookmarkEnd w:id="619"/>
    </w:p>
    <w:p>
      <w:pPr>
        <w:pStyle w:val="44"/>
        <w:numPr>
          <w:ilvl w:val="2"/>
          <w:numId w:val="0"/>
        </w:numPr>
        <w:tabs>
          <w:tab w:val="clear" w:pos="720"/>
        </w:tabs>
        <w:spacing w:before="159" w:after="159" w:line="360" w:lineRule="auto"/>
        <w:rPr>
          <w:color w:val="auto"/>
          <w:sz w:val="28"/>
          <w:szCs w:val="28"/>
        </w:rPr>
      </w:pPr>
      <w:bookmarkStart w:id="620" w:name="_Toc28515"/>
      <w:bookmarkStart w:id="621" w:name="_Toc26405"/>
      <w:r>
        <w:rPr>
          <w:rFonts w:hint="eastAsia"/>
          <w:color w:val="auto"/>
          <w:sz w:val="28"/>
          <w:szCs w:val="28"/>
        </w:rPr>
        <w:t xml:space="preserve">6.4.1  </w:t>
      </w:r>
      <w:r>
        <w:rPr>
          <w:color w:val="auto"/>
          <w:sz w:val="28"/>
          <w:szCs w:val="28"/>
        </w:rPr>
        <w:t>气象资料调查</w:t>
      </w:r>
      <w:bookmarkEnd w:id="620"/>
      <w:bookmarkEnd w:id="621"/>
    </w:p>
    <w:p>
      <w:pPr>
        <w:spacing w:line="360" w:lineRule="auto"/>
        <w:rPr>
          <w:b/>
          <w:bCs/>
          <w:color w:val="auto"/>
          <w:sz w:val="24"/>
        </w:rPr>
      </w:pPr>
      <w:bookmarkStart w:id="622" w:name="_Toc23443"/>
      <w:r>
        <w:rPr>
          <w:rFonts w:hint="eastAsia"/>
          <w:b/>
          <w:bCs/>
          <w:color w:val="auto"/>
          <w:sz w:val="24"/>
        </w:rPr>
        <w:t>1</w:t>
      </w:r>
      <w:r>
        <w:rPr>
          <w:b/>
          <w:bCs/>
          <w:color w:val="auto"/>
          <w:sz w:val="24"/>
        </w:rPr>
        <w:t>、气象监测站</w:t>
      </w:r>
    </w:p>
    <w:p>
      <w:pPr>
        <w:autoSpaceDE w:val="0"/>
        <w:autoSpaceDN w:val="0"/>
        <w:adjustRightInd w:val="0"/>
        <w:spacing w:line="360" w:lineRule="auto"/>
        <w:ind w:firstLine="480" w:firstLineChars="200"/>
        <w:rPr>
          <w:color w:val="auto"/>
          <w:kern w:val="0"/>
          <w:sz w:val="24"/>
          <w:lang w:val="zh-CN"/>
        </w:rPr>
      </w:pPr>
      <w:r>
        <w:rPr>
          <w:color w:val="auto"/>
          <w:kern w:val="0"/>
          <w:sz w:val="24"/>
          <w:lang w:val="zh-CN"/>
        </w:rPr>
        <w:t>根据《环境影响评价技术导则</w:t>
      </w:r>
      <w:r>
        <w:rPr>
          <w:rFonts w:hint="eastAsia"/>
          <w:color w:val="auto"/>
          <w:kern w:val="0"/>
          <w:sz w:val="24"/>
          <w:lang w:val="zh-CN"/>
        </w:rPr>
        <w:t>—</w:t>
      </w:r>
      <w:r>
        <w:rPr>
          <w:color w:val="auto"/>
          <w:kern w:val="0"/>
          <w:sz w:val="24"/>
          <w:lang w:val="zh-CN"/>
        </w:rPr>
        <w:t>大气环境》（HJ2.2-2018）规定，环境影响预测模型所需气象、地形、地表参数等基础数据应优先使用国家发布的标准化数据。因此本次预测评价的气象数据均环境保护部环境工程评估中心国家环境保护部影响评价重点实验室发布的数据。</w:t>
      </w:r>
    </w:p>
    <w:p>
      <w:pPr>
        <w:adjustRightInd w:val="0"/>
        <w:snapToGrid w:val="0"/>
        <w:spacing w:line="360" w:lineRule="auto"/>
        <w:jc w:val="center"/>
        <w:rPr>
          <w:b/>
          <w:bCs/>
          <w:color w:val="auto"/>
          <w:szCs w:val="21"/>
        </w:rPr>
      </w:pPr>
      <w:r>
        <w:rPr>
          <w:b/>
          <w:bCs/>
          <w:color w:val="auto"/>
          <w:szCs w:val="21"/>
        </w:rPr>
        <w:t>表6.</w:t>
      </w:r>
      <w:r>
        <w:rPr>
          <w:rFonts w:hint="eastAsia"/>
          <w:b/>
          <w:bCs/>
          <w:color w:val="auto"/>
          <w:szCs w:val="21"/>
        </w:rPr>
        <w:t xml:space="preserve">4-1  </w:t>
      </w:r>
      <w:r>
        <w:rPr>
          <w:b/>
          <w:bCs/>
          <w:color w:val="auto"/>
          <w:szCs w:val="21"/>
        </w:rPr>
        <w:t>观测气象数据信息</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132"/>
        <w:gridCol w:w="905"/>
        <w:gridCol w:w="1134"/>
        <w:gridCol w:w="1077"/>
        <w:gridCol w:w="1105"/>
        <w:gridCol w:w="831"/>
        <w:gridCol w:w="1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 w:type="dxa"/>
            <w:vMerge w:val="restart"/>
            <w:vAlign w:val="center"/>
          </w:tcPr>
          <w:p>
            <w:pPr>
              <w:adjustRightInd w:val="0"/>
              <w:snapToGrid w:val="0"/>
              <w:spacing w:line="300" w:lineRule="auto"/>
              <w:jc w:val="center"/>
              <w:rPr>
                <w:color w:val="auto"/>
                <w:szCs w:val="21"/>
              </w:rPr>
            </w:pPr>
            <w:r>
              <w:rPr>
                <w:color w:val="auto"/>
                <w:szCs w:val="21"/>
              </w:rPr>
              <w:t>气象站名称</w:t>
            </w:r>
          </w:p>
        </w:tc>
        <w:tc>
          <w:tcPr>
            <w:tcW w:w="1132" w:type="dxa"/>
            <w:vMerge w:val="restart"/>
            <w:vAlign w:val="center"/>
          </w:tcPr>
          <w:p>
            <w:pPr>
              <w:adjustRightInd w:val="0"/>
              <w:snapToGrid w:val="0"/>
              <w:spacing w:line="300" w:lineRule="auto"/>
              <w:jc w:val="center"/>
              <w:rPr>
                <w:color w:val="auto"/>
                <w:szCs w:val="21"/>
              </w:rPr>
            </w:pPr>
            <w:r>
              <w:rPr>
                <w:color w:val="auto"/>
                <w:szCs w:val="21"/>
              </w:rPr>
              <w:t>气象站编号</w:t>
            </w:r>
          </w:p>
        </w:tc>
        <w:tc>
          <w:tcPr>
            <w:tcW w:w="905" w:type="dxa"/>
            <w:vMerge w:val="restart"/>
            <w:vAlign w:val="center"/>
          </w:tcPr>
          <w:p>
            <w:pPr>
              <w:adjustRightInd w:val="0"/>
              <w:snapToGrid w:val="0"/>
              <w:spacing w:line="300" w:lineRule="auto"/>
              <w:jc w:val="center"/>
              <w:rPr>
                <w:color w:val="auto"/>
                <w:szCs w:val="21"/>
              </w:rPr>
            </w:pPr>
            <w:r>
              <w:rPr>
                <w:color w:val="auto"/>
                <w:szCs w:val="21"/>
              </w:rPr>
              <w:t>气象站等级</w:t>
            </w:r>
          </w:p>
        </w:tc>
        <w:tc>
          <w:tcPr>
            <w:tcW w:w="2211" w:type="dxa"/>
            <w:gridSpan w:val="2"/>
            <w:vAlign w:val="center"/>
          </w:tcPr>
          <w:p>
            <w:pPr>
              <w:adjustRightInd w:val="0"/>
              <w:snapToGrid w:val="0"/>
              <w:spacing w:line="300" w:lineRule="auto"/>
              <w:jc w:val="center"/>
              <w:rPr>
                <w:color w:val="auto"/>
                <w:szCs w:val="21"/>
              </w:rPr>
            </w:pPr>
            <w:r>
              <w:rPr>
                <w:color w:val="auto"/>
                <w:szCs w:val="21"/>
              </w:rPr>
              <w:t>气象站坐标（°）</w:t>
            </w:r>
          </w:p>
        </w:tc>
        <w:tc>
          <w:tcPr>
            <w:tcW w:w="1105" w:type="dxa"/>
            <w:vMerge w:val="restart"/>
            <w:vAlign w:val="center"/>
          </w:tcPr>
          <w:p>
            <w:pPr>
              <w:adjustRightInd w:val="0"/>
              <w:snapToGrid w:val="0"/>
              <w:spacing w:line="300" w:lineRule="auto"/>
              <w:jc w:val="center"/>
              <w:rPr>
                <w:color w:val="auto"/>
                <w:szCs w:val="21"/>
              </w:rPr>
            </w:pPr>
            <w:r>
              <w:rPr>
                <w:color w:val="auto"/>
                <w:szCs w:val="21"/>
              </w:rPr>
              <w:t>海拔高度（m）</w:t>
            </w:r>
          </w:p>
        </w:tc>
        <w:tc>
          <w:tcPr>
            <w:tcW w:w="831" w:type="dxa"/>
            <w:vMerge w:val="restart"/>
            <w:vAlign w:val="center"/>
          </w:tcPr>
          <w:p>
            <w:pPr>
              <w:adjustRightInd w:val="0"/>
              <w:snapToGrid w:val="0"/>
              <w:spacing w:line="300" w:lineRule="auto"/>
              <w:jc w:val="center"/>
              <w:rPr>
                <w:color w:val="auto"/>
                <w:szCs w:val="21"/>
              </w:rPr>
            </w:pPr>
            <w:r>
              <w:rPr>
                <w:color w:val="auto"/>
                <w:szCs w:val="21"/>
              </w:rPr>
              <w:t>数据年份</w:t>
            </w:r>
          </w:p>
        </w:tc>
        <w:tc>
          <w:tcPr>
            <w:tcW w:w="1859" w:type="dxa"/>
            <w:vMerge w:val="restart"/>
            <w:vAlign w:val="center"/>
          </w:tcPr>
          <w:p>
            <w:pPr>
              <w:adjustRightInd w:val="0"/>
              <w:snapToGrid w:val="0"/>
              <w:spacing w:line="300" w:lineRule="auto"/>
              <w:jc w:val="center"/>
              <w:rPr>
                <w:color w:val="auto"/>
                <w:szCs w:val="21"/>
              </w:rPr>
            </w:pPr>
            <w:r>
              <w:rPr>
                <w:color w:val="auto"/>
                <w:szCs w:val="21"/>
              </w:rPr>
              <w:t>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 w:type="dxa"/>
            <w:vMerge w:val="continue"/>
            <w:vAlign w:val="center"/>
          </w:tcPr>
          <w:p>
            <w:pPr>
              <w:adjustRightInd w:val="0"/>
              <w:snapToGrid w:val="0"/>
              <w:spacing w:line="300" w:lineRule="auto"/>
              <w:jc w:val="center"/>
              <w:rPr>
                <w:color w:val="auto"/>
                <w:szCs w:val="21"/>
              </w:rPr>
            </w:pPr>
          </w:p>
        </w:tc>
        <w:tc>
          <w:tcPr>
            <w:tcW w:w="1132" w:type="dxa"/>
            <w:vMerge w:val="continue"/>
            <w:vAlign w:val="center"/>
          </w:tcPr>
          <w:p>
            <w:pPr>
              <w:adjustRightInd w:val="0"/>
              <w:snapToGrid w:val="0"/>
              <w:spacing w:line="300" w:lineRule="auto"/>
              <w:jc w:val="center"/>
              <w:rPr>
                <w:color w:val="auto"/>
                <w:szCs w:val="21"/>
              </w:rPr>
            </w:pPr>
          </w:p>
        </w:tc>
        <w:tc>
          <w:tcPr>
            <w:tcW w:w="905" w:type="dxa"/>
            <w:vMerge w:val="continue"/>
            <w:vAlign w:val="center"/>
          </w:tcPr>
          <w:p>
            <w:pPr>
              <w:adjustRightInd w:val="0"/>
              <w:snapToGrid w:val="0"/>
              <w:spacing w:line="300" w:lineRule="auto"/>
              <w:jc w:val="center"/>
              <w:rPr>
                <w:color w:val="auto"/>
                <w:szCs w:val="21"/>
              </w:rPr>
            </w:pPr>
          </w:p>
        </w:tc>
        <w:tc>
          <w:tcPr>
            <w:tcW w:w="1134" w:type="dxa"/>
            <w:vAlign w:val="center"/>
          </w:tcPr>
          <w:p>
            <w:pPr>
              <w:adjustRightInd w:val="0"/>
              <w:snapToGrid w:val="0"/>
              <w:spacing w:line="300" w:lineRule="auto"/>
              <w:jc w:val="center"/>
              <w:rPr>
                <w:color w:val="auto"/>
                <w:szCs w:val="21"/>
              </w:rPr>
            </w:pPr>
            <w:r>
              <w:rPr>
                <w:color w:val="auto"/>
                <w:szCs w:val="21"/>
              </w:rPr>
              <w:t>经度</w:t>
            </w:r>
          </w:p>
        </w:tc>
        <w:tc>
          <w:tcPr>
            <w:tcW w:w="1077" w:type="dxa"/>
            <w:vAlign w:val="center"/>
          </w:tcPr>
          <w:p>
            <w:pPr>
              <w:adjustRightInd w:val="0"/>
              <w:snapToGrid w:val="0"/>
              <w:spacing w:line="300" w:lineRule="auto"/>
              <w:jc w:val="center"/>
              <w:rPr>
                <w:color w:val="auto"/>
                <w:szCs w:val="21"/>
              </w:rPr>
            </w:pPr>
            <w:r>
              <w:rPr>
                <w:color w:val="auto"/>
                <w:szCs w:val="21"/>
              </w:rPr>
              <w:t>纬度</w:t>
            </w:r>
          </w:p>
        </w:tc>
        <w:tc>
          <w:tcPr>
            <w:tcW w:w="1105" w:type="dxa"/>
            <w:vMerge w:val="continue"/>
            <w:vAlign w:val="center"/>
          </w:tcPr>
          <w:p>
            <w:pPr>
              <w:adjustRightInd w:val="0"/>
              <w:snapToGrid w:val="0"/>
              <w:spacing w:line="300" w:lineRule="auto"/>
              <w:jc w:val="center"/>
              <w:rPr>
                <w:color w:val="auto"/>
                <w:szCs w:val="21"/>
              </w:rPr>
            </w:pPr>
          </w:p>
        </w:tc>
        <w:tc>
          <w:tcPr>
            <w:tcW w:w="831" w:type="dxa"/>
            <w:vMerge w:val="continue"/>
            <w:vAlign w:val="center"/>
          </w:tcPr>
          <w:p>
            <w:pPr>
              <w:adjustRightInd w:val="0"/>
              <w:snapToGrid w:val="0"/>
              <w:spacing w:line="300" w:lineRule="auto"/>
              <w:jc w:val="center"/>
              <w:rPr>
                <w:color w:val="auto"/>
                <w:szCs w:val="21"/>
              </w:rPr>
            </w:pPr>
          </w:p>
        </w:tc>
        <w:tc>
          <w:tcPr>
            <w:tcW w:w="1859" w:type="dxa"/>
            <w:vMerge w:val="continue"/>
            <w:vAlign w:val="center"/>
          </w:tcPr>
          <w:p>
            <w:pPr>
              <w:adjustRightInd w:val="0"/>
              <w:snapToGrid w:val="0"/>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5" w:type="dxa"/>
            <w:vAlign w:val="center"/>
          </w:tcPr>
          <w:p>
            <w:pPr>
              <w:adjustRightInd w:val="0"/>
              <w:snapToGrid w:val="0"/>
              <w:spacing w:line="300" w:lineRule="auto"/>
              <w:jc w:val="center"/>
              <w:rPr>
                <w:color w:val="auto"/>
                <w:szCs w:val="21"/>
              </w:rPr>
            </w:pPr>
            <w:r>
              <w:rPr>
                <w:color w:val="auto"/>
                <w:szCs w:val="21"/>
              </w:rPr>
              <w:t>清远</w:t>
            </w:r>
          </w:p>
        </w:tc>
        <w:tc>
          <w:tcPr>
            <w:tcW w:w="1132" w:type="dxa"/>
            <w:vAlign w:val="center"/>
          </w:tcPr>
          <w:p>
            <w:pPr>
              <w:adjustRightInd w:val="0"/>
              <w:snapToGrid w:val="0"/>
              <w:spacing w:line="300" w:lineRule="auto"/>
              <w:jc w:val="center"/>
              <w:rPr>
                <w:color w:val="auto"/>
                <w:szCs w:val="21"/>
              </w:rPr>
            </w:pPr>
            <w:r>
              <w:rPr>
                <w:color w:val="auto"/>
                <w:szCs w:val="21"/>
              </w:rPr>
              <w:t>59280</w:t>
            </w:r>
          </w:p>
        </w:tc>
        <w:tc>
          <w:tcPr>
            <w:tcW w:w="905" w:type="dxa"/>
            <w:vAlign w:val="center"/>
          </w:tcPr>
          <w:p>
            <w:pPr>
              <w:adjustRightInd w:val="0"/>
              <w:snapToGrid w:val="0"/>
              <w:spacing w:line="300" w:lineRule="auto"/>
              <w:jc w:val="center"/>
              <w:rPr>
                <w:color w:val="auto"/>
                <w:szCs w:val="21"/>
              </w:rPr>
            </w:pPr>
            <w:r>
              <w:rPr>
                <w:color w:val="auto"/>
                <w:szCs w:val="21"/>
              </w:rPr>
              <w:t>基本站</w:t>
            </w:r>
          </w:p>
        </w:tc>
        <w:tc>
          <w:tcPr>
            <w:tcW w:w="1134" w:type="dxa"/>
            <w:vAlign w:val="center"/>
          </w:tcPr>
          <w:p>
            <w:pPr>
              <w:adjustRightInd w:val="0"/>
              <w:snapToGrid w:val="0"/>
              <w:spacing w:line="300" w:lineRule="auto"/>
              <w:jc w:val="center"/>
              <w:rPr>
                <w:color w:val="auto"/>
                <w:szCs w:val="21"/>
              </w:rPr>
            </w:pPr>
            <w:r>
              <w:rPr>
                <w:color w:val="auto"/>
                <w:szCs w:val="21"/>
              </w:rPr>
              <w:t xml:space="preserve">113.08334 </w:t>
            </w:r>
          </w:p>
        </w:tc>
        <w:tc>
          <w:tcPr>
            <w:tcW w:w="1077" w:type="dxa"/>
            <w:vAlign w:val="center"/>
          </w:tcPr>
          <w:p>
            <w:pPr>
              <w:adjustRightInd w:val="0"/>
              <w:snapToGrid w:val="0"/>
              <w:spacing w:line="300" w:lineRule="auto"/>
              <w:jc w:val="center"/>
              <w:rPr>
                <w:color w:val="auto"/>
                <w:szCs w:val="21"/>
              </w:rPr>
            </w:pPr>
            <w:r>
              <w:rPr>
                <w:color w:val="auto"/>
                <w:szCs w:val="21"/>
              </w:rPr>
              <w:t>23.71667</w:t>
            </w:r>
          </w:p>
        </w:tc>
        <w:tc>
          <w:tcPr>
            <w:tcW w:w="1105" w:type="dxa"/>
            <w:vAlign w:val="center"/>
          </w:tcPr>
          <w:p>
            <w:pPr>
              <w:adjustRightInd w:val="0"/>
              <w:snapToGrid w:val="0"/>
              <w:spacing w:line="300" w:lineRule="auto"/>
              <w:jc w:val="center"/>
              <w:rPr>
                <w:color w:val="auto"/>
                <w:szCs w:val="21"/>
              </w:rPr>
            </w:pPr>
            <w:r>
              <w:rPr>
                <w:color w:val="auto"/>
                <w:szCs w:val="21"/>
              </w:rPr>
              <w:t>79.2</w:t>
            </w:r>
          </w:p>
        </w:tc>
        <w:tc>
          <w:tcPr>
            <w:tcW w:w="831" w:type="dxa"/>
            <w:vAlign w:val="center"/>
          </w:tcPr>
          <w:p>
            <w:pPr>
              <w:adjustRightInd w:val="0"/>
              <w:snapToGrid w:val="0"/>
              <w:spacing w:line="300" w:lineRule="auto"/>
              <w:jc w:val="center"/>
              <w:rPr>
                <w:color w:val="auto"/>
                <w:szCs w:val="21"/>
              </w:rPr>
            </w:pPr>
            <w:r>
              <w:rPr>
                <w:color w:val="auto"/>
                <w:szCs w:val="21"/>
              </w:rPr>
              <w:t>201</w:t>
            </w:r>
            <w:r>
              <w:rPr>
                <w:rFonts w:hint="eastAsia"/>
                <w:color w:val="auto"/>
                <w:szCs w:val="21"/>
              </w:rPr>
              <w:t>9</w:t>
            </w:r>
          </w:p>
        </w:tc>
        <w:tc>
          <w:tcPr>
            <w:tcW w:w="1859" w:type="dxa"/>
            <w:vAlign w:val="center"/>
          </w:tcPr>
          <w:p>
            <w:pPr>
              <w:adjustRightInd w:val="0"/>
              <w:snapToGrid w:val="0"/>
              <w:spacing w:line="300" w:lineRule="auto"/>
              <w:jc w:val="center"/>
              <w:rPr>
                <w:color w:val="auto"/>
                <w:szCs w:val="21"/>
              </w:rPr>
            </w:pPr>
            <w:r>
              <w:rPr>
                <w:color w:val="auto"/>
                <w:szCs w:val="21"/>
              </w:rPr>
              <w:t>风速、风向、总云量、干球温度等</w:t>
            </w:r>
          </w:p>
        </w:tc>
      </w:tr>
    </w:tbl>
    <w:p>
      <w:pPr>
        <w:adjustRightInd w:val="0"/>
        <w:snapToGrid w:val="0"/>
        <w:spacing w:line="360" w:lineRule="auto"/>
        <w:jc w:val="center"/>
        <w:rPr>
          <w:color w:val="auto"/>
        </w:rPr>
      </w:pPr>
    </w:p>
    <w:p>
      <w:pPr>
        <w:adjustRightInd w:val="0"/>
        <w:snapToGrid w:val="0"/>
        <w:spacing w:line="360" w:lineRule="auto"/>
        <w:jc w:val="center"/>
        <w:rPr>
          <w:b/>
          <w:bCs/>
          <w:color w:val="auto"/>
          <w:szCs w:val="21"/>
        </w:rPr>
      </w:pPr>
      <w:r>
        <w:rPr>
          <w:b/>
          <w:bCs/>
          <w:color w:val="auto"/>
          <w:szCs w:val="21"/>
        </w:rPr>
        <w:t>表6.</w:t>
      </w:r>
      <w:r>
        <w:rPr>
          <w:rFonts w:hint="eastAsia"/>
          <w:b/>
          <w:bCs/>
          <w:color w:val="auto"/>
          <w:szCs w:val="21"/>
        </w:rPr>
        <w:t xml:space="preserve">4-2  </w:t>
      </w:r>
      <w:r>
        <w:rPr>
          <w:b/>
          <w:bCs/>
          <w:color w:val="auto"/>
          <w:szCs w:val="21"/>
        </w:rPr>
        <w:t>模拟气象数据信息</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3"/>
        <w:gridCol w:w="1395"/>
        <w:gridCol w:w="972"/>
        <w:gridCol w:w="2813"/>
        <w:gridCol w:w="2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2928" w:type="dxa"/>
            <w:gridSpan w:val="2"/>
            <w:vAlign w:val="center"/>
          </w:tcPr>
          <w:p>
            <w:pPr>
              <w:adjustRightInd w:val="0"/>
              <w:snapToGrid w:val="0"/>
              <w:spacing w:line="300" w:lineRule="auto"/>
              <w:jc w:val="center"/>
              <w:rPr>
                <w:color w:val="auto"/>
                <w:szCs w:val="21"/>
              </w:rPr>
            </w:pPr>
            <w:r>
              <w:rPr>
                <w:color w:val="auto"/>
                <w:szCs w:val="21"/>
              </w:rPr>
              <w:t>模拟点中心点坐标（°）</w:t>
            </w:r>
          </w:p>
        </w:tc>
        <w:tc>
          <w:tcPr>
            <w:tcW w:w="972" w:type="dxa"/>
            <w:vMerge w:val="restart"/>
            <w:vAlign w:val="center"/>
          </w:tcPr>
          <w:p>
            <w:pPr>
              <w:adjustRightInd w:val="0"/>
              <w:snapToGrid w:val="0"/>
              <w:spacing w:line="300" w:lineRule="auto"/>
              <w:jc w:val="center"/>
              <w:rPr>
                <w:color w:val="auto"/>
                <w:szCs w:val="21"/>
              </w:rPr>
            </w:pPr>
            <w:r>
              <w:rPr>
                <w:color w:val="auto"/>
                <w:szCs w:val="21"/>
              </w:rPr>
              <w:t>数据</w:t>
            </w:r>
          </w:p>
          <w:p>
            <w:pPr>
              <w:adjustRightInd w:val="0"/>
              <w:snapToGrid w:val="0"/>
              <w:spacing w:line="300" w:lineRule="auto"/>
              <w:jc w:val="center"/>
              <w:rPr>
                <w:color w:val="auto"/>
                <w:szCs w:val="21"/>
              </w:rPr>
            </w:pPr>
            <w:r>
              <w:rPr>
                <w:color w:val="auto"/>
                <w:szCs w:val="21"/>
              </w:rPr>
              <w:t>年份</w:t>
            </w:r>
          </w:p>
        </w:tc>
        <w:tc>
          <w:tcPr>
            <w:tcW w:w="2813" w:type="dxa"/>
            <w:vMerge w:val="restart"/>
            <w:vAlign w:val="center"/>
          </w:tcPr>
          <w:p>
            <w:pPr>
              <w:adjustRightInd w:val="0"/>
              <w:snapToGrid w:val="0"/>
              <w:spacing w:line="300" w:lineRule="auto"/>
              <w:jc w:val="center"/>
              <w:rPr>
                <w:color w:val="auto"/>
                <w:szCs w:val="21"/>
              </w:rPr>
            </w:pPr>
            <w:r>
              <w:rPr>
                <w:color w:val="auto"/>
                <w:szCs w:val="21"/>
              </w:rPr>
              <w:t>模拟气象要素</w:t>
            </w:r>
          </w:p>
        </w:tc>
        <w:tc>
          <w:tcPr>
            <w:tcW w:w="2235" w:type="dxa"/>
            <w:vMerge w:val="restart"/>
            <w:vAlign w:val="center"/>
          </w:tcPr>
          <w:p>
            <w:pPr>
              <w:adjustRightInd w:val="0"/>
              <w:snapToGrid w:val="0"/>
              <w:spacing w:line="300" w:lineRule="auto"/>
              <w:jc w:val="center"/>
              <w:rPr>
                <w:color w:val="auto"/>
                <w:szCs w:val="21"/>
              </w:rPr>
            </w:pPr>
            <w:r>
              <w:rPr>
                <w:color w:val="auto"/>
                <w:szCs w:val="21"/>
              </w:rPr>
              <w:t>模拟方式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533" w:type="dxa"/>
            <w:vAlign w:val="center"/>
          </w:tcPr>
          <w:p>
            <w:pPr>
              <w:adjustRightInd w:val="0"/>
              <w:snapToGrid w:val="0"/>
              <w:spacing w:line="300" w:lineRule="auto"/>
              <w:jc w:val="center"/>
              <w:rPr>
                <w:color w:val="auto"/>
                <w:szCs w:val="21"/>
              </w:rPr>
            </w:pPr>
            <w:r>
              <w:rPr>
                <w:color w:val="auto"/>
                <w:szCs w:val="21"/>
              </w:rPr>
              <w:t>经度</w:t>
            </w:r>
          </w:p>
        </w:tc>
        <w:tc>
          <w:tcPr>
            <w:tcW w:w="1395" w:type="dxa"/>
            <w:vAlign w:val="center"/>
          </w:tcPr>
          <w:p>
            <w:pPr>
              <w:adjustRightInd w:val="0"/>
              <w:snapToGrid w:val="0"/>
              <w:spacing w:line="300" w:lineRule="auto"/>
              <w:jc w:val="center"/>
              <w:rPr>
                <w:color w:val="auto"/>
                <w:szCs w:val="21"/>
              </w:rPr>
            </w:pPr>
            <w:r>
              <w:rPr>
                <w:color w:val="auto"/>
                <w:szCs w:val="21"/>
              </w:rPr>
              <w:t>纬度</w:t>
            </w:r>
          </w:p>
        </w:tc>
        <w:tc>
          <w:tcPr>
            <w:tcW w:w="972" w:type="dxa"/>
            <w:vMerge w:val="continue"/>
            <w:vAlign w:val="center"/>
          </w:tcPr>
          <w:p>
            <w:pPr>
              <w:adjustRightInd w:val="0"/>
              <w:snapToGrid w:val="0"/>
              <w:spacing w:line="300" w:lineRule="auto"/>
              <w:jc w:val="center"/>
              <w:rPr>
                <w:color w:val="auto"/>
                <w:szCs w:val="21"/>
              </w:rPr>
            </w:pPr>
          </w:p>
        </w:tc>
        <w:tc>
          <w:tcPr>
            <w:tcW w:w="2813" w:type="dxa"/>
            <w:vMerge w:val="continue"/>
            <w:vAlign w:val="center"/>
          </w:tcPr>
          <w:p>
            <w:pPr>
              <w:adjustRightInd w:val="0"/>
              <w:snapToGrid w:val="0"/>
              <w:spacing w:line="300" w:lineRule="auto"/>
              <w:jc w:val="center"/>
              <w:rPr>
                <w:color w:val="auto"/>
                <w:szCs w:val="21"/>
              </w:rPr>
            </w:pPr>
          </w:p>
        </w:tc>
        <w:tc>
          <w:tcPr>
            <w:tcW w:w="2235" w:type="dxa"/>
            <w:vMerge w:val="continue"/>
            <w:vAlign w:val="center"/>
          </w:tcPr>
          <w:p>
            <w:pPr>
              <w:adjustRightInd w:val="0"/>
              <w:snapToGrid w:val="0"/>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3" w:type="dxa"/>
            <w:vAlign w:val="center"/>
          </w:tcPr>
          <w:p>
            <w:pPr>
              <w:adjustRightInd w:val="0"/>
              <w:snapToGrid w:val="0"/>
              <w:spacing w:line="300" w:lineRule="auto"/>
              <w:jc w:val="center"/>
              <w:rPr>
                <w:color w:val="auto"/>
                <w:szCs w:val="21"/>
              </w:rPr>
            </w:pPr>
            <w:r>
              <w:rPr>
                <w:color w:val="auto"/>
              </w:rPr>
              <w:t>112.85000</w:t>
            </w:r>
          </w:p>
        </w:tc>
        <w:tc>
          <w:tcPr>
            <w:tcW w:w="1395" w:type="dxa"/>
            <w:vAlign w:val="center"/>
          </w:tcPr>
          <w:p>
            <w:pPr>
              <w:adjustRightInd w:val="0"/>
              <w:snapToGrid w:val="0"/>
              <w:spacing w:line="300" w:lineRule="auto"/>
              <w:jc w:val="center"/>
              <w:rPr>
                <w:color w:val="auto"/>
                <w:szCs w:val="21"/>
              </w:rPr>
            </w:pPr>
            <w:r>
              <w:rPr>
                <w:color w:val="auto"/>
              </w:rPr>
              <w:t>23.40450</w:t>
            </w:r>
          </w:p>
        </w:tc>
        <w:tc>
          <w:tcPr>
            <w:tcW w:w="972" w:type="dxa"/>
            <w:vAlign w:val="center"/>
          </w:tcPr>
          <w:p>
            <w:pPr>
              <w:adjustRightInd w:val="0"/>
              <w:snapToGrid w:val="0"/>
              <w:spacing w:line="300" w:lineRule="auto"/>
              <w:jc w:val="center"/>
              <w:rPr>
                <w:color w:val="auto"/>
                <w:szCs w:val="21"/>
              </w:rPr>
            </w:pPr>
            <w:r>
              <w:rPr>
                <w:color w:val="auto"/>
                <w:szCs w:val="21"/>
              </w:rPr>
              <w:t>201</w:t>
            </w:r>
            <w:r>
              <w:rPr>
                <w:rFonts w:hint="eastAsia"/>
                <w:color w:val="auto"/>
                <w:szCs w:val="21"/>
              </w:rPr>
              <w:t>9</w:t>
            </w:r>
          </w:p>
        </w:tc>
        <w:tc>
          <w:tcPr>
            <w:tcW w:w="2813" w:type="dxa"/>
            <w:vAlign w:val="center"/>
          </w:tcPr>
          <w:p>
            <w:pPr>
              <w:adjustRightInd w:val="0"/>
              <w:snapToGrid w:val="0"/>
              <w:spacing w:line="300" w:lineRule="auto"/>
              <w:jc w:val="center"/>
              <w:rPr>
                <w:color w:val="auto"/>
                <w:szCs w:val="21"/>
              </w:rPr>
            </w:pPr>
            <w:r>
              <w:rPr>
                <w:color w:val="auto"/>
                <w:szCs w:val="21"/>
              </w:rPr>
              <w:t>大气压、距地面高度、干球温度、露点温度、风向偏北度数、风速</w:t>
            </w:r>
          </w:p>
        </w:tc>
        <w:tc>
          <w:tcPr>
            <w:tcW w:w="2235" w:type="dxa"/>
            <w:vAlign w:val="center"/>
          </w:tcPr>
          <w:p>
            <w:pPr>
              <w:adjustRightInd w:val="0"/>
              <w:snapToGrid w:val="0"/>
              <w:spacing w:line="300" w:lineRule="auto"/>
              <w:jc w:val="center"/>
              <w:rPr>
                <w:color w:val="auto"/>
                <w:szCs w:val="21"/>
              </w:rPr>
            </w:pPr>
            <w:r>
              <w:rPr>
                <w:color w:val="auto"/>
                <w:szCs w:val="21"/>
              </w:rPr>
              <w:t>采用大气环境影响评价数值模式WRF模拟生成</w:t>
            </w:r>
          </w:p>
        </w:tc>
      </w:tr>
    </w:tbl>
    <w:p>
      <w:pPr>
        <w:spacing w:line="360" w:lineRule="auto"/>
        <w:rPr>
          <w:b/>
          <w:bCs/>
          <w:color w:val="auto"/>
        </w:rPr>
      </w:pPr>
      <w:r>
        <w:rPr>
          <w:rFonts w:hint="eastAsia"/>
          <w:b/>
          <w:bCs/>
          <w:color w:val="auto"/>
        </w:rPr>
        <w:t>2</w:t>
      </w:r>
      <w:r>
        <w:rPr>
          <w:b/>
          <w:bCs/>
          <w:color w:val="auto"/>
        </w:rPr>
        <w:t>、近二十年气象数据</w:t>
      </w:r>
    </w:p>
    <w:p>
      <w:pPr>
        <w:autoSpaceDE w:val="0"/>
        <w:autoSpaceDN w:val="0"/>
        <w:adjustRightInd w:val="0"/>
        <w:spacing w:line="360" w:lineRule="auto"/>
        <w:rPr>
          <w:color w:val="auto"/>
          <w:kern w:val="0"/>
          <w:sz w:val="24"/>
          <w:lang w:val="zh-CN"/>
        </w:rPr>
      </w:pPr>
      <w:r>
        <w:rPr>
          <w:color w:val="auto"/>
          <w:kern w:val="0"/>
          <w:sz w:val="24"/>
          <w:lang w:val="zh-CN"/>
        </w:rPr>
        <w:t>（</w:t>
      </w:r>
      <w:r>
        <w:rPr>
          <w:color w:val="auto"/>
          <w:kern w:val="0"/>
          <w:sz w:val="24"/>
        </w:rPr>
        <w:t>1</w:t>
      </w:r>
      <w:r>
        <w:rPr>
          <w:color w:val="auto"/>
          <w:kern w:val="0"/>
          <w:sz w:val="24"/>
          <w:lang w:val="zh-CN"/>
        </w:rPr>
        <w:t>）气象概况</w:t>
      </w:r>
    </w:p>
    <w:p>
      <w:pPr>
        <w:autoSpaceDE w:val="0"/>
        <w:autoSpaceDN w:val="0"/>
        <w:adjustRightInd w:val="0"/>
        <w:spacing w:line="360" w:lineRule="auto"/>
        <w:ind w:firstLine="480" w:firstLineChars="200"/>
        <w:rPr>
          <w:color w:val="auto"/>
          <w:kern w:val="0"/>
          <w:sz w:val="24"/>
          <w:lang w:val="zh-CN"/>
        </w:rPr>
      </w:pPr>
      <w:r>
        <w:rPr>
          <w:color w:val="auto"/>
          <w:kern w:val="0"/>
          <w:sz w:val="24"/>
          <w:lang w:val="zh-CN"/>
        </w:rPr>
        <w:t>根据清远市气象站近 20 年（199</w:t>
      </w:r>
      <w:r>
        <w:rPr>
          <w:rFonts w:hint="eastAsia"/>
          <w:color w:val="auto"/>
          <w:kern w:val="0"/>
          <w:sz w:val="24"/>
        </w:rPr>
        <w:t>9</w:t>
      </w:r>
      <w:r>
        <w:rPr>
          <w:color w:val="auto"/>
          <w:kern w:val="0"/>
          <w:sz w:val="24"/>
          <w:lang w:val="zh-CN"/>
        </w:rPr>
        <w:t>年-201</w:t>
      </w:r>
      <w:r>
        <w:rPr>
          <w:rFonts w:hint="eastAsia"/>
          <w:color w:val="auto"/>
          <w:kern w:val="0"/>
          <w:sz w:val="24"/>
        </w:rPr>
        <w:t>9</w:t>
      </w:r>
      <w:r>
        <w:rPr>
          <w:color w:val="auto"/>
          <w:kern w:val="0"/>
          <w:sz w:val="24"/>
          <w:lang w:val="zh-CN"/>
        </w:rPr>
        <w:t>年）的气象资料统计，基本气象概况见下表。</w:t>
      </w:r>
    </w:p>
    <w:p>
      <w:pPr>
        <w:widowControl/>
        <w:spacing w:line="360" w:lineRule="auto"/>
        <w:jc w:val="center"/>
        <w:rPr>
          <w:b/>
          <w:bCs/>
          <w:color w:val="auto"/>
          <w:szCs w:val="28"/>
        </w:rPr>
      </w:pPr>
      <w:r>
        <w:rPr>
          <w:b/>
          <w:bCs/>
          <w:color w:val="auto"/>
          <w:szCs w:val="28"/>
        </w:rPr>
        <w:t>表</w:t>
      </w:r>
      <w:r>
        <w:rPr>
          <w:b/>
          <w:bCs/>
          <w:color w:val="auto"/>
          <w:szCs w:val="21"/>
        </w:rPr>
        <w:t>6.</w:t>
      </w:r>
      <w:r>
        <w:rPr>
          <w:rFonts w:hint="eastAsia"/>
          <w:b/>
          <w:bCs/>
          <w:color w:val="auto"/>
          <w:szCs w:val="21"/>
        </w:rPr>
        <w:t xml:space="preserve">4-3  </w:t>
      </w:r>
      <w:r>
        <w:rPr>
          <w:b/>
          <w:bCs/>
          <w:color w:val="auto"/>
          <w:szCs w:val="28"/>
        </w:rPr>
        <w:t>近20年的主要气候资料统计表</w:t>
      </w:r>
    </w:p>
    <w:tbl>
      <w:tblPr>
        <w:tblStyle w:val="23"/>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71"/>
        <w:gridCol w:w="1241"/>
        <w:gridCol w:w="2086"/>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71" w:type="dxa"/>
            <w:vAlign w:val="center"/>
          </w:tcPr>
          <w:p>
            <w:pPr>
              <w:widowControl/>
              <w:spacing w:line="300" w:lineRule="auto"/>
              <w:jc w:val="center"/>
              <w:rPr>
                <w:bCs/>
                <w:color w:val="auto"/>
                <w:kern w:val="0"/>
                <w:szCs w:val="21"/>
              </w:rPr>
            </w:pPr>
            <w:r>
              <w:rPr>
                <w:bCs/>
                <w:color w:val="auto"/>
                <w:kern w:val="0"/>
                <w:szCs w:val="21"/>
              </w:rPr>
              <w:t>统计项目</w:t>
            </w:r>
          </w:p>
        </w:tc>
        <w:tc>
          <w:tcPr>
            <w:tcW w:w="1241" w:type="dxa"/>
            <w:vAlign w:val="center"/>
          </w:tcPr>
          <w:p>
            <w:pPr>
              <w:widowControl/>
              <w:spacing w:line="300" w:lineRule="auto"/>
              <w:jc w:val="center"/>
              <w:rPr>
                <w:bCs/>
                <w:color w:val="auto"/>
                <w:kern w:val="0"/>
                <w:szCs w:val="21"/>
              </w:rPr>
            </w:pPr>
            <w:r>
              <w:rPr>
                <w:bCs/>
                <w:color w:val="auto"/>
                <w:kern w:val="0"/>
                <w:szCs w:val="21"/>
              </w:rPr>
              <w:t>统计值</w:t>
            </w:r>
          </w:p>
        </w:tc>
        <w:tc>
          <w:tcPr>
            <w:tcW w:w="2086" w:type="dxa"/>
            <w:vAlign w:val="center"/>
          </w:tcPr>
          <w:p>
            <w:pPr>
              <w:widowControl/>
              <w:spacing w:line="300" w:lineRule="auto"/>
              <w:jc w:val="center"/>
              <w:rPr>
                <w:bCs/>
                <w:color w:val="auto"/>
                <w:kern w:val="0"/>
                <w:szCs w:val="21"/>
              </w:rPr>
            </w:pPr>
            <w:r>
              <w:rPr>
                <w:bCs/>
                <w:color w:val="auto"/>
                <w:kern w:val="0"/>
                <w:szCs w:val="21"/>
              </w:rPr>
              <w:t>极值出现时间</w:t>
            </w:r>
          </w:p>
        </w:tc>
        <w:tc>
          <w:tcPr>
            <w:tcW w:w="1522" w:type="dxa"/>
            <w:vAlign w:val="center"/>
          </w:tcPr>
          <w:p>
            <w:pPr>
              <w:widowControl/>
              <w:spacing w:line="300" w:lineRule="auto"/>
              <w:jc w:val="center"/>
              <w:rPr>
                <w:bCs/>
                <w:color w:val="auto"/>
                <w:kern w:val="0"/>
                <w:szCs w:val="21"/>
              </w:rPr>
            </w:pPr>
            <w:r>
              <w:rPr>
                <w:bCs/>
                <w:color w:val="auto"/>
                <w:kern w:val="0"/>
                <w:szCs w:val="21"/>
              </w:rPr>
              <w:t>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多年平均气温</w:t>
            </w:r>
          </w:p>
        </w:tc>
        <w:tc>
          <w:tcPr>
            <w:tcW w:w="1241" w:type="dxa"/>
            <w:vAlign w:val="center"/>
          </w:tcPr>
          <w:p>
            <w:pPr>
              <w:widowControl/>
              <w:spacing w:line="300" w:lineRule="auto"/>
              <w:jc w:val="center"/>
              <w:rPr>
                <w:bCs/>
                <w:color w:val="auto"/>
                <w:kern w:val="0"/>
                <w:szCs w:val="21"/>
              </w:rPr>
            </w:pPr>
            <w:r>
              <w:rPr>
                <w:bCs/>
                <w:color w:val="auto"/>
                <w:kern w:val="0"/>
                <w:szCs w:val="21"/>
              </w:rPr>
              <w:t>22.6</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累年极端最高气温（℃）</w:t>
            </w:r>
          </w:p>
        </w:tc>
        <w:tc>
          <w:tcPr>
            <w:tcW w:w="1241" w:type="dxa"/>
            <w:vAlign w:val="center"/>
          </w:tcPr>
          <w:p>
            <w:pPr>
              <w:widowControl/>
              <w:spacing w:line="300" w:lineRule="auto"/>
              <w:jc w:val="center"/>
              <w:rPr>
                <w:bCs/>
                <w:color w:val="auto"/>
                <w:kern w:val="0"/>
                <w:szCs w:val="21"/>
              </w:rPr>
            </w:pPr>
            <w:r>
              <w:rPr>
                <w:bCs/>
                <w:color w:val="auto"/>
                <w:kern w:val="0"/>
                <w:szCs w:val="21"/>
              </w:rPr>
              <w:t>37.5</w:t>
            </w:r>
          </w:p>
        </w:tc>
        <w:tc>
          <w:tcPr>
            <w:tcW w:w="2086" w:type="dxa"/>
            <w:vAlign w:val="center"/>
          </w:tcPr>
          <w:p>
            <w:pPr>
              <w:widowControl/>
              <w:spacing w:line="300" w:lineRule="auto"/>
              <w:jc w:val="center"/>
              <w:rPr>
                <w:bCs/>
                <w:color w:val="auto"/>
                <w:kern w:val="0"/>
                <w:szCs w:val="21"/>
              </w:rPr>
            </w:pPr>
            <w:r>
              <w:rPr>
                <w:bCs/>
                <w:color w:val="auto"/>
                <w:kern w:val="0"/>
                <w:szCs w:val="21"/>
              </w:rPr>
              <w:t>2008年7月28日</w:t>
            </w:r>
          </w:p>
        </w:tc>
        <w:tc>
          <w:tcPr>
            <w:tcW w:w="1522" w:type="dxa"/>
            <w:vAlign w:val="center"/>
          </w:tcPr>
          <w:p>
            <w:pPr>
              <w:widowControl/>
              <w:spacing w:line="300" w:lineRule="auto"/>
              <w:jc w:val="center"/>
              <w:rPr>
                <w:bCs/>
                <w:color w:val="auto"/>
                <w:kern w:val="0"/>
                <w:szCs w:val="21"/>
              </w:rPr>
            </w:pPr>
            <w:r>
              <w:rPr>
                <w:bCs/>
                <w:color w:val="auto"/>
                <w:kern w:val="0"/>
                <w:szCs w:val="21"/>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累年极端最低气温（℃）</w:t>
            </w:r>
          </w:p>
        </w:tc>
        <w:tc>
          <w:tcPr>
            <w:tcW w:w="1241" w:type="dxa"/>
            <w:vAlign w:val="center"/>
          </w:tcPr>
          <w:p>
            <w:pPr>
              <w:widowControl/>
              <w:spacing w:line="300" w:lineRule="auto"/>
              <w:jc w:val="center"/>
              <w:rPr>
                <w:bCs/>
                <w:color w:val="auto"/>
                <w:kern w:val="0"/>
                <w:szCs w:val="21"/>
              </w:rPr>
            </w:pPr>
            <w:r>
              <w:rPr>
                <w:bCs/>
                <w:color w:val="auto"/>
                <w:kern w:val="0"/>
                <w:szCs w:val="21"/>
              </w:rPr>
              <w:t>3.6</w:t>
            </w:r>
          </w:p>
        </w:tc>
        <w:tc>
          <w:tcPr>
            <w:tcW w:w="2086" w:type="dxa"/>
            <w:vAlign w:val="center"/>
          </w:tcPr>
          <w:p>
            <w:pPr>
              <w:widowControl/>
              <w:spacing w:line="300" w:lineRule="auto"/>
              <w:jc w:val="center"/>
              <w:rPr>
                <w:bCs/>
                <w:color w:val="auto"/>
                <w:kern w:val="0"/>
                <w:szCs w:val="21"/>
              </w:rPr>
            </w:pPr>
            <w:r>
              <w:rPr>
                <w:bCs/>
                <w:color w:val="auto"/>
                <w:kern w:val="0"/>
                <w:szCs w:val="21"/>
              </w:rPr>
              <w:t>2016年01月25日</w:t>
            </w:r>
          </w:p>
        </w:tc>
        <w:tc>
          <w:tcPr>
            <w:tcW w:w="1522" w:type="dxa"/>
            <w:vAlign w:val="center"/>
          </w:tcPr>
          <w:p>
            <w:pPr>
              <w:widowControl/>
              <w:spacing w:line="300" w:lineRule="auto"/>
              <w:jc w:val="center"/>
              <w:rPr>
                <w:bCs/>
                <w:color w:val="auto"/>
                <w:kern w:val="0"/>
                <w:szCs w:val="21"/>
              </w:rPr>
            </w:pPr>
            <w:r>
              <w:rPr>
                <w:bCs/>
                <w:color w:val="auto"/>
                <w:kern w:val="0"/>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多年平均气压（hPa）</w:t>
            </w:r>
          </w:p>
        </w:tc>
        <w:tc>
          <w:tcPr>
            <w:tcW w:w="1241" w:type="dxa"/>
            <w:vAlign w:val="center"/>
          </w:tcPr>
          <w:p>
            <w:pPr>
              <w:widowControl/>
              <w:spacing w:line="300" w:lineRule="auto"/>
              <w:jc w:val="center"/>
              <w:rPr>
                <w:bCs/>
                <w:color w:val="auto"/>
                <w:kern w:val="0"/>
                <w:szCs w:val="21"/>
              </w:rPr>
            </w:pPr>
            <w:r>
              <w:rPr>
                <w:bCs/>
                <w:color w:val="auto"/>
                <w:kern w:val="0"/>
                <w:szCs w:val="21"/>
              </w:rPr>
              <w:t>1008.2</w:t>
            </w:r>
          </w:p>
        </w:tc>
        <w:tc>
          <w:tcPr>
            <w:tcW w:w="2086" w:type="dxa"/>
            <w:vAlign w:val="center"/>
          </w:tcPr>
          <w:p>
            <w:pPr>
              <w:widowControl/>
              <w:spacing w:line="300" w:lineRule="auto"/>
              <w:jc w:val="center"/>
              <w:rPr>
                <w:rFonts w:hint="eastAsia" w:eastAsia="宋体"/>
                <w:bCs/>
                <w:color w:val="auto"/>
                <w:kern w:val="0"/>
                <w:szCs w:val="21"/>
                <w:lang w:val="en-US" w:eastAsia="zh-CN"/>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多年平均水汽压（hPa）</w:t>
            </w:r>
          </w:p>
        </w:tc>
        <w:tc>
          <w:tcPr>
            <w:tcW w:w="1241" w:type="dxa"/>
            <w:vAlign w:val="center"/>
          </w:tcPr>
          <w:p>
            <w:pPr>
              <w:widowControl/>
              <w:spacing w:line="300" w:lineRule="auto"/>
              <w:jc w:val="center"/>
              <w:rPr>
                <w:bCs/>
                <w:color w:val="auto"/>
                <w:kern w:val="0"/>
                <w:szCs w:val="21"/>
              </w:rPr>
            </w:pPr>
            <w:r>
              <w:rPr>
                <w:bCs/>
                <w:color w:val="auto"/>
                <w:kern w:val="0"/>
                <w:szCs w:val="21"/>
              </w:rPr>
              <w:t>21.2</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rPr>
                <w:bCs/>
                <w:color w:val="auto"/>
                <w:kern w:val="0"/>
                <w:szCs w:val="21"/>
              </w:rPr>
            </w:pPr>
            <w:r>
              <w:rPr>
                <w:bCs/>
                <w:color w:val="auto"/>
                <w:kern w:val="0"/>
                <w:szCs w:val="21"/>
              </w:rPr>
              <w:t>多年平均相对湿度（%）</w:t>
            </w:r>
          </w:p>
        </w:tc>
        <w:tc>
          <w:tcPr>
            <w:tcW w:w="1241" w:type="dxa"/>
            <w:vAlign w:val="center"/>
          </w:tcPr>
          <w:p>
            <w:pPr>
              <w:widowControl/>
              <w:spacing w:line="300" w:lineRule="auto"/>
              <w:jc w:val="center"/>
              <w:rPr>
                <w:bCs/>
                <w:color w:val="auto"/>
                <w:kern w:val="0"/>
                <w:szCs w:val="21"/>
              </w:rPr>
            </w:pPr>
            <w:r>
              <w:rPr>
                <w:bCs/>
                <w:color w:val="auto"/>
                <w:kern w:val="0"/>
                <w:szCs w:val="21"/>
              </w:rPr>
              <w:t>4.6</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多年平均降水量（mm）</w:t>
            </w:r>
          </w:p>
        </w:tc>
        <w:tc>
          <w:tcPr>
            <w:tcW w:w="1241" w:type="dxa"/>
            <w:vAlign w:val="center"/>
          </w:tcPr>
          <w:p>
            <w:pPr>
              <w:widowControl/>
              <w:spacing w:line="300" w:lineRule="auto"/>
              <w:jc w:val="center"/>
              <w:rPr>
                <w:bCs/>
                <w:color w:val="auto"/>
                <w:kern w:val="0"/>
                <w:szCs w:val="21"/>
              </w:rPr>
            </w:pPr>
            <w:r>
              <w:rPr>
                <w:bCs/>
                <w:color w:val="auto"/>
                <w:kern w:val="0"/>
                <w:szCs w:val="21"/>
              </w:rPr>
              <w:t>1978.6</w:t>
            </w:r>
          </w:p>
        </w:tc>
        <w:tc>
          <w:tcPr>
            <w:tcW w:w="2086" w:type="dxa"/>
            <w:vAlign w:val="center"/>
          </w:tcPr>
          <w:p>
            <w:pPr>
              <w:widowControl/>
              <w:spacing w:line="300" w:lineRule="auto"/>
              <w:jc w:val="center"/>
              <w:rPr>
                <w:bCs/>
                <w:color w:val="auto"/>
                <w:kern w:val="0"/>
                <w:szCs w:val="21"/>
              </w:rPr>
            </w:pPr>
            <w:r>
              <w:rPr>
                <w:bCs/>
                <w:color w:val="auto"/>
                <w:kern w:val="0"/>
                <w:szCs w:val="21"/>
              </w:rPr>
              <w:t>2008年6月26日</w:t>
            </w:r>
          </w:p>
        </w:tc>
        <w:tc>
          <w:tcPr>
            <w:tcW w:w="1522" w:type="dxa"/>
            <w:vAlign w:val="center"/>
          </w:tcPr>
          <w:p>
            <w:pPr>
              <w:widowControl/>
              <w:spacing w:line="300" w:lineRule="auto"/>
              <w:jc w:val="center"/>
              <w:rPr>
                <w:bCs/>
                <w:color w:val="auto"/>
                <w:kern w:val="0"/>
                <w:szCs w:val="21"/>
              </w:rPr>
            </w:pPr>
            <w:r>
              <w:rPr>
                <w:bCs/>
                <w:color w:val="auto"/>
                <w:kern w:val="0"/>
                <w:szCs w:val="21"/>
              </w:rPr>
              <w:t>206.3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多年实测极大风速（m/s）、相应风向</w:t>
            </w:r>
          </w:p>
        </w:tc>
        <w:tc>
          <w:tcPr>
            <w:tcW w:w="1241" w:type="dxa"/>
            <w:vAlign w:val="center"/>
          </w:tcPr>
          <w:p>
            <w:pPr>
              <w:widowControl/>
              <w:spacing w:line="300" w:lineRule="auto"/>
              <w:jc w:val="center"/>
              <w:rPr>
                <w:bCs/>
                <w:color w:val="auto"/>
                <w:kern w:val="0"/>
                <w:szCs w:val="21"/>
              </w:rPr>
            </w:pPr>
            <w:r>
              <w:rPr>
                <w:bCs/>
                <w:color w:val="auto"/>
                <w:kern w:val="0"/>
                <w:szCs w:val="21"/>
              </w:rPr>
              <w:t>9.1</w:t>
            </w:r>
          </w:p>
        </w:tc>
        <w:tc>
          <w:tcPr>
            <w:tcW w:w="2086" w:type="dxa"/>
            <w:vAlign w:val="center"/>
          </w:tcPr>
          <w:p>
            <w:pPr>
              <w:widowControl/>
              <w:spacing w:line="300" w:lineRule="auto"/>
              <w:jc w:val="center"/>
              <w:rPr>
                <w:bCs/>
                <w:color w:val="auto"/>
                <w:kern w:val="0"/>
                <w:szCs w:val="21"/>
              </w:rPr>
            </w:pPr>
            <w:r>
              <w:rPr>
                <w:bCs/>
                <w:color w:val="auto"/>
                <w:kern w:val="0"/>
                <w:szCs w:val="21"/>
              </w:rPr>
              <w:t>1999年5月25日</w:t>
            </w:r>
          </w:p>
        </w:tc>
        <w:tc>
          <w:tcPr>
            <w:tcW w:w="1522" w:type="dxa"/>
            <w:vAlign w:val="center"/>
          </w:tcPr>
          <w:p>
            <w:pPr>
              <w:widowControl/>
              <w:spacing w:line="300" w:lineRule="auto"/>
              <w:jc w:val="center"/>
              <w:rPr>
                <w:bCs/>
                <w:color w:val="auto"/>
                <w:kern w:val="0"/>
                <w:szCs w:val="21"/>
              </w:rPr>
            </w:pPr>
            <w:r>
              <w:rPr>
                <w:bCs/>
                <w:color w:val="auto"/>
                <w:kern w:val="0"/>
                <w:szCs w:val="21"/>
              </w:rPr>
              <w:t>36.5（WNW）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多年平均风速（m/s）</w:t>
            </w:r>
          </w:p>
        </w:tc>
        <w:tc>
          <w:tcPr>
            <w:tcW w:w="1241" w:type="dxa"/>
            <w:vAlign w:val="center"/>
          </w:tcPr>
          <w:p>
            <w:pPr>
              <w:widowControl/>
              <w:spacing w:line="300" w:lineRule="auto"/>
              <w:jc w:val="center"/>
              <w:rPr>
                <w:bCs/>
                <w:color w:val="auto"/>
                <w:kern w:val="0"/>
                <w:szCs w:val="21"/>
              </w:rPr>
            </w:pPr>
            <w:r>
              <w:rPr>
                <w:bCs/>
                <w:color w:val="auto"/>
                <w:kern w:val="0"/>
                <w:szCs w:val="21"/>
              </w:rPr>
              <w:t>2.8</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jc w:val="center"/>
              <w:rPr>
                <w:bCs/>
                <w:color w:val="auto"/>
                <w:kern w:val="0"/>
                <w:szCs w:val="21"/>
              </w:rPr>
            </w:pPr>
            <w:r>
              <w:rPr>
                <w:bCs/>
                <w:color w:val="auto"/>
                <w:kern w:val="0"/>
                <w:szCs w:val="21"/>
              </w:rPr>
              <w:t>多年主导风向、风向频率（%）</w:t>
            </w:r>
          </w:p>
        </w:tc>
        <w:tc>
          <w:tcPr>
            <w:tcW w:w="1241" w:type="dxa"/>
            <w:vAlign w:val="center"/>
          </w:tcPr>
          <w:p>
            <w:pPr>
              <w:widowControl/>
              <w:spacing w:line="300" w:lineRule="auto"/>
              <w:jc w:val="center"/>
              <w:rPr>
                <w:bCs/>
                <w:color w:val="auto"/>
                <w:kern w:val="0"/>
                <w:szCs w:val="21"/>
              </w:rPr>
            </w:pPr>
            <w:r>
              <w:rPr>
                <w:bCs/>
                <w:color w:val="auto"/>
                <w:kern w:val="0"/>
                <w:szCs w:val="21"/>
              </w:rPr>
              <w:t>NE，26.6</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71" w:type="dxa"/>
            <w:vAlign w:val="center"/>
          </w:tcPr>
          <w:p>
            <w:pPr>
              <w:widowControl/>
              <w:spacing w:line="300" w:lineRule="auto"/>
              <w:rPr>
                <w:bCs/>
                <w:color w:val="auto"/>
                <w:kern w:val="0"/>
                <w:szCs w:val="21"/>
              </w:rPr>
            </w:pPr>
            <w:r>
              <w:rPr>
                <w:bCs/>
                <w:color w:val="auto"/>
                <w:kern w:val="0"/>
                <w:szCs w:val="21"/>
              </w:rPr>
              <w:t>多年静风频率(风速&lt;0.2m/s)(%)</w:t>
            </w:r>
          </w:p>
        </w:tc>
        <w:tc>
          <w:tcPr>
            <w:tcW w:w="1241" w:type="dxa"/>
            <w:vAlign w:val="center"/>
          </w:tcPr>
          <w:p>
            <w:pPr>
              <w:widowControl/>
              <w:spacing w:line="300" w:lineRule="auto"/>
              <w:jc w:val="center"/>
              <w:rPr>
                <w:bCs/>
                <w:color w:val="auto"/>
                <w:kern w:val="0"/>
                <w:szCs w:val="21"/>
              </w:rPr>
            </w:pPr>
            <w:r>
              <w:rPr>
                <w:bCs/>
                <w:color w:val="auto"/>
                <w:kern w:val="0"/>
                <w:szCs w:val="21"/>
              </w:rPr>
              <w:t>6.9</w:t>
            </w:r>
          </w:p>
        </w:tc>
        <w:tc>
          <w:tcPr>
            <w:tcW w:w="2086"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c>
          <w:tcPr>
            <w:tcW w:w="1522" w:type="dxa"/>
            <w:vAlign w:val="center"/>
          </w:tcPr>
          <w:p>
            <w:pPr>
              <w:widowControl/>
              <w:spacing w:line="300" w:lineRule="auto"/>
              <w:jc w:val="center"/>
              <w:rPr>
                <w:bCs/>
                <w:color w:val="auto"/>
                <w:kern w:val="0"/>
                <w:szCs w:val="21"/>
              </w:rPr>
            </w:pPr>
            <w:r>
              <w:rPr>
                <w:rFonts w:hint="eastAsia"/>
                <w:bCs/>
                <w:color w:val="auto"/>
                <w:kern w:val="0"/>
                <w:szCs w:val="21"/>
                <w:lang w:val="en-US" w:eastAsia="zh-CN"/>
              </w:rPr>
              <w:t>/</w:t>
            </w:r>
          </w:p>
        </w:tc>
      </w:tr>
    </w:tbl>
    <w:p>
      <w:pPr>
        <w:autoSpaceDE w:val="0"/>
        <w:autoSpaceDN w:val="0"/>
        <w:adjustRightInd w:val="0"/>
        <w:spacing w:line="360" w:lineRule="auto"/>
        <w:rPr>
          <w:color w:val="auto"/>
          <w:kern w:val="0"/>
          <w:sz w:val="24"/>
          <w:lang w:val="zh-CN"/>
        </w:rPr>
      </w:pPr>
      <w:r>
        <w:rPr>
          <w:color w:val="auto"/>
          <w:kern w:val="0"/>
          <w:sz w:val="24"/>
          <w:lang w:val="zh-CN"/>
        </w:rPr>
        <w:t>（</w:t>
      </w:r>
      <w:r>
        <w:rPr>
          <w:color w:val="auto"/>
          <w:kern w:val="0"/>
          <w:sz w:val="24"/>
        </w:rPr>
        <w:t>2</w:t>
      </w:r>
      <w:r>
        <w:rPr>
          <w:color w:val="auto"/>
          <w:kern w:val="0"/>
          <w:sz w:val="24"/>
          <w:lang w:val="zh-CN"/>
        </w:rPr>
        <w:t>）气象站风观测数据统计</w:t>
      </w:r>
    </w:p>
    <w:p>
      <w:pPr>
        <w:autoSpaceDE w:val="0"/>
        <w:autoSpaceDN w:val="0"/>
        <w:adjustRightInd w:val="0"/>
        <w:spacing w:line="360" w:lineRule="auto"/>
        <w:ind w:firstLine="480" w:firstLineChars="200"/>
        <w:rPr>
          <w:color w:val="auto"/>
          <w:kern w:val="0"/>
          <w:sz w:val="24"/>
        </w:rPr>
      </w:pPr>
      <w:r>
        <w:rPr>
          <w:color w:val="auto"/>
          <w:kern w:val="0"/>
          <w:sz w:val="24"/>
        </w:rPr>
        <w:t>1）月平均风速</w:t>
      </w:r>
    </w:p>
    <w:p>
      <w:pPr>
        <w:autoSpaceDE w:val="0"/>
        <w:autoSpaceDN w:val="0"/>
        <w:adjustRightInd w:val="0"/>
        <w:spacing w:line="360" w:lineRule="auto"/>
        <w:ind w:firstLine="480" w:firstLineChars="200"/>
        <w:rPr>
          <w:color w:val="auto"/>
          <w:kern w:val="0"/>
          <w:sz w:val="24"/>
          <w:lang w:val="zh-CN"/>
        </w:rPr>
      </w:pPr>
      <w:r>
        <w:rPr>
          <w:color w:val="auto"/>
          <w:kern w:val="0"/>
          <w:sz w:val="24"/>
          <w:lang w:val="zh-CN"/>
        </w:rPr>
        <w:t>近20年的逐月风速统计情况见下表。</w:t>
      </w:r>
    </w:p>
    <w:p>
      <w:pPr>
        <w:widowControl/>
        <w:spacing w:line="360" w:lineRule="auto"/>
        <w:jc w:val="center"/>
        <w:rPr>
          <w:b/>
          <w:bCs/>
          <w:color w:val="auto"/>
          <w:szCs w:val="28"/>
        </w:rPr>
      </w:pPr>
      <w:r>
        <w:rPr>
          <w:b/>
          <w:bCs/>
          <w:color w:val="auto"/>
          <w:szCs w:val="28"/>
        </w:rPr>
        <w:t>表6.</w:t>
      </w:r>
      <w:r>
        <w:rPr>
          <w:rFonts w:hint="eastAsia"/>
          <w:b/>
          <w:bCs/>
          <w:color w:val="auto"/>
          <w:szCs w:val="28"/>
        </w:rPr>
        <w:t xml:space="preserve">4-4  </w:t>
      </w:r>
      <w:r>
        <w:rPr>
          <w:b/>
          <w:bCs/>
          <w:color w:val="auto"/>
          <w:szCs w:val="28"/>
        </w:rPr>
        <w:t>月平均风速（m/s）</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636"/>
        <w:gridCol w:w="636"/>
        <w:gridCol w:w="636"/>
        <w:gridCol w:w="636"/>
        <w:gridCol w:w="636"/>
        <w:gridCol w:w="636"/>
        <w:gridCol w:w="636"/>
        <w:gridCol w:w="636"/>
        <w:gridCol w:w="636"/>
        <w:gridCol w:w="636"/>
        <w:gridCol w:w="636"/>
        <w:gridCol w:w="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blHeader/>
          <w:jc w:val="center"/>
        </w:trPr>
        <w:tc>
          <w:tcPr>
            <w:tcW w:w="892" w:type="dxa"/>
            <w:vAlign w:val="center"/>
          </w:tcPr>
          <w:p>
            <w:pPr>
              <w:widowControl/>
              <w:spacing w:line="300" w:lineRule="auto"/>
              <w:jc w:val="center"/>
              <w:rPr>
                <w:bCs/>
                <w:color w:val="auto"/>
                <w:kern w:val="0"/>
                <w:szCs w:val="20"/>
              </w:rPr>
            </w:pPr>
            <w:r>
              <w:rPr>
                <w:bCs/>
                <w:color w:val="auto"/>
                <w:kern w:val="0"/>
                <w:szCs w:val="20"/>
              </w:rPr>
              <w:t>月份</w:t>
            </w:r>
          </w:p>
        </w:tc>
        <w:tc>
          <w:tcPr>
            <w:tcW w:w="636" w:type="dxa"/>
            <w:vAlign w:val="center"/>
          </w:tcPr>
          <w:p>
            <w:pPr>
              <w:widowControl/>
              <w:spacing w:line="300" w:lineRule="auto"/>
              <w:jc w:val="center"/>
              <w:rPr>
                <w:bCs/>
                <w:color w:val="auto"/>
                <w:kern w:val="0"/>
                <w:szCs w:val="20"/>
              </w:rPr>
            </w:pPr>
            <w:r>
              <w:rPr>
                <w:bCs/>
                <w:color w:val="auto"/>
                <w:kern w:val="0"/>
                <w:szCs w:val="20"/>
              </w:rPr>
              <w:t>1</w:t>
            </w:r>
          </w:p>
        </w:tc>
        <w:tc>
          <w:tcPr>
            <w:tcW w:w="636" w:type="dxa"/>
            <w:vAlign w:val="center"/>
          </w:tcPr>
          <w:p>
            <w:pPr>
              <w:widowControl/>
              <w:spacing w:line="300" w:lineRule="auto"/>
              <w:jc w:val="center"/>
              <w:rPr>
                <w:bCs/>
                <w:color w:val="auto"/>
                <w:kern w:val="0"/>
                <w:szCs w:val="20"/>
              </w:rPr>
            </w:pPr>
            <w:r>
              <w:rPr>
                <w:bCs/>
                <w:color w:val="auto"/>
                <w:kern w:val="0"/>
                <w:szCs w:val="20"/>
              </w:rPr>
              <w:t>2</w:t>
            </w:r>
          </w:p>
        </w:tc>
        <w:tc>
          <w:tcPr>
            <w:tcW w:w="636" w:type="dxa"/>
            <w:vAlign w:val="center"/>
          </w:tcPr>
          <w:p>
            <w:pPr>
              <w:widowControl/>
              <w:spacing w:line="300" w:lineRule="auto"/>
              <w:jc w:val="center"/>
              <w:rPr>
                <w:bCs/>
                <w:color w:val="auto"/>
                <w:kern w:val="0"/>
                <w:szCs w:val="20"/>
              </w:rPr>
            </w:pPr>
            <w:r>
              <w:rPr>
                <w:bCs/>
                <w:color w:val="auto"/>
                <w:kern w:val="0"/>
                <w:szCs w:val="20"/>
              </w:rPr>
              <w:t>3</w:t>
            </w:r>
          </w:p>
        </w:tc>
        <w:tc>
          <w:tcPr>
            <w:tcW w:w="636" w:type="dxa"/>
            <w:vAlign w:val="center"/>
          </w:tcPr>
          <w:p>
            <w:pPr>
              <w:widowControl/>
              <w:spacing w:line="300" w:lineRule="auto"/>
              <w:jc w:val="center"/>
              <w:rPr>
                <w:bCs/>
                <w:color w:val="auto"/>
                <w:kern w:val="0"/>
                <w:szCs w:val="20"/>
              </w:rPr>
            </w:pPr>
            <w:r>
              <w:rPr>
                <w:bCs/>
                <w:color w:val="auto"/>
                <w:kern w:val="0"/>
                <w:szCs w:val="20"/>
              </w:rPr>
              <w:t>4</w:t>
            </w:r>
          </w:p>
        </w:tc>
        <w:tc>
          <w:tcPr>
            <w:tcW w:w="636" w:type="dxa"/>
            <w:vAlign w:val="center"/>
          </w:tcPr>
          <w:p>
            <w:pPr>
              <w:widowControl/>
              <w:spacing w:line="300" w:lineRule="auto"/>
              <w:jc w:val="center"/>
              <w:rPr>
                <w:bCs/>
                <w:color w:val="auto"/>
                <w:kern w:val="0"/>
                <w:szCs w:val="20"/>
              </w:rPr>
            </w:pPr>
            <w:r>
              <w:rPr>
                <w:bCs/>
                <w:color w:val="auto"/>
                <w:kern w:val="0"/>
                <w:szCs w:val="20"/>
              </w:rPr>
              <w:t>5</w:t>
            </w:r>
          </w:p>
        </w:tc>
        <w:tc>
          <w:tcPr>
            <w:tcW w:w="636" w:type="dxa"/>
            <w:vAlign w:val="center"/>
          </w:tcPr>
          <w:p>
            <w:pPr>
              <w:widowControl/>
              <w:spacing w:line="300" w:lineRule="auto"/>
              <w:jc w:val="center"/>
              <w:rPr>
                <w:bCs/>
                <w:color w:val="auto"/>
                <w:kern w:val="0"/>
                <w:szCs w:val="20"/>
              </w:rPr>
            </w:pPr>
            <w:r>
              <w:rPr>
                <w:bCs/>
                <w:color w:val="auto"/>
                <w:kern w:val="0"/>
                <w:szCs w:val="20"/>
              </w:rPr>
              <w:t>6</w:t>
            </w:r>
          </w:p>
        </w:tc>
        <w:tc>
          <w:tcPr>
            <w:tcW w:w="636" w:type="dxa"/>
            <w:vAlign w:val="center"/>
          </w:tcPr>
          <w:p>
            <w:pPr>
              <w:widowControl/>
              <w:spacing w:line="300" w:lineRule="auto"/>
              <w:jc w:val="center"/>
              <w:rPr>
                <w:bCs/>
                <w:color w:val="auto"/>
                <w:kern w:val="0"/>
                <w:szCs w:val="20"/>
              </w:rPr>
            </w:pPr>
            <w:r>
              <w:rPr>
                <w:bCs/>
                <w:color w:val="auto"/>
                <w:kern w:val="0"/>
                <w:szCs w:val="20"/>
              </w:rPr>
              <w:t>7</w:t>
            </w:r>
          </w:p>
        </w:tc>
        <w:tc>
          <w:tcPr>
            <w:tcW w:w="636" w:type="dxa"/>
            <w:vAlign w:val="center"/>
          </w:tcPr>
          <w:p>
            <w:pPr>
              <w:widowControl/>
              <w:spacing w:line="300" w:lineRule="auto"/>
              <w:jc w:val="center"/>
              <w:rPr>
                <w:bCs/>
                <w:color w:val="auto"/>
                <w:kern w:val="0"/>
                <w:szCs w:val="20"/>
              </w:rPr>
            </w:pPr>
            <w:r>
              <w:rPr>
                <w:bCs/>
                <w:color w:val="auto"/>
                <w:kern w:val="0"/>
                <w:szCs w:val="20"/>
              </w:rPr>
              <w:t>8</w:t>
            </w:r>
          </w:p>
        </w:tc>
        <w:tc>
          <w:tcPr>
            <w:tcW w:w="636" w:type="dxa"/>
            <w:vAlign w:val="center"/>
          </w:tcPr>
          <w:p>
            <w:pPr>
              <w:widowControl/>
              <w:spacing w:line="300" w:lineRule="auto"/>
              <w:jc w:val="center"/>
              <w:rPr>
                <w:bCs/>
                <w:color w:val="auto"/>
                <w:kern w:val="0"/>
                <w:szCs w:val="20"/>
              </w:rPr>
            </w:pPr>
            <w:r>
              <w:rPr>
                <w:bCs/>
                <w:color w:val="auto"/>
                <w:kern w:val="0"/>
                <w:szCs w:val="20"/>
              </w:rPr>
              <w:t>9</w:t>
            </w:r>
          </w:p>
        </w:tc>
        <w:tc>
          <w:tcPr>
            <w:tcW w:w="636" w:type="dxa"/>
            <w:vAlign w:val="center"/>
          </w:tcPr>
          <w:p>
            <w:pPr>
              <w:widowControl/>
              <w:spacing w:line="300" w:lineRule="auto"/>
              <w:jc w:val="center"/>
              <w:rPr>
                <w:bCs/>
                <w:color w:val="auto"/>
                <w:kern w:val="0"/>
                <w:szCs w:val="20"/>
              </w:rPr>
            </w:pPr>
            <w:r>
              <w:rPr>
                <w:bCs/>
                <w:color w:val="auto"/>
                <w:kern w:val="0"/>
                <w:szCs w:val="20"/>
              </w:rPr>
              <w:t>10</w:t>
            </w:r>
          </w:p>
        </w:tc>
        <w:tc>
          <w:tcPr>
            <w:tcW w:w="636" w:type="dxa"/>
            <w:vAlign w:val="center"/>
          </w:tcPr>
          <w:p>
            <w:pPr>
              <w:widowControl/>
              <w:spacing w:line="300" w:lineRule="auto"/>
              <w:jc w:val="center"/>
              <w:rPr>
                <w:bCs/>
                <w:color w:val="auto"/>
                <w:kern w:val="0"/>
                <w:szCs w:val="20"/>
              </w:rPr>
            </w:pPr>
            <w:r>
              <w:rPr>
                <w:bCs/>
                <w:color w:val="auto"/>
                <w:kern w:val="0"/>
                <w:szCs w:val="20"/>
              </w:rPr>
              <w:t>11</w:t>
            </w:r>
          </w:p>
        </w:tc>
        <w:tc>
          <w:tcPr>
            <w:tcW w:w="634" w:type="dxa"/>
            <w:vAlign w:val="center"/>
          </w:tcPr>
          <w:p>
            <w:pPr>
              <w:widowControl/>
              <w:spacing w:line="300" w:lineRule="auto"/>
              <w:jc w:val="center"/>
              <w:rPr>
                <w:bCs/>
                <w:color w:val="auto"/>
                <w:kern w:val="0"/>
                <w:szCs w:val="20"/>
              </w:rPr>
            </w:pPr>
            <w:r>
              <w:rPr>
                <w:bCs/>
                <w:color w:val="auto"/>
                <w:kern w:val="0"/>
                <w:szCs w:val="2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892" w:type="dxa"/>
            <w:vAlign w:val="center"/>
          </w:tcPr>
          <w:p>
            <w:pPr>
              <w:widowControl/>
              <w:spacing w:line="300" w:lineRule="auto"/>
              <w:jc w:val="center"/>
              <w:rPr>
                <w:bCs/>
                <w:color w:val="auto"/>
                <w:kern w:val="0"/>
                <w:szCs w:val="20"/>
              </w:rPr>
            </w:pPr>
            <w:r>
              <w:rPr>
                <w:bCs/>
                <w:color w:val="auto"/>
                <w:kern w:val="0"/>
                <w:szCs w:val="20"/>
              </w:rPr>
              <w:t>风速</w:t>
            </w:r>
          </w:p>
        </w:tc>
        <w:tc>
          <w:tcPr>
            <w:tcW w:w="636" w:type="dxa"/>
            <w:vAlign w:val="center"/>
          </w:tcPr>
          <w:p>
            <w:pPr>
              <w:widowControl/>
              <w:spacing w:line="300" w:lineRule="auto"/>
              <w:jc w:val="center"/>
              <w:rPr>
                <w:bCs/>
                <w:color w:val="auto"/>
                <w:kern w:val="0"/>
                <w:szCs w:val="20"/>
              </w:rPr>
            </w:pPr>
            <w:r>
              <w:rPr>
                <w:bCs/>
                <w:color w:val="auto"/>
                <w:kern w:val="0"/>
                <w:szCs w:val="20"/>
              </w:rPr>
              <w:t>3.4</w:t>
            </w:r>
          </w:p>
        </w:tc>
        <w:tc>
          <w:tcPr>
            <w:tcW w:w="636" w:type="dxa"/>
            <w:vAlign w:val="center"/>
          </w:tcPr>
          <w:p>
            <w:pPr>
              <w:widowControl/>
              <w:spacing w:line="300" w:lineRule="auto"/>
              <w:jc w:val="center"/>
              <w:rPr>
                <w:bCs/>
                <w:color w:val="auto"/>
                <w:kern w:val="0"/>
                <w:szCs w:val="20"/>
              </w:rPr>
            </w:pPr>
            <w:r>
              <w:rPr>
                <w:bCs/>
                <w:color w:val="auto"/>
                <w:kern w:val="0"/>
                <w:szCs w:val="20"/>
              </w:rPr>
              <w:t>3.1</w:t>
            </w:r>
          </w:p>
        </w:tc>
        <w:tc>
          <w:tcPr>
            <w:tcW w:w="636" w:type="dxa"/>
            <w:vAlign w:val="center"/>
          </w:tcPr>
          <w:p>
            <w:pPr>
              <w:widowControl/>
              <w:spacing w:line="300" w:lineRule="auto"/>
              <w:jc w:val="center"/>
              <w:rPr>
                <w:bCs/>
                <w:color w:val="auto"/>
                <w:kern w:val="0"/>
                <w:szCs w:val="20"/>
              </w:rPr>
            </w:pPr>
            <w:r>
              <w:rPr>
                <w:bCs/>
                <w:color w:val="auto"/>
                <w:kern w:val="0"/>
                <w:szCs w:val="20"/>
              </w:rPr>
              <w:t>2.7</w:t>
            </w:r>
          </w:p>
        </w:tc>
        <w:tc>
          <w:tcPr>
            <w:tcW w:w="636" w:type="dxa"/>
            <w:vAlign w:val="center"/>
          </w:tcPr>
          <w:p>
            <w:pPr>
              <w:widowControl/>
              <w:spacing w:line="300" w:lineRule="auto"/>
              <w:jc w:val="center"/>
              <w:rPr>
                <w:bCs/>
                <w:color w:val="auto"/>
                <w:kern w:val="0"/>
                <w:szCs w:val="20"/>
              </w:rPr>
            </w:pPr>
            <w:r>
              <w:rPr>
                <w:bCs/>
                <w:color w:val="auto"/>
                <w:kern w:val="0"/>
                <w:szCs w:val="20"/>
              </w:rPr>
              <w:t>2.5</w:t>
            </w:r>
          </w:p>
        </w:tc>
        <w:tc>
          <w:tcPr>
            <w:tcW w:w="636" w:type="dxa"/>
            <w:vAlign w:val="center"/>
          </w:tcPr>
          <w:p>
            <w:pPr>
              <w:widowControl/>
              <w:spacing w:line="300" w:lineRule="auto"/>
              <w:jc w:val="center"/>
              <w:rPr>
                <w:bCs/>
                <w:color w:val="auto"/>
                <w:kern w:val="0"/>
                <w:szCs w:val="20"/>
              </w:rPr>
            </w:pPr>
            <w:r>
              <w:rPr>
                <w:bCs/>
                <w:color w:val="auto"/>
                <w:kern w:val="0"/>
                <w:szCs w:val="20"/>
              </w:rPr>
              <w:t>2.3</w:t>
            </w:r>
          </w:p>
        </w:tc>
        <w:tc>
          <w:tcPr>
            <w:tcW w:w="636" w:type="dxa"/>
            <w:vAlign w:val="center"/>
          </w:tcPr>
          <w:p>
            <w:pPr>
              <w:widowControl/>
              <w:spacing w:line="300" w:lineRule="auto"/>
              <w:jc w:val="center"/>
              <w:rPr>
                <w:bCs/>
                <w:color w:val="auto"/>
                <w:kern w:val="0"/>
                <w:szCs w:val="20"/>
              </w:rPr>
            </w:pPr>
            <w:r>
              <w:rPr>
                <w:bCs/>
                <w:color w:val="auto"/>
                <w:kern w:val="0"/>
                <w:szCs w:val="20"/>
              </w:rPr>
              <w:t>2.3</w:t>
            </w:r>
          </w:p>
        </w:tc>
        <w:tc>
          <w:tcPr>
            <w:tcW w:w="636" w:type="dxa"/>
            <w:vAlign w:val="center"/>
          </w:tcPr>
          <w:p>
            <w:pPr>
              <w:widowControl/>
              <w:spacing w:line="300" w:lineRule="auto"/>
              <w:jc w:val="center"/>
              <w:rPr>
                <w:bCs/>
                <w:color w:val="auto"/>
                <w:kern w:val="0"/>
                <w:szCs w:val="20"/>
              </w:rPr>
            </w:pPr>
            <w:r>
              <w:rPr>
                <w:bCs/>
                <w:color w:val="auto"/>
                <w:kern w:val="0"/>
                <w:szCs w:val="20"/>
              </w:rPr>
              <w:t>2.3</w:t>
            </w:r>
          </w:p>
        </w:tc>
        <w:tc>
          <w:tcPr>
            <w:tcW w:w="636" w:type="dxa"/>
            <w:vAlign w:val="center"/>
          </w:tcPr>
          <w:p>
            <w:pPr>
              <w:widowControl/>
              <w:spacing w:line="300" w:lineRule="auto"/>
              <w:jc w:val="center"/>
              <w:rPr>
                <w:bCs/>
                <w:color w:val="auto"/>
                <w:kern w:val="0"/>
                <w:szCs w:val="20"/>
              </w:rPr>
            </w:pPr>
            <w:r>
              <w:rPr>
                <w:bCs/>
                <w:color w:val="auto"/>
                <w:kern w:val="0"/>
                <w:szCs w:val="20"/>
              </w:rPr>
              <w:t>2.4</w:t>
            </w:r>
          </w:p>
        </w:tc>
        <w:tc>
          <w:tcPr>
            <w:tcW w:w="636" w:type="dxa"/>
            <w:vAlign w:val="center"/>
          </w:tcPr>
          <w:p>
            <w:pPr>
              <w:widowControl/>
              <w:spacing w:line="300" w:lineRule="auto"/>
              <w:jc w:val="center"/>
              <w:rPr>
                <w:bCs/>
                <w:color w:val="auto"/>
                <w:kern w:val="0"/>
                <w:szCs w:val="20"/>
              </w:rPr>
            </w:pPr>
            <w:r>
              <w:rPr>
                <w:bCs/>
                <w:color w:val="auto"/>
                <w:kern w:val="0"/>
                <w:szCs w:val="20"/>
              </w:rPr>
              <w:t>2.8</w:t>
            </w:r>
          </w:p>
        </w:tc>
        <w:tc>
          <w:tcPr>
            <w:tcW w:w="636" w:type="dxa"/>
            <w:vAlign w:val="center"/>
          </w:tcPr>
          <w:p>
            <w:pPr>
              <w:widowControl/>
              <w:spacing w:line="300" w:lineRule="auto"/>
              <w:jc w:val="center"/>
              <w:rPr>
                <w:bCs/>
                <w:color w:val="auto"/>
                <w:kern w:val="0"/>
                <w:szCs w:val="20"/>
              </w:rPr>
            </w:pPr>
            <w:r>
              <w:rPr>
                <w:bCs/>
                <w:color w:val="auto"/>
                <w:kern w:val="0"/>
                <w:szCs w:val="20"/>
              </w:rPr>
              <w:t>3.2</w:t>
            </w:r>
          </w:p>
        </w:tc>
        <w:tc>
          <w:tcPr>
            <w:tcW w:w="636" w:type="dxa"/>
            <w:vAlign w:val="center"/>
          </w:tcPr>
          <w:p>
            <w:pPr>
              <w:widowControl/>
              <w:spacing w:line="300" w:lineRule="auto"/>
              <w:jc w:val="center"/>
              <w:rPr>
                <w:bCs/>
                <w:color w:val="auto"/>
                <w:kern w:val="0"/>
                <w:szCs w:val="20"/>
              </w:rPr>
            </w:pPr>
            <w:r>
              <w:rPr>
                <w:bCs/>
                <w:color w:val="auto"/>
                <w:kern w:val="0"/>
                <w:szCs w:val="20"/>
              </w:rPr>
              <w:t>3.3</w:t>
            </w:r>
          </w:p>
        </w:tc>
        <w:tc>
          <w:tcPr>
            <w:tcW w:w="634" w:type="dxa"/>
            <w:vAlign w:val="center"/>
          </w:tcPr>
          <w:p>
            <w:pPr>
              <w:widowControl/>
              <w:spacing w:line="300" w:lineRule="auto"/>
              <w:jc w:val="center"/>
              <w:rPr>
                <w:bCs/>
                <w:color w:val="auto"/>
                <w:kern w:val="0"/>
                <w:szCs w:val="20"/>
              </w:rPr>
            </w:pPr>
            <w:r>
              <w:rPr>
                <w:bCs/>
                <w:color w:val="auto"/>
                <w:kern w:val="0"/>
                <w:szCs w:val="20"/>
              </w:rPr>
              <w:t>3.7</w:t>
            </w:r>
          </w:p>
        </w:tc>
      </w:tr>
    </w:tbl>
    <w:p>
      <w:pPr>
        <w:autoSpaceDE w:val="0"/>
        <w:autoSpaceDN w:val="0"/>
        <w:adjustRightInd w:val="0"/>
        <w:spacing w:line="360" w:lineRule="auto"/>
        <w:ind w:firstLine="480" w:firstLineChars="200"/>
        <w:rPr>
          <w:color w:val="auto"/>
          <w:kern w:val="0"/>
          <w:sz w:val="24"/>
        </w:rPr>
      </w:pPr>
      <w:r>
        <w:rPr>
          <w:color w:val="auto"/>
          <w:kern w:val="0"/>
          <w:sz w:val="24"/>
        </w:rPr>
        <w:t>2）风向特征</w:t>
      </w:r>
    </w:p>
    <w:p>
      <w:pPr>
        <w:widowControl/>
        <w:spacing w:line="360" w:lineRule="auto"/>
        <w:ind w:firstLine="482"/>
        <w:rPr>
          <w:color w:val="auto"/>
          <w:kern w:val="0"/>
          <w:sz w:val="24"/>
          <w:lang w:val="zh-CN"/>
        </w:rPr>
      </w:pPr>
      <w:r>
        <w:rPr>
          <w:color w:val="auto"/>
          <w:kern w:val="0"/>
          <w:sz w:val="24"/>
          <w:lang w:val="zh-CN"/>
        </w:rPr>
        <w:t>清远气象站主要风向为NE和NNE、ENE、C，占56.8％，其中以NE为主风向，占到全年 26.6％左右。</w:t>
      </w:r>
    </w:p>
    <w:p>
      <w:pPr>
        <w:widowControl/>
        <w:spacing w:line="360" w:lineRule="auto"/>
        <w:jc w:val="center"/>
        <w:rPr>
          <w:b/>
          <w:bCs/>
          <w:color w:val="auto"/>
          <w:szCs w:val="28"/>
        </w:rPr>
      </w:pPr>
      <w:r>
        <w:rPr>
          <w:b/>
          <w:bCs/>
          <w:color w:val="auto"/>
          <w:szCs w:val="28"/>
        </w:rPr>
        <w:t>表6.</w:t>
      </w:r>
      <w:r>
        <w:rPr>
          <w:rFonts w:hint="eastAsia"/>
          <w:b/>
          <w:bCs/>
          <w:color w:val="auto"/>
          <w:szCs w:val="28"/>
        </w:rPr>
        <w:t>4</w:t>
      </w:r>
      <w:r>
        <w:rPr>
          <w:b/>
          <w:bCs/>
          <w:color w:val="auto"/>
          <w:szCs w:val="28"/>
        </w:rPr>
        <w:t>-</w:t>
      </w:r>
      <w:r>
        <w:rPr>
          <w:rFonts w:hint="eastAsia"/>
          <w:b/>
          <w:bCs/>
          <w:color w:val="auto"/>
          <w:szCs w:val="28"/>
        </w:rPr>
        <w:t xml:space="preserve">5  </w:t>
      </w:r>
      <w:r>
        <w:rPr>
          <w:b/>
          <w:bCs/>
          <w:color w:val="auto"/>
          <w:szCs w:val="28"/>
        </w:rPr>
        <w:t>各风向频率（%）</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680"/>
        <w:gridCol w:w="697"/>
        <w:gridCol w:w="627"/>
        <w:gridCol w:w="861"/>
        <w:gridCol w:w="566"/>
        <w:gridCol w:w="902"/>
        <w:gridCol w:w="668"/>
        <w:gridCol w:w="847"/>
        <w:gridCol w:w="689"/>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blHeader/>
          <w:jc w:val="center"/>
        </w:trPr>
        <w:tc>
          <w:tcPr>
            <w:tcW w:w="857" w:type="dxa"/>
            <w:vAlign w:val="center"/>
          </w:tcPr>
          <w:p>
            <w:pPr>
              <w:widowControl/>
              <w:spacing w:line="300" w:lineRule="auto"/>
              <w:jc w:val="center"/>
              <w:rPr>
                <w:bCs/>
                <w:color w:val="auto"/>
                <w:kern w:val="0"/>
                <w:szCs w:val="21"/>
              </w:rPr>
            </w:pPr>
            <w:r>
              <w:rPr>
                <w:bCs/>
                <w:color w:val="auto"/>
                <w:kern w:val="0"/>
                <w:szCs w:val="21"/>
              </w:rPr>
              <w:t>风向</w:t>
            </w:r>
          </w:p>
        </w:tc>
        <w:tc>
          <w:tcPr>
            <w:tcW w:w="680" w:type="dxa"/>
            <w:vAlign w:val="center"/>
          </w:tcPr>
          <w:p>
            <w:pPr>
              <w:widowControl/>
              <w:spacing w:line="300" w:lineRule="auto"/>
              <w:jc w:val="center"/>
              <w:rPr>
                <w:bCs/>
                <w:color w:val="auto"/>
                <w:kern w:val="0"/>
                <w:szCs w:val="21"/>
              </w:rPr>
            </w:pPr>
            <w:r>
              <w:rPr>
                <w:bCs/>
                <w:color w:val="auto"/>
                <w:kern w:val="0"/>
                <w:szCs w:val="21"/>
              </w:rPr>
              <w:t>N</w:t>
            </w:r>
          </w:p>
        </w:tc>
        <w:tc>
          <w:tcPr>
            <w:tcW w:w="697" w:type="dxa"/>
            <w:vAlign w:val="center"/>
          </w:tcPr>
          <w:p>
            <w:pPr>
              <w:widowControl/>
              <w:spacing w:line="300" w:lineRule="auto"/>
              <w:jc w:val="center"/>
              <w:rPr>
                <w:bCs/>
                <w:color w:val="auto"/>
                <w:kern w:val="0"/>
                <w:szCs w:val="21"/>
              </w:rPr>
            </w:pPr>
            <w:r>
              <w:rPr>
                <w:bCs/>
                <w:color w:val="auto"/>
                <w:kern w:val="0"/>
                <w:szCs w:val="21"/>
              </w:rPr>
              <w:t>NNE</w:t>
            </w:r>
          </w:p>
        </w:tc>
        <w:tc>
          <w:tcPr>
            <w:tcW w:w="627" w:type="dxa"/>
            <w:vAlign w:val="center"/>
          </w:tcPr>
          <w:p>
            <w:pPr>
              <w:widowControl/>
              <w:spacing w:line="300" w:lineRule="auto"/>
              <w:jc w:val="center"/>
              <w:rPr>
                <w:bCs/>
                <w:color w:val="auto"/>
                <w:kern w:val="0"/>
                <w:szCs w:val="21"/>
              </w:rPr>
            </w:pPr>
            <w:r>
              <w:rPr>
                <w:bCs/>
                <w:color w:val="auto"/>
                <w:kern w:val="0"/>
                <w:szCs w:val="21"/>
              </w:rPr>
              <w:t>NE</w:t>
            </w:r>
          </w:p>
        </w:tc>
        <w:tc>
          <w:tcPr>
            <w:tcW w:w="861" w:type="dxa"/>
            <w:vAlign w:val="center"/>
          </w:tcPr>
          <w:p>
            <w:pPr>
              <w:widowControl/>
              <w:spacing w:line="300" w:lineRule="auto"/>
              <w:jc w:val="center"/>
              <w:rPr>
                <w:bCs/>
                <w:color w:val="auto"/>
                <w:kern w:val="0"/>
                <w:szCs w:val="21"/>
              </w:rPr>
            </w:pPr>
            <w:r>
              <w:rPr>
                <w:bCs/>
                <w:color w:val="auto"/>
                <w:kern w:val="0"/>
                <w:szCs w:val="21"/>
              </w:rPr>
              <w:t>ENE</w:t>
            </w:r>
          </w:p>
        </w:tc>
        <w:tc>
          <w:tcPr>
            <w:tcW w:w="566" w:type="dxa"/>
            <w:vAlign w:val="center"/>
          </w:tcPr>
          <w:p>
            <w:pPr>
              <w:widowControl/>
              <w:spacing w:line="300" w:lineRule="auto"/>
              <w:jc w:val="center"/>
              <w:rPr>
                <w:bCs/>
                <w:color w:val="auto"/>
                <w:kern w:val="0"/>
                <w:szCs w:val="21"/>
              </w:rPr>
            </w:pPr>
            <w:r>
              <w:rPr>
                <w:bCs/>
                <w:color w:val="auto"/>
                <w:kern w:val="0"/>
                <w:szCs w:val="21"/>
              </w:rPr>
              <w:t>E</w:t>
            </w:r>
          </w:p>
        </w:tc>
        <w:tc>
          <w:tcPr>
            <w:tcW w:w="902" w:type="dxa"/>
            <w:vAlign w:val="center"/>
          </w:tcPr>
          <w:p>
            <w:pPr>
              <w:widowControl/>
              <w:spacing w:line="300" w:lineRule="auto"/>
              <w:jc w:val="center"/>
              <w:rPr>
                <w:bCs/>
                <w:color w:val="auto"/>
                <w:kern w:val="0"/>
                <w:szCs w:val="21"/>
              </w:rPr>
            </w:pPr>
            <w:r>
              <w:rPr>
                <w:bCs/>
                <w:color w:val="auto"/>
                <w:kern w:val="0"/>
                <w:szCs w:val="21"/>
              </w:rPr>
              <w:t>ESE</w:t>
            </w:r>
          </w:p>
        </w:tc>
        <w:tc>
          <w:tcPr>
            <w:tcW w:w="668" w:type="dxa"/>
            <w:vAlign w:val="center"/>
          </w:tcPr>
          <w:p>
            <w:pPr>
              <w:widowControl/>
              <w:spacing w:line="300" w:lineRule="auto"/>
              <w:jc w:val="center"/>
              <w:rPr>
                <w:bCs/>
                <w:color w:val="auto"/>
                <w:kern w:val="0"/>
                <w:szCs w:val="21"/>
              </w:rPr>
            </w:pPr>
            <w:r>
              <w:rPr>
                <w:bCs/>
                <w:color w:val="auto"/>
                <w:kern w:val="0"/>
                <w:szCs w:val="21"/>
              </w:rPr>
              <w:t>SE</w:t>
            </w:r>
          </w:p>
        </w:tc>
        <w:tc>
          <w:tcPr>
            <w:tcW w:w="847" w:type="dxa"/>
            <w:vAlign w:val="center"/>
          </w:tcPr>
          <w:p>
            <w:pPr>
              <w:widowControl/>
              <w:spacing w:line="300" w:lineRule="auto"/>
              <w:jc w:val="center"/>
              <w:rPr>
                <w:bCs/>
                <w:color w:val="auto"/>
                <w:kern w:val="0"/>
                <w:szCs w:val="21"/>
              </w:rPr>
            </w:pPr>
            <w:r>
              <w:rPr>
                <w:bCs/>
                <w:color w:val="auto"/>
                <w:kern w:val="0"/>
                <w:szCs w:val="21"/>
              </w:rPr>
              <w:t>SSE</w:t>
            </w:r>
          </w:p>
        </w:tc>
        <w:tc>
          <w:tcPr>
            <w:tcW w:w="689" w:type="dxa"/>
            <w:vAlign w:val="center"/>
          </w:tcPr>
          <w:p>
            <w:pPr>
              <w:widowControl/>
              <w:spacing w:line="300" w:lineRule="auto"/>
              <w:jc w:val="center"/>
              <w:rPr>
                <w:bCs/>
                <w:color w:val="auto"/>
                <w:kern w:val="0"/>
                <w:szCs w:val="21"/>
              </w:rPr>
            </w:pPr>
            <w:r>
              <w:rPr>
                <w:bCs/>
                <w:color w:val="auto"/>
                <w:kern w:val="0"/>
                <w:szCs w:val="21"/>
              </w:rPr>
              <w:t>C</w:t>
            </w:r>
          </w:p>
        </w:tc>
        <w:tc>
          <w:tcPr>
            <w:tcW w:w="1128" w:type="dxa"/>
            <w:vAlign w:val="center"/>
          </w:tcPr>
          <w:p>
            <w:pPr>
              <w:widowControl/>
              <w:spacing w:line="300" w:lineRule="auto"/>
              <w:jc w:val="center"/>
              <w:rPr>
                <w:bCs/>
                <w:color w:val="auto"/>
                <w:kern w:val="0"/>
                <w:szCs w:val="21"/>
              </w:rPr>
            </w:pPr>
            <w:r>
              <w:rPr>
                <w:bCs/>
                <w:color w:val="auto"/>
                <w:kern w:val="0"/>
                <w:szCs w:val="21"/>
              </w:rPr>
              <w:t>主风向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57" w:type="dxa"/>
            <w:vAlign w:val="center"/>
          </w:tcPr>
          <w:p>
            <w:pPr>
              <w:widowControl/>
              <w:spacing w:line="300" w:lineRule="auto"/>
              <w:jc w:val="center"/>
              <w:rPr>
                <w:bCs/>
                <w:color w:val="auto"/>
                <w:kern w:val="0"/>
                <w:szCs w:val="21"/>
              </w:rPr>
            </w:pPr>
            <w:r>
              <w:rPr>
                <w:bCs/>
                <w:color w:val="auto"/>
                <w:kern w:val="0"/>
                <w:szCs w:val="21"/>
              </w:rPr>
              <w:t>风频（%）</w:t>
            </w:r>
          </w:p>
        </w:tc>
        <w:tc>
          <w:tcPr>
            <w:tcW w:w="680" w:type="dxa"/>
            <w:vAlign w:val="center"/>
          </w:tcPr>
          <w:p>
            <w:pPr>
              <w:widowControl/>
              <w:spacing w:line="300" w:lineRule="auto"/>
              <w:jc w:val="center"/>
              <w:rPr>
                <w:bCs/>
                <w:color w:val="auto"/>
                <w:kern w:val="0"/>
                <w:szCs w:val="21"/>
              </w:rPr>
            </w:pPr>
            <w:r>
              <w:rPr>
                <w:bCs/>
                <w:color w:val="auto"/>
                <w:kern w:val="0"/>
                <w:szCs w:val="21"/>
              </w:rPr>
              <w:t>5.4</w:t>
            </w:r>
          </w:p>
        </w:tc>
        <w:tc>
          <w:tcPr>
            <w:tcW w:w="697" w:type="dxa"/>
            <w:vAlign w:val="center"/>
          </w:tcPr>
          <w:p>
            <w:pPr>
              <w:widowControl/>
              <w:spacing w:line="300" w:lineRule="auto"/>
              <w:jc w:val="center"/>
              <w:rPr>
                <w:bCs/>
                <w:color w:val="auto"/>
                <w:kern w:val="0"/>
                <w:szCs w:val="21"/>
              </w:rPr>
            </w:pPr>
            <w:r>
              <w:rPr>
                <w:bCs/>
                <w:color w:val="auto"/>
                <w:kern w:val="0"/>
                <w:szCs w:val="21"/>
              </w:rPr>
              <w:t>13.0</w:t>
            </w:r>
          </w:p>
        </w:tc>
        <w:tc>
          <w:tcPr>
            <w:tcW w:w="627" w:type="dxa"/>
            <w:vAlign w:val="center"/>
          </w:tcPr>
          <w:p>
            <w:pPr>
              <w:widowControl/>
              <w:spacing w:line="300" w:lineRule="auto"/>
              <w:jc w:val="center"/>
              <w:rPr>
                <w:bCs/>
                <w:color w:val="auto"/>
                <w:kern w:val="0"/>
                <w:szCs w:val="21"/>
              </w:rPr>
            </w:pPr>
            <w:r>
              <w:rPr>
                <w:bCs/>
                <w:color w:val="auto"/>
                <w:kern w:val="0"/>
                <w:szCs w:val="21"/>
              </w:rPr>
              <w:t>26.6</w:t>
            </w:r>
          </w:p>
        </w:tc>
        <w:tc>
          <w:tcPr>
            <w:tcW w:w="861" w:type="dxa"/>
            <w:vAlign w:val="center"/>
          </w:tcPr>
          <w:p>
            <w:pPr>
              <w:widowControl/>
              <w:spacing w:line="300" w:lineRule="auto"/>
              <w:jc w:val="center"/>
              <w:rPr>
                <w:bCs/>
                <w:color w:val="auto"/>
                <w:kern w:val="0"/>
                <w:szCs w:val="21"/>
              </w:rPr>
            </w:pPr>
            <w:r>
              <w:rPr>
                <w:bCs/>
                <w:color w:val="auto"/>
                <w:szCs w:val="21"/>
              </w:rPr>
              <w:t xml:space="preserve">10.3 </w:t>
            </w:r>
          </w:p>
        </w:tc>
        <w:tc>
          <w:tcPr>
            <w:tcW w:w="566" w:type="dxa"/>
            <w:vAlign w:val="center"/>
          </w:tcPr>
          <w:p>
            <w:pPr>
              <w:widowControl/>
              <w:spacing w:line="300" w:lineRule="auto"/>
              <w:jc w:val="center"/>
              <w:rPr>
                <w:bCs/>
                <w:color w:val="auto"/>
                <w:kern w:val="0"/>
                <w:szCs w:val="21"/>
              </w:rPr>
            </w:pPr>
            <w:r>
              <w:rPr>
                <w:bCs/>
                <w:color w:val="auto"/>
                <w:szCs w:val="21"/>
              </w:rPr>
              <w:t xml:space="preserve">5.5 </w:t>
            </w:r>
          </w:p>
        </w:tc>
        <w:tc>
          <w:tcPr>
            <w:tcW w:w="902" w:type="dxa"/>
            <w:vAlign w:val="center"/>
          </w:tcPr>
          <w:p>
            <w:pPr>
              <w:widowControl/>
              <w:spacing w:line="300" w:lineRule="auto"/>
              <w:jc w:val="center"/>
              <w:rPr>
                <w:bCs/>
                <w:color w:val="auto"/>
                <w:kern w:val="0"/>
                <w:szCs w:val="21"/>
              </w:rPr>
            </w:pPr>
            <w:r>
              <w:rPr>
                <w:bCs/>
                <w:color w:val="auto"/>
                <w:szCs w:val="21"/>
              </w:rPr>
              <w:t>3.4</w:t>
            </w:r>
          </w:p>
        </w:tc>
        <w:tc>
          <w:tcPr>
            <w:tcW w:w="668" w:type="dxa"/>
            <w:vAlign w:val="center"/>
          </w:tcPr>
          <w:p>
            <w:pPr>
              <w:widowControl/>
              <w:spacing w:line="300" w:lineRule="auto"/>
              <w:jc w:val="center"/>
              <w:rPr>
                <w:bCs/>
                <w:color w:val="auto"/>
                <w:kern w:val="0"/>
                <w:szCs w:val="21"/>
              </w:rPr>
            </w:pPr>
            <w:r>
              <w:rPr>
                <w:bCs/>
                <w:color w:val="auto"/>
                <w:szCs w:val="21"/>
              </w:rPr>
              <w:t xml:space="preserve">4.4 </w:t>
            </w:r>
          </w:p>
        </w:tc>
        <w:tc>
          <w:tcPr>
            <w:tcW w:w="847" w:type="dxa"/>
            <w:vAlign w:val="center"/>
          </w:tcPr>
          <w:p>
            <w:pPr>
              <w:widowControl/>
              <w:spacing w:line="300" w:lineRule="auto"/>
              <w:jc w:val="center"/>
              <w:rPr>
                <w:bCs/>
                <w:color w:val="auto"/>
                <w:kern w:val="0"/>
                <w:szCs w:val="21"/>
              </w:rPr>
            </w:pPr>
            <w:r>
              <w:rPr>
                <w:bCs/>
                <w:color w:val="auto"/>
                <w:szCs w:val="21"/>
              </w:rPr>
              <w:t xml:space="preserve"> 4.7 </w:t>
            </w:r>
          </w:p>
        </w:tc>
        <w:tc>
          <w:tcPr>
            <w:tcW w:w="689" w:type="dxa"/>
            <w:vMerge w:val="restart"/>
            <w:vAlign w:val="center"/>
          </w:tcPr>
          <w:p>
            <w:pPr>
              <w:widowControl/>
              <w:spacing w:line="300" w:lineRule="auto"/>
              <w:jc w:val="center"/>
              <w:rPr>
                <w:bCs/>
                <w:color w:val="auto"/>
                <w:kern w:val="0"/>
                <w:szCs w:val="21"/>
              </w:rPr>
            </w:pPr>
            <w:r>
              <w:rPr>
                <w:bCs/>
                <w:color w:val="auto"/>
                <w:kern w:val="0"/>
                <w:szCs w:val="21"/>
              </w:rPr>
              <w:t>6.9</w:t>
            </w:r>
          </w:p>
        </w:tc>
        <w:tc>
          <w:tcPr>
            <w:tcW w:w="1128" w:type="dxa"/>
            <w:vMerge w:val="restart"/>
            <w:vAlign w:val="center"/>
          </w:tcPr>
          <w:p>
            <w:pPr>
              <w:widowControl/>
              <w:spacing w:line="300" w:lineRule="auto"/>
              <w:jc w:val="center"/>
              <w:rPr>
                <w:bCs/>
                <w:color w:val="auto"/>
                <w:kern w:val="0"/>
                <w:szCs w:val="21"/>
              </w:rPr>
            </w:pPr>
            <w:r>
              <w:rPr>
                <w:bCs/>
                <w:color w:val="auto"/>
                <w:kern w:val="0"/>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57" w:type="dxa"/>
            <w:vAlign w:val="center"/>
          </w:tcPr>
          <w:p>
            <w:pPr>
              <w:widowControl/>
              <w:spacing w:line="300" w:lineRule="auto"/>
              <w:jc w:val="center"/>
              <w:rPr>
                <w:bCs/>
                <w:color w:val="auto"/>
                <w:kern w:val="0"/>
                <w:szCs w:val="21"/>
              </w:rPr>
            </w:pPr>
            <w:r>
              <w:rPr>
                <w:bCs/>
                <w:color w:val="auto"/>
                <w:kern w:val="0"/>
                <w:szCs w:val="21"/>
              </w:rPr>
              <w:t>风向</w:t>
            </w:r>
          </w:p>
        </w:tc>
        <w:tc>
          <w:tcPr>
            <w:tcW w:w="680" w:type="dxa"/>
            <w:vAlign w:val="center"/>
          </w:tcPr>
          <w:p>
            <w:pPr>
              <w:widowControl/>
              <w:spacing w:line="300" w:lineRule="auto"/>
              <w:jc w:val="center"/>
              <w:rPr>
                <w:bCs/>
                <w:color w:val="auto"/>
                <w:kern w:val="0"/>
                <w:szCs w:val="21"/>
              </w:rPr>
            </w:pPr>
            <w:r>
              <w:rPr>
                <w:bCs/>
                <w:color w:val="auto"/>
                <w:kern w:val="0"/>
                <w:szCs w:val="21"/>
              </w:rPr>
              <w:t>S</w:t>
            </w:r>
          </w:p>
        </w:tc>
        <w:tc>
          <w:tcPr>
            <w:tcW w:w="697" w:type="dxa"/>
            <w:vAlign w:val="center"/>
          </w:tcPr>
          <w:p>
            <w:pPr>
              <w:widowControl/>
              <w:spacing w:line="300" w:lineRule="auto"/>
              <w:jc w:val="center"/>
              <w:rPr>
                <w:bCs/>
                <w:color w:val="auto"/>
                <w:kern w:val="0"/>
                <w:szCs w:val="21"/>
              </w:rPr>
            </w:pPr>
            <w:r>
              <w:rPr>
                <w:bCs/>
                <w:color w:val="auto"/>
                <w:kern w:val="0"/>
                <w:szCs w:val="21"/>
              </w:rPr>
              <w:t>SSW</w:t>
            </w:r>
          </w:p>
        </w:tc>
        <w:tc>
          <w:tcPr>
            <w:tcW w:w="627" w:type="dxa"/>
            <w:vAlign w:val="center"/>
          </w:tcPr>
          <w:p>
            <w:pPr>
              <w:widowControl/>
              <w:spacing w:line="300" w:lineRule="auto"/>
              <w:jc w:val="center"/>
              <w:rPr>
                <w:bCs/>
                <w:color w:val="auto"/>
                <w:kern w:val="0"/>
                <w:szCs w:val="21"/>
              </w:rPr>
            </w:pPr>
            <w:r>
              <w:rPr>
                <w:bCs/>
                <w:color w:val="auto"/>
                <w:kern w:val="0"/>
                <w:szCs w:val="21"/>
              </w:rPr>
              <w:t>SW</w:t>
            </w:r>
          </w:p>
        </w:tc>
        <w:tc>
          <w:tcPr>
            <w:tcW w:w="861" w:type="dxa"/>
            <w:vAlign w:val="center"/>
          </w:tcPr>
          <w:p>
            <w:pPr>
              <w:widowControl/>
              <w:spacing w:line="300" w:lineRule="auto"/>
              <w:jc w:val="center"/>
              <w:rPr>
                <w:bCs/>
                <w:color w:val="auto"/>
                <w:kern w:val="0"/>
                <w:szCs w:val="21"/>
              </w:rPr>
            </w:pPr>
            <w:r>
              <w:rPr>
                <w:bCs/>
                <w:color w:val="auto"/>
                <w:kern w:val="0"/>
                <w:szCs w:val="21"/>
              </w:rPr>
              <w:t>WSW</w:t>
            </w:r>
          </w:p>
        </w:tc>
        <w:tc>
          <w:tcPr>
            <w:tcW w:w="566" w:type="dxa"/>
            <w:vAlign w:val="center"/>
          </w:tcPr>
          <w:p>
            <w:pPr>
              <w:widowControl/>
              <w:spacing w:line="300" w:lineRule="auto"/>
              <w:jc w:val="center"/>
              <w:rPr>
                <w:bCs/>
                <w:color w:val="auto"/>
                <w:kern w:val="0"/>
                <w:szCs w:val="21"/>
              </w:rPr>
            </w:pPr>
            <w:r>
              <w:rPr>
                <w:bCs/>
                <w:color w:val="auto"/>
                <w:kern w:val="0"/>
                <w:szCs w:val="21"/>
              </w:rPr>
              <w:t>W</w:t>
            </w:r>
          </w:p>
        </w:tc>
        <w:tc>
          <w:tcPr>
            <w:tcW w:w="902" w:type="dxa"/>
            <w:vAlign w:val="center"/>
          </w:tcPr>
          <w:p>
            <w:pPr>
              <w:widowControl/>
              <w:spacing w:line="300" w:lineRule="auto"/>
              <w:jc w:val="center"/>
              <w:rPr>
                <w:bCs/>
                <w:color w:val="auto"/>
                <w:kern w:val="0"/>
                <w:szCs w:val="21"/>
              </w:rPr>
            </w:pPr>
            <w:r>
              <w:rPr>
                <w:bCs/>
                <w:color w:val="auto"/>
                <w:kern w:val="0"/>
                <w:szCs w:val="21"/>
              </w:rPr>
              <w:t>WNW</w:t>
            </w:r>
          </w:p>
        </w:tc>
        <w:tc>
          <w:tcPr>
            <w:tcW w:w="668" w:type="dxa"/>
            <w:vAlign w:val="center"/>
          </w:tcPr>
          <w:p>
            <w:pPr>
              <w:widowControl/>
              <w:spacing w:line="300" w:lineRule="auto"/>
              <w:jc w:val="center"/>
              <w:rPr>
                <w:bCs/>
                <w:color w:val="auto"/>
                <w:kern w:val="0"/>
                <w:szCs w:val="21"/>
              </w:rPr>
            </w:pPr>
            <w:r>
              <w:rPr>
                <w:bCs/>
                <w:color w:val="auto"/>
                <w:kern w:val="0"/>
                <w:szCs w:val="21"/>
              </w:rPr>
              <w:t>NW</w:t>
            </w:r>
          </w:p>
        </w:tc>
        <w:tc>
          <w:tcPr>
            <w:tcW w:w="847" w:type="dxa"/>
            <w:vAlign w:val="center"/>
          </w:tcPr>
          <w:p>
            <w:pPr>
              <w:widowControl/>
              <w:spacing w:line="300" w:lineRule="auto"/>
              <w:jc w:val="center"/>
              <w:rPr>
                <w:bCs/>
                <w:color w:val="auto"/>
                <w:kern w:val="0"/>
                <w:szCs w:val="21"/>
              </w:rPr>
            </w:pPr>
            <w:r>
              <w:rPr>
                <w:bCs/>
                <w:color w:val="auto"/>
                <w:kern w:val="0"/>
                <w:szCs w:val="21"/>
              </w:rPr>
              <w:t>NNW</w:t>
            </w:r>
          </w:p>
        </w:tc>
        <w:tc>
          <w:tcPr>
            <w:tcW w:w="689" w:type="dxa"/>
            <w:vMerge w:val="continue"/>
            <w:vAlign w:val="center"/>
          </w:tcPr>
          <w:p>
            <w:pPr>
              <w:widowControl/>
              <w:spacing w:line="300" w:lineRule="auto"/>
              <w:jc w:val="center"/>
              <w:rPr>
                <w:bCs/>
                <w:color w:val="auto"/>
                <w:kern w:val="0"/>
                <w:szCs w:val="21"/>
              </w:rPr>
            </w:pPr>
          </w:p>
        </w:tc>
        <w:tc>
          <w:tcPr>
            <w:tcW w:w="1128" w:type="dxa"/>
            <w:vMerge w:val="continue"/>
            <w:vAlign w:val="center"/>
          </w:tcPr>
          <w:p>
            <w:pPr>
              <w:widowControl/>
              <w:spacing w:line="300" w:lineRule="auto"/>
              <w:jc w:val="center"/>
              <w:rPr>
                <w:bCs/>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57" w:type="dxa"/>
            <w:vAlign w:val="center"/>
          </w:tcPr>
          <w:p>
            <w:pPr>
              <w:widowControl/>
              <w:spacing w:line="300" w:lineRule="auto"/>
              <w:jc w:val="center"/>
              <w:rPr>
                <w:bCs/>
                <w:color w:val="auto"/>
                <w:kern w:val="0"/>
                <w:szCs w:val="21"/>
              </w:rPr>
            </w:pPr>
            <w:r>
              <w:rPr>
                <w:bCs/>
                <w:color w:val="auto"/>
                <w:kern w:val="0"/>
                <w:szCs w:val="21"/>
              </w:rPr>
              <w:t>风频（%）</w:t>
            </w:r>
          </w:p>
        </w:tc>
        <w:tc>
          <w:tcPr>
            <w:tcW w:w="680" w:type="dxa"/>
            <w:vAlign w:val="center"/>
          </w:tcPr>
          <w:p>
            <w:pPr>
              <w:widowControl/>
              <w:spacing w:line="300" w:lineRule="auto"/>
              <w:jc w:val="center"/>
              <w:rPr>
                <w:bCs/>
                <w:color w:val="auto"/>
                <w:kern w:val="0"/>
                <w:szCs w:val="21"/>
              </w:rPr>
            </w:pPr>
            <w:r>
              <w:rPr>
                <w:bCs/>
                <w:color w:val="auto"/>
                <w:szCs w:val="21"/>
              </w:rPr>
              <w:t xml:space="preserve">6.1 </w:t>
            </w:r>
          </w:p>
        </w:tc>
        <w:tc>
          <w:tcPr>
            <w:tcW w:w="697" w:type="dxa"/>
            <w:vAlign w:val="center"/>
          </w:tcPr>
          <w:p>
            <w:pPr>
              <w:widowControl/>
              <w:spacing w:line="300" w:lineRule="auto"/>
              <w:jc w:val="center"/>
              <w:rPr>
                <w:bCs/>
                <w:color w:val="auto"/>
                <w:kern w:val="0"/>
                <w:szCs w:val="21"/>
              </w:rPr>
            </w:pPr>
            <w:r>
              <w:rPr>
                <w:bCs/>
                <w:color w:val="auto"/>
                <w:szCs w:val="21"/>
              </w:rPr>
              <w:t xml:space="preserve"> 3.4 </w:t>
            </w:r>
          </w:p>
        </w:tc>
        <w:tc>
          <w:tcPr>
            <w:tcW w:w="627" w:type="dxa"/>
            <w:vAlign w:val="center"/>
          </w:tcPr>
          <w:p>
            <w:pPr>
              <w:widowControl/>
              <w:spacing w:line="300" w:lineRule="auto"/>
              <w:jc w:val="center"/>
              <w:rPr>
                <w:bCs/>
                <w:color w:val="auto"/>
                <w:kern w:val="0"/>
                <w:szCs w:val="21"/>
              </w:rPr>
            </w:pPr>
            <w:r>
              <w:rPr>
                <w:bCs/>
                <w:color w:val="auto"/>
                <w:szCs w:val="21"/>
              </w:rPr>
              <w:t xml:space="preserve">2.5 </w:t>
            </w:r>
          </w:p>
        </w:tc>
        <w:tc>
          <w:tcPr>
            <w:tcW w:w="861" w:type="dxa"/>
            <w:vAlign w:val="center"/>
          </w:tcPr>
          <w:p>
            <w:pPr>
              <w:widowControl/>
              <w:spacing w:line="300" w:lineRule="auto"/>
              <w:jc w:val="center"/>
              <w:rPr>
                <w:bCs/>
                <w:color w:val="auto"/>
                <w:kern w:val="0"/>
                <w:szCs w:val="21"/>
              </w:rPr>
            </w:pPr>
            <w:r>
              <w:rPr>
                <w:bCs/>
                <w:color w:val="auto"/>
                <w:szCs w:val="21"/>
              </w:rPr>
              <w:t xml:space="preserve">1.1 </w:t>
            </w:r>
          </w:p>
        </w:tc>
        <w:tc>
          <w:tcPr>
            <w:tcW w:w="566" w:type="dxa"/>
            <w:vAlign w:val="center"/>
          </w:tcPr>
          <w:p>
            <w:pPr>
              <w:widowControl/>
              <w:spacing w:line="300" w:lineRule="auto"/>
              <w:jc w:val="center"/>
              <w:rPr>
                <w:bCs/>
                <w:color w:val="auto"/>
                <w:kern w:val="0"/>
                <w:szCs w:val="21"/>
              </w:rPr>
            </w:pPr>
            <w:r>
              <w:rPr>
                <w:bCs/>
                <w:color w:val="auto"/>
                <w:szCs w:val="21"/>
              </w:rPr>
              <w:t xml:space="preserve">1.1 </w:t>
            </w:r>
          </w:p>
        </w:tc>
        <w:tc>
          <w:tcPr>
            <w:tcW w:w="902" w:type="dxa"/>
            <w:vAlign w:val="center"/>
          </w:tcPr>
          <w:p>
            <w:pPr>
              <w:widowControl/>
              <w:spacing w:line="300" w:lineRule="auto"/>
              <w:jc w:val="center"/>
              <w:rPr>
                <w:bCs/>
                <w:color w:val="auto"/>
                <w:kern w:val="0"/>
                <w:szCs w:val="21"/>
              </w:rPr>
            </w:pPr>
            <w:r>
              <w:rPr>
                <w:bCs/>
                <w:color w:val="auto"/>
                <w:szCs w:val="21"/>
              </w:rPr>
              <w:t xml:space="preserve">1.0 </w:t>
            </w:r>
          </w:p>
        </w:tc>
        <w:tc>
          <w:tcPr>
            <w:tcW w:w="668" w:type="dxa"/>
            <w:vAlign w:val="center"/>
          </w:tcPr>
          <w:p>
            <w:pPr>
              <w:widowControl/>
              <w:spacing w:line="300" w:lineRule="auto"/>
              <w:jc w:val="center"/>
              <w:rPr>
                <w:bCs/>
                <w:color w:val="auto"/>
                <w:kern w:val="0"/>
                <w:szCs w:val="21"/>
              </w:rPr>
            </w:pPr>
            <w:r>
              <w:rPr>
                <w:bCs/>
                <w:color w:val="auto"/>
                <w:szCs w:val="21"/>
              </w:rPr>
              <w:t xml:space="preserve">1.8 </w:t>
            </w:r>
          </w:p>
        </w:tc>
        <w:tc>
          <w:tcPr>
            <w:tcW w:w="847" w:type="dxa"/>
            <w:vAlign w:val="center"/>
          </w:tcPr>
          <w:p>
            <w:pPr>
              <w:widowControl/>
              <w:spacing w:line="300" w:lineRule="auto"/>
              <w:jc w:val="center"/>
              <w:rPr>
                <w:bCs/>
                <w:color w:val="auto"/>
                <w:kern w:val="0"/>
                <w:szCs w:val="21"/>
              </w:rPr>
            </w:pPr>
            <w:r>
              <w:rPr>
                <w:bCs/>
                <w:color w:val="auto"/>
                <w:szCs w:val="21"/>
              </w:rPr>
              <w:t>2.6</w:t>
            </w:r>
          </w:p>
        </w:tc>
        <w:tc>
          <w:tcPr>
            <w:tcW w:w="689" w:type="dxa"/>
            <w:vMerge w:val="continue"/>
            <w:vAlign w:val="center"/>
          </w:tcPr>
          <w:p>
            <w:pPr>
              <w:widowControl/>
              <w:spacing w:line="300" w:lineRule="auto"/>
              <w:jc w:val="center"/>
              <w:rPr>
                <w:bCs/>
                <w:color w:val="auto"/>
                <w:kern w:val="0"/>
                <w:szCs w:val="21"/>
              </w:rPr>
            </w:pPr>
          </w:p>
        </w:tc>
        <w:tc>
          <w:tcPr>
            <w:tcW w:w="1128" w:type="dxa"/>
            <w:vMerge w:val="continue"/>
            <w:vAlign w:val="center"/>
          </w:tcPr>
          <w:p>
            <w:pPr>
              <w:widowControl/>
              <w:spacing w:line="300" w:lineRule="auto"/>
              <w:jc w:val="center"/>
              <w:rPr>
                <w:bCs/>
                <w:color w:val="auto"/>
                <w:kern w:val="0"/>
                <w:szCs w:val="21"/>
              </w:rPr>
            </w:pPr>
          </w:p>
        </w:tc>
      </w:tr>
    </w:tbl>
    <w:p>
      <w:pPr>
        <w:pStyle w:val="63"/>
        <w:jc w:val="center"/>
        <w:rPr>
          <w:color w:val="auto"/>
        </w:rPr>
      </w:pPr>
      <w:r>
        <w:rPr>
          <w:color w:val="auto"/>
        </w:rPr>
        <w:drawing>
          <wp:inline distT="0" distB="0" distL="0" distR="0">
            <wp:extent cx="2795270" cy="2258695"/>
            <wp:effectExtent l="0" t="0" r="5080" b="8255"/>
            <wp:docPr id="1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795270" cy="2258695"/>
                    </a:xfrm>
                    <a:prstGeom prst="rect">
                      <a:avLst/>
                    </a:prstGeom>
                    <a:noFill/>
                    <a:ln>
                      <a:noFill/>
                    </a:ln>
                  </pic:spPr>
                </pic:pic>
              </a:graphicData>
            </a:graphic>
          </wp:inline>
        </w:drawing>
      </w:r>
    </w:p>
    <w:p>
      <w:pPr>
        <w:pStyle w:val="63"/>
        <w:jc w:val="center"/>
        <w:rPr>
          <w:color w:val="auto"/>
        </w:rPr>
      </w:pPr>
      <w:r>
        <w:rPr>
          <w:b/>
          <w:bCs/>
          <w:color w:val="auto"/>
          <w:szCs w:val="28"/>
        </w:rPr>
        <w:t>图6.</w:t>
      </w:r>
      <w:r>
        <w:rPr>
          <w:rFonts w:hint="eastAsia"/>
          <w:b/>
          <w:bCs/>
          <w:color w:val="auto"/>
          <w:szCs w:val="28"/>
        </w:rPr>
        <w:t>4</w:t>
      </w:r>
      <w:r>
        <w:rPr>
          <w:b/>
          <w:bCs/>
          <w:color w:val="auto"/>
          <w:szCs w:val="28"/>
        </w:rPr>
        <w:t>-1</w:t>
      </w:r>
      <w:r>
        <w:rPr>
          <w:rFonts w:hint="eastAsia"/>
          <w:b/>
          <w:bCs/>
          <w:color w:val="auto"/>
          <w:szCs w:val="28"/>
        </w:rPr>
        <w:t xml:space="preserve"> 清远市</w:t>
      </w:r>
      <w:r>
        <w:rPr>
          <w:b/>
          <w:bCs/>
          <w:color w:val="auto"/>
          <w:szCs w:val="28"/>
        </w:rPr>
        <w:t>多年风向玫瑰图</w:t>
      </w:r>
    </w:p>
    <w:p>
      <w:pPr>
        <w:pStyle w:val="44"/>
        <w:numPr>
          <w:ilvl w:val="2"/>
          <w:numId w:val="0"/>
        </w:numPr>
        <w:tabs>
          <w:tab w:val="clear" w:pos="720"/>
        </w:tabs>
        <w:spacing w:before="159" w:after="159" w:line="360" w:lineRule="auto"/>
        <w:rPr>
          <w:color w:val="auto"/>
          <w:sz w:val="28"/>
          <w:szCs w:val="28"/>
        </w:rPr>
      </w:pPr>
      <w:bookmarkStart w:id="623" w:name="_Toc24932"/>
      <w:r>
        <w:rPr>
          <w:rFonts w:hint="eastAsia"/>
          <w:color w:val="auto"/>
          <w:sz w:val="28"/>
          <w:szCs w:val="28"/>
        </w:rPr>
        <w:t>6</w:t>
      </w:r>
      <w:r>
        <w:rPr>
          <w:color w:val="auto"/>
          <w:sz w:val="28"/>
          <w:szCs w:val="28"/>
        </w:rPr>
        <w:t xml:space="preserve">.4.2 </w:t>
      </w:r>
      <w:r>
        <w:rPr>
          <w:rFonts w:hint="eastAsia"/>
          <w:color w:val="auto"/>
          <w:sz w:val="28"/>
          <w:szCs w:val="28"/>
        </w:rPr>
        <w:t xml:space="preserve"> </w:t>
      </w:r>
      <w:r>
        <w:rPr>
          <w:color w:val="auto"/>
          <w:sz w:val="28"/>
          <w:szCs w:val="28"/>
        </w:rPr>
        <w:t>地形数据及气象地面特征参数</w:t>
      </w:r>
      <w:bookmarkEnd w:id="622"/>
      <w:bookmarkEnd w:id="623"/>
    </w:p>
    <w:p>
      <w:pPr>
        <w:spacing w:line="360" w:lineRule="auto"/>
        <w:ind w:firstLine="480" w:firstLineChars="200"/>
        <w:rPr>
          <w:b/>
          <w:color w:val="auto"/>
          <w:sz w:val="24"/>
        </w:rPr>
      </w:pPr>
      <w:r>
        <w:rPr>
          <w:bCs/>
          <w:color w:val="auto"/>
          <w:sz w:val="24"/>
        </w:rPr>
        <w:t>地形数据来源于http://srtm.csi.cgiar.org/，数据精度为3秒(约90m)，即东西向网格间距为3(秒)、南北向网格间距为3(秒)，数据分辨率符合导则要求。</w:t>
      </w:r>
    </w:p>
    <w:p>
      <w:pPr>
        <w:pStyle w:val="44"/>
        <w:numPr>
          <w:ilvl w:val="2"/>
          <w:numId w:val="0"/>
        </w:numPr>
        <w:tabs>
          <w:tab w:val="clear" w:pos="720"/>
        </w:tabs>
        <w:spacing w:before="159" w:after="159" w:line="360" w:lineRule="auto"/>
        <w:rPr>
          <w:color w:val="auto"/>
          <w:sz w:val="28"/>
          <w:szCs w:val="28"/>
        </w:rPr>
      </w:pPr>
      <w:bookmarkStart w:id="624" w:name="_Toc23095"/>
      <w:bookmarkStart w:id="625" w:name="_Toc18927"/>
      <w:r>
        <w:rPr>
          <w:rFonts w:hint="eastAsia"/>
          <w:color w:val="auto"/>
          <w:sz w:val="28"/>
          <w:szCs w:val="28"/>
        </w:rPr>
        <w:t>6</w:t>
      </w:r>
      <w:r>
        <w:rPr>
          <w:color w:val="auto"/>
          <w:sz w:val="28"/>
          <w:szCs w:val="28"/>
        </w:rPr>
        <w:t xml:space="preserve">.4.3 </w:t>
      </w:r>
      <w:r>
        <w:rPr>
          <w:rFonts w:hint="eastAsia"/>
          <w:color w:val="auto"/>
          <w:sz w:val="28"/>
          <w:szCs w:val="28"/>
        </w:rPr>
        <w:t xml:space="preserve">  </w:t>
      </w:r>
      <w:r>
        <w:rPr>
          <w:color w:val="auto"/>
          <w:sz w:val="28"/>
          <w:szCs w:val="28"/>
        </w:rPr>
        <w:t>预测与评价内容</w:t>
      </w:r>
      <w:bookmarkEnd w:id="624"/>
      <w:bookmarkEnd w:id="625"/>
    </w:p>
    <w:p>
      <w:pPr>
        <w:spacing w:line="360" w:lineRule="auto"/>
        <w:ind w:firstLine="480" w:firstLineChars="200"/>
        <w:rPr>
          <w:color w:val="auto"/>
          <w:sz w:val="24"/>
        </w:rPr>
      </w:pPr>
      <w:r>
        <w:rPr>
          <w:color w:val="auto"/>
          <w:sz w:val="24"/>
        </w:rPr>
        <w:t>1、预测因子</w:t>
      </w:r>
    </w:p>
    <w:p>
      <w:pPr>
        <w:widowControl/>
        <w:spacing w:line="360" w:lineRule="auto"/>
        <w:ind w:firstLine="480"/>
        <w:textAlignment w:val="center"/>
        <w:rPr>
          <w:color w:val="auto"/>
          <w:sz w:val="24"/>
        </w:rPr>
      </w:pPr>
      <w:r>
        <w:rPr>
          <w:color w:val="auto"/>
          <w:sz w:val="24"/>
        </w:rPr>
        <w:t>根据《环境影响评价技术导则 大气环境》（HJ 2.2－2018）的规定：预测因子根据评价因子而定，选取有环境质量标准的评价因子作为预测因子。本项目选取本项目最突出的大气污染物——</w:t>
      </w:r>
      <w:r>
        <w:rPr>
          <w:rFonts w:hint="eastAsia"/>
          <w:color w:val="auto"/>
          <w:sz w:val="24"/>
        </w:rPr>
        <w:t>颗粒物、苯并[a]芘、</w:t>
      </w:r>
      <w:r>
        <w:rPr>
          <w:color w:val="auto"/>
          <w:sz w:val="24"/>
        </w:rPr>
        <w:t>非甲烷总烃作为预测因子</w:t>
      </w:r>
      <w:r>
        <w:rPr>
          <w:rFonts w:hint="eastAsia"/>
          <w:color w:val="auto"/>
          <w:sz w:val="24"/>
        </w:rPr>
        <w:t>，</w:t>
      </w:r>
      <w:r>
        <w:rPr>
          <w:color w:val="auto"/>
          <w:sz w:val="24"/>
        </w:rPr>
        <w:t>评价标准详见</w:t>
      </w:r>
      <w:r>
        <w:rPr>
          <w:rFonts w:hint="eastAsia"/>
          <w:color w:val="auto"/>
          <w:sz w:val="24"/>
        </w:rPr>
        <w:t>下表</w:t>
      </w:r>
      <w:r>
        <w:rPr>
          <w:color w:val="auto"/>
          <w:sz w:val="24"/>
        </w:rPr>
        <w:t>。</w:t>
      </w:r>
    </w:p>
    <w:p>
      <w:pPr>
        <w:tabs>
          <w:tab w:val="left" w:pos="1081"/>
        </w:tabs>
        <w:adjustRightInd w:val="0"/>
        <w:spacing w:line="360" w:lineRule="auto"/>
        <w:jc w:val="center"/>
        <w:rPr>
          <w:b/>
          <w:color w:val="auto"/>
          <w:spacing w:val="-1"/>
          <w:kern w:val="30"/>
          <w:position w:val="-1"/>
          <w:szCs w:val="21"/>
        </w:rPr>
      </w:pPr>
      <w:r>
        <w:rPr>
          <w:b/>
          <w:color w:val="auto"/>
          <w:spacing w:val="-1"/>
          <w:kern w:val="30"/>
          <w:position w:val="-1"/>
          <w:szCs w:val="21"/>
        </w:rPr>
        <w:t>表</w:t>
      </w:r>
      <w:r>
        <w:rPr>
          <w:rFonts w:hint="eastAsia"/>
          <w:b/>
          <w:color w:val="auto"/>
          <w:spacing w:val="-1"/>
          <w:kern w:val="30"/>
          <w:position w:val="-1"/>
          <w:szCs w:val="21"/>
        </w:rPr>
        <w:t xml:space="preserve">6.4-6  </w:t>
      </w:r>
      <w:r>
        <w:rPr>
          <w:b/>
          <w:color w:val="auto"/>
          <w:spacing w:val="-1"/>
          <w:kern w:val="30"/>
          <w:position w:val="-1"/>
          <w:szCs w:val="21"/>
        </w:rPr>
        <w:t>评价</w:t>
      </w:r>
      <w:r>
        <w:rPr>
          <w:rFonts w:hint="eastAsia"/>
          <w:b/>
          <w:color w:val="auto"/>
          <w:spacing w:val="-1"/>
          <w:kern w:val="30"/>
          <w:position w:val="-1"/>
          <w:szCs w:val="21"/>
        </w:rPr>
        <w:t>因子和评价标准</w:t>
      </w:r>
      <w:r>
        <w:rPr>
          <w:b/>
          <w:color w:val="auto"/>
          <w:spacing w:val="-1"/>
          <w:kern w:val="30"/>
          <w:position w:val="-1"/>
          <w:szCs w:val="21"/>
        </w:rPr>
        <w:t>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777"/>
        <w:gridCol w:w="1118"/>
        <w:gridCol w:w="5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8" w:type="dxa"/>
            <w:tcBorders>
              <w:tl2br w:val="nil"/>
              <w:tr2bl w:val="nil"/>
            </w:tcBorders>
            <w:vAlign w:val="center"/>
          </w:tcPr>
          <w:p>
            <w:pPr>
              <w:tabs>
                <w:tab w:val="left" w:pos="1081"/>
              </w:tabs>
              <w:adjustRightInd w:val="0"/>
              <w:spacing w:line="25" w:lineRule="atLeast"/>
              <w:jc w:val="center"/>
              <w:rPr>
                <w:color w:val="auto"/>
                <w:szCs w:val="21"/>
              </w:rPr>
            </w:pPr>
            <w:r>
              <w:rPr>
                <w:color w:val="auto"/>
                <w:szCs w:val="21"/>
              </w:rPr>
              <w:t>评价因子</w:t>
            </w:r>
          </w:p>
        </w:tc>
        <w:tc>
          <w:tcPr>
            <w:tcW w:w="777" w:type="dxa"/>
            <w:tcBorders>
              <w:tl2br w:val="nil"/>
              <w:tr2bl w:val="nil"/>
            </w:tcBorders>
            <w:vAlign w:val="center"/>
          </w:tcPr>
          <w:p>
            <w:pPr>
              <w:tabs>
                <w:tab w:val="left" w:pos="1081"/>
              </w:tabs>
              <w:adjustRightInd w:val="0"/>
              <w:spacing w:line="25" w:lineRule="atLeast"/>
              <w:jc w:val="center"/>
              <w:rPr>
                <w:color w:val="auto"/>
                <w:szCs w:val="21"/>
              </w:rPr>
            </w:pPr>
            <w:r>
              <w:rPr>
                <w:color w:val="auto"/>
                <w:szCs w:val="21"/>
              </w:rPr>
              <w:t>平均</w:t>
            </w:r>
          </w:p>
          <w:p>
            <w:pPr>
              <w:tabs>
                <w:tab w:val="left" w:pos="1081"/>
              </w:tabs>
              <w:adjustRightInd w:val="0"/>
              <w:spacing w:line="25" w:lineRule="atLeast"/>
              <w:jc w:val="center"/>
              <w:rPr>
                <w:color w:val="auto"/>
                <w:szCs w:val="21"/>
              </w:rPr>
            </w:pPr>
            <w:r>
              <w:rPr>
                <w:color w:val="auto"/>
                <w:szCs w:val="21"/>
              </w:rPr>
              <w:t>时段</w:t>
            </w:r>
          </w:p>
        </w:tc>
        <w:tc>
          <w:tcPr>
            <w:tcW w:w="1118" w:type="dxa"/>
            <w:tcBorders>
              <w:tl2br w:val="nil"/>
              <w:tr2bl w:val="nil"/>
            </w:tcBorders>
            <w:vAlign w:val="center"/>
          </w:tcPr>
          <w:p>
            <w:pPr>
              <w:tabs>
                <w:tab w:val="left" w:pos="1081"/>
              </w:tabs>
              <w:adjustRightInd w:val="0"/>
              <w:spacing w:line="25" w:lineRule="atLeast"/>
              <w:jc w:val="center"/>
              <w:rPr>
                <w:color w:val="auto"/>
                <w:szCs w:val="21"/>
              </w:rPr>
            </w:pPr>
            <w:r>
              <w:rPr>
                <w:color w:val="auto"/>
                <w:szCs w:val="21"/>
              </w:rPr>
              <w:t>标准值（μg/m</w:t>
            </w:r>
            <w:r>
              <w:rPr>
                <w:color w:val="auto"/>
                <w:szCs w:val="21"/>
                <w:vertAlign w:val="superscript"/>
              </w:rPr>
              <w:t>3</w:t>
            </w:r>
            <w:r>
              <w:rPr>
                <w:color w:val="auto"/>
                <w:szCs w:val="21"/>
              </w:rPr>
              <w:t>）</w:t>
            </w:r>
          </w:p>
        </w:tc>
        <w:tc>
          <w:tcPr>
            <w:tcW w:w="5745" w:type="dxa"/>
            <w:tcBorders>
              <w:tl2br w:val="nil"/>
              <w:tr2bl w:val="nil"/>
            </w:tcBorders>
            <w:vAlign w:val="center"/>
          </w:tcPr>
          <w:p>
            <w:pPr>
              <w:tabs>
                <w:tab w:val="left" w:pos="1081"/>
              </w:tabs>
              <w:adjustRightInd w:val="0"/>
              <w:spacing w:line="25" w:lineRule="atLeast"/>
              <w:jc w:val="center"/>
              <w:rPr>
                <w:color w:val="auto"/>
                <w:szCs w:val="21"/>
              </w:rPr>
            </w:pPr>
            <w:r>
              <w:rPr>
                <w:color w:val="auto"/>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8" w:type="dxa"/>
            <w:tcBorders>
              <w:tl2br w:val="nil"/>
              <w:tr2bl w:val="nil"/>
            </w:tcBorders>
            <w:vAlign w:val="center"/>
          </w:tcPr>
          <w:p>
            <w:pPr>
              <w:autoSpaceDE w:val="0"/>
              <w:autoSpaceDN w:val="0"/>
              <w:spacing w:line="25" w:lineRule="atLeast"/>
              <w:jc w:val="center"/>
              <w:rPr>
                <w:color w:val="auto"/>
                <w:szCs w:val="21"/>
              </w:rPr>
            </w:pPr>
            <w:r>
              <w:rPr>
                <w:rFonts w:hint="eastAsia"/>
                <w:color w:val="auto"/>
                <w:szCs w:val="21"/>
              </w:rPr>
              <w:t>总悬浮颗粒物（TSP）</w:t>
            </w:r>
          </w:p>
        </w:tc>
        <w:tc>
          <w:tcPr>
            <w:tcW w:w="777" w:type="dxa"/>
            <w:tcBorders>
              <w:tl2br w:val="nil"/>
              <w:tr2bl w:val="nil"/>
            </w:tcBorders>
            <w:vAlign w:val="center"/>
          </w:tcPr>
          <w:p>
            <w:pPr>
              <w:autoSpaceDE w:val="0"/>
              <w:autoSpaceDN w:val="0"/>
              <w:spacing w:line="25" w:lineRule="atLeast"/>
              <w:jc w:val="center"/>
              <w:rPr>
                <w:color w:val="auto"/>
                <w:szCs w:val="21"/>
              </w:rPr>
            </w:pPr>
            <w:r>
              <w:rPr>
                <w:color w:val="auto"/>
                <w:szCs w:val="21"/>
              </w:rPr>
              <w:t>1小时</w:t>
            </w:r>
          </w:p>
          <w:p>
            <w:pPr>
              <w:autoSpaceDE w:val="0"/>
              <w:autoSpaceDN w:val="0"/>
              <w:spacing w:line="25" w:lineRule="atLeast"/>
              <w:jc w:val="center"/>
              <w:rPr>
                <w:color w:val="auto"/>
                <w:szCs w:val="21"/>
              </w:rPr>
            </w:pPr>
            <w:r>
              <w:rPr>
                <w:rFonts w:hint="eastAsia"/>
                <w:color w:val="auto"/>
                <w:szCs w:val="21"/>
              </w:rPr>
              <w:t>平均</w:t>
            </w:r>
          </w:p>
        </w:tc>
        <w:tc>
          <w:tcPr>
            <w:tcW w:w="1118" w:type="dxa"/>
            <w:tcBorders>
              <w:tl2br w:val="nil"/>
              <w:tr2bl w:val="nil"/>
            </w:tcBorders>
            <w:vAlign w:val="center"/>
          </w:tcPr>
          <w:p>
            <w:pPr>
              <w:autoSpaceDE w:val="0"/>
              <w:autoSpaceDN w:val="0"/>
              <w:spacing w:line="25" w:lineRule="atLeast"/>
              <w:jc w:val="center"/>
              <w:rPr>
                <w:color w:val="auto"/>
                <w:szCs w:val="21"/>
              </w:rPr>
            </w:pPr>
            <w:r>
              <w:rPr>
                <w:color w:val="auto"/>
                <w:szCs w:val="21"/>
              </w:rPr>
              <w:t>900</w:t>
            </w:r>
          </w:p>
        </w:tc>
        <w:tc>
          <w:tcPr>
            <w:tcW w:w="5745" w:type="dxa"/>
            <w:tcBorders>
              <w:tl2br w:val="nil"/>
              <w:tr2bl w:val="nil"/>
            </w:tcBorders>
            <w:vAlign w:val="center"/>
          </w:tcPr>
          <w:p>
            <w:pPr>
              <w:autoSpaceDE w:val="0"/>
              <w:autoSpaceDN w:val="0"/>
              <w:spacing w:line="25" w:lineRule="atLeast"/>
              <w:jc w:val="center"/>
              <w:rPr>
                <w:color w:val="auto"/>
                <w:szCs w:val="21"/>
              </w:rPr>
            </w:pPr>
            <w:r>
              <w:rPr>
                <w:color w:val="auto"/>
                <w:szCs w:val="21"/>
              </w:rPr>
              <w:t>《环境影响导则 大气环境》（HJ2.2-2018），以</w:t>
            </w:r>
            <w:r>
              <w:rPr>
                <w:rFonts w:hint="eastAsia"/>
                <w:color w:val="auto"/>
                <w:szCs w:val="21"/>
              </w:rPr>
              <w:t>24</w:t>
            </w:r>
            <w:r>
              <w:rPr>
                <w:color w:val="auto"/>
                <w:szCs w:val="21"/>
              </w:rPr>
              <w:t>h平均浓度限值的三倍值</w:t>
            </w:r>
            <w:r>
              <w:rPr>
                <w:rFonts w:hint="eastAsia"/>
                <w:color w:val="auto"/>
                <w:szCs w:val="21"/>
              </w:rPr>
              <w:t>（300</w:t>
            </w:r>
            <w:r>
              <w:rPr>
                <w:color w:val="auto"/>
                <w:szCs w:val="21"/>
              </w:rPr>
              <w:t>μg/m</w:t>
            </w:r>
            <w:r>
              <w:rPr>
                <w:color w:val="auto"/>
                <w:szCs w:val="21"/>
                <w:vertAlign w:val="superscript"/>
              </w:rPr>
              <w:t>3</w:t>
            </w:r>
            <w:r>
              <w:rPr>
                <w:rFonts w:hint="eastAsia"/>
                <w:color w:val="auto"/>
                <w:szCs w:val="21"/>
              </w:rPr>
              <w:t>）</w:t>
            </w:r>
            <w:r>
              <w:rPr>
                <w:color w:val="auto"/>
                <w:szCs w:val="21"/>
              </w:rPr>
              <w:t>作为小时质量浓度限值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8" w:type="dxa"/>
            <w:tcBorders>
              <w:tl2br w:val="nil"/>
              <w:tr2bl w:val="nil"/>
            </w:tcBorders>
            <w:vAlign w:val="center"/>
          </w:tcPr>
          <w:p>
            <w:pPr>
              <w:autoSpaceDE w:val="0"/>
              <w:autoSpaceDN w:val="0"/>
              <w:spacing w:line="25" w:lineRule="atLeast"/>
              <w:jc w:val="center"/>
              <w:rPr>
                <w:color w:val="auto"/>
                <w:szCs w:val="21"/>
              </w:rPr>
            </w:pPr>
            <w:r>
              <w:rPr>
                <w:color w:val="auto"/>
                <w:szCs w:val="21"/>
              </w:rPr>
              <w:t>非甲烷总烃</w:t>
            </w:r>
          </w:p>
        </w:tc>
        <w:tc>
          <w:tcPr>
            <w:tcW w:w="777" w:type="dxa"/>
            <w:tcBorders>
              <w:tl2br w:val="nil"/>
              <w:tr2bl w:val="nil"/>
            </w:tcBorders>
            <w:vAlign w:val="center"/>
          </w:tcPr>
          <w:p>
            <w:pPr>
              <w:autoSpaceDE w:val="0"/>
              <w:autoSpaceDN w:val="0"/>
              <w:spacing w:line="25" w:lineRule="atLeast"/>
              <w:jc w:val="center"/>
              <w:rPr>
                <w:color w:val="auto"/>
                <w:szCs w:val="21"/>
              </w:rPr>
            </w:pPr>
            <w:r>
              <w:rPr>
                <w:color w:val="auto"/>
                <w:szCs w:val="21"/>
              </w:rPr>
              <w:t>1小时</w:t>
            </w:r>
          </w:p>
          <w:p>
            <w:pPr>
              <w:autoSpaceDE w:val="0"/>
              <w:autoSpaceDN w:val="0"/>
              <w:spacing w:line="25" w:lineRule="atLeast"/>
              <w:jc w:val="center"/>
              <w:rPr>
                <w:color w:val="auto"/>
                <w:szCs w:val="21"/>
              </w:rPr>
            </w:pPr>
            <w:r>
              <w:rPr>
                <w:rFonts w:hint="eastAsia"/>
                <w:color w:val="auto"/>
                <w:szCs w:val="21"/>
              </w:rPr>
              <w:t>平均</w:t>
            </w:r>
          </w:p>
        </w:tc>
        <w:tc>
          <w:tcPr>
            <w:tcW w:w="1118" w:type="dxa"/>
            <w:tcBorders>
              <w:tl2br w:val="nil"/>
              <w:tr2bl w:val="nil"/>
            </w:tcBorders>
            <w:vAlign w:val="center"/>
          </w:tcPr>
          <w:p>
            <w:pPr>
              <w:autoSpaceDE w:val="0"/>
              <w:autoSpaceDN w:val="0"/>
              <w:spacing w:line="25" w:lineRule="atLeast"/>
              <w:jc w:val="center"/>
              <w:rPr>
                <w:color w:val="auto"/>
                <w:szCs w:val="21"/>
              </w:rPr>
            </w:pPr>
            <w:r>
              <w:rPr>
                <w:color w:val="auto"/>
                <w:szCs w:val="21"/>
              </w:rPr>
              <w:t>200</w:t>
            </w:r>
          </w:p>
        </w:tc>
        <w:tc>
          <w:tcPr>
            <w:tcW w:w="5745" w:type="dxa"/>
            <w:tcBorders>
              <w:tl2br w:val="nil"/>
              <w:tr2bl w:val="nil"/>
            </w:tcBorders>
            <w:vAlign w:val="center"/>
          </w:tcPr>
          <w:p>
            <w:pPr>
              <w:autoSpaceDE w:val="0"/>
              <w:autoSpaceDN w:val="0"/>
              <w:spacing w:line="25" w:lineRule="atLeast"/>
              <w:jc w:val="center"/>
              <w:rPr>
                <w:color w:val="auto"/>
                <w:szCs w:val="21"/>
              </w:rPr>
            </w:pPr>
            <w:r>
              <w:rPr>
                <w:rFonts w:hint="eastAsia"/>
                <w:color w:val="auto"/>
                <w:szCs w:val="21"/>
              </w:rPr>
              <w:t>河北省地方标准</w:t>
            </w:r>
            <w:r>
              <w:rPr>
                <w:color w:val="auto"/>
                <w:szCs w:val="21"/>
              </w:rPr>
              <w:t>《</w:t>
            </w:r>
            <w:r>
              <w:rPr>
                <w:rFonts w:hint="eastAsia"/>
                <w:color w:val="auto"/>
                <w:szCs w:val="21"/>
              </w:rPr>
              <w:t>环境空气质量 非甲烷总烃限值</w:t>
            </w:r>
            <w:r>
              <w:rPr>
                <w:color w:val="auto"/>
                <w:szCs w:val="21"/>
              </w:rPr>
              <w:t>》中的</w:t>
            </w:r>
            <w:r>
              <w:rPr>
                <w:rFonts w:hint="eastAsia"/>
                <w:color w:val="auto"/>
                <w:szCs w:val="21"/>
              </w:rPr>
              <w:t>二级标准1小时平均浓度限值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8" w:type="dxa"/>
            <w:tcBorders>
              <w:tl2br w:val="nil"/>
              <w:tr2bl w:val="nil"/>
            </w:tcBorders>
            <w:vAlign w:val="center"/>
          </w:tcPr>
          <w:p>
            <w:pPr>
              <w:tabs>
                <w:tab w:val="left" w:pos="1081"/>
              </w:tabs>
              <w:adjustRightInd w:val="0"/>
              <w:spacing w:line="25" w:lineRule="atLeast"/>
              <w:jc w:val="center"/>
              <w:rPr>
                <w:color w:val="auto"/>
                <w:szCs w:val="21"/>
              </w:rPr>
            </w:pPr>
            <w:r>
              <w:rPr>
                <w:rFonts w:hint="eastAsia"/>
                <w:color w:val="auto"/>
                <w:szCs w:val="21"/>
              </w:rPr>
              <w:t>苯并[a]芘</w:t>
            </w:r>
          </w:p>
        </w:tc>
        <w:tc>
          <w:tcPr>
            <w:tcW w:w="777" w:type="dxa"/>
            <w:tcBorders>
              <w:tl2br w:val="nil"/>
              <w:tr2bl w:val="nil"/>
            </w:tcBorders>
            <w:vAlign w:val="center"/>
          </w:tcPr>
          <w:p>
            <w:pPr>
              <w:tabs>
                <w:tab w:val="left" w:pos="1081"/>
              </w:tabs>
              <w:adjustRightInd w:val="0"/>
              <w:spacing w:line="25" w:lineRule="atLeast"/>
              <w:jc w:val="center"/>
              <w:rPr>
                <w:color w:val="auto"/>
                <w:szCs w:val="21"/>
              </w:rPr>
            </w:pPr>
            <w:r>
              <w:rPr>
                <w:color w:val="auto"/>
                <w:szCs w:val="21"/>
              </w:rPr>
              <w:t>1小时</w:t>
            </w:r>
          </w:p>
          <w:p>
            <w:pPr>
              <w:tabs>
                <w:tab w:val="left" w:pos="1081"/>
              </w:tabs>
              <w:adjustRightInd w:val="0"/>
              <w:spacing w:line="25" w:lineRule="atLeast"/>
              <w:jc w:val="center"/>
              <w:rPr>
                <w:color w:val="auto"/>
                <w:szCs w:val="21"/>
              </w:rPr>
            </w:pPr>
            <w:r>
              <w:rPr>
                <w:color w:val="auto"/>
                <w:szCs w:val="21"/>
              </w:rPr>
              <w:t>平均</w:t>
            </w:r>
          </w:p>
        </w:tc>
        <w:tc>
          <w:tcPr>
            <w:tcW w:w="1118" w:type="dxa"/>
            <w:tcBorders>
              <w:tl2br w:val="nil"/>
              <w:tr2bl w:val="nil"/>
            </w:tcBorders>
            <w:vAlign w:val="center"/>
          </w:tcPr>
          <w:p>
            <w:pPr>
              <w:tabs>
                <w:tab w:val="left" w:pos="1081"/>
              </w:tabs>
              <w:adjustRightInd w:val="0"/>
              <w:spacing w:line="25" w:lineRule="atLeast"/>
              <w:jc w:val="center"/>
              <w:rPr>
                <w:color w:val="auto"/>
                <w:szCs w:val="21"/>
              </w:rPr>
            </w:pPr>
            <w:r>
              <w:rPr>
                <w:rFonts w:hint="eastAsia"/>
                <w:color w:val="auto"/>
                <w:szCs w:val="21"/>
              </w:rPr>
              <w:t>0.0075</w:t>
            </w:r>
          </w:p>
        </w:tc>
        <w:tc>
          <w:tcPr>
            <w:tcW w:w="5745" w:type="dxa"/>
            <w:tcBorders>
              <w:tl2br w:val="nil"/>
              <w:tr2bl w:val="nil"/>
            </w:tcBorders>
            <w:vAlign w:val="center"/>
          </w:tcPr>
          <w:p>
            <w:pPr>
              <w:tabs>
                <w:tab w:val="left" w:pos="1081"/>
              </w:tabs>
              <w:adjustRightInd w:val="0"/>
              <w:spacing w:line="25" w:lineRule="atLeast"/>
              <w:jc w:val="center"/>
              <w:rPr>
                <w:color w:val="auto"/>
                <w:szCs w:val="21"/>
              </w:rPr>
            </w:pPr>
            <w:r>
              <w:rPr>
                <w:rFonts w:hint="eastAsia"/>
                <w:color w:val="auto"/>
                <w:szCs w:val="21"/>
              </w:rPr>
              <w:t>《环境空气质量标准》（HJ2.2-2018）及其修改单，</w:t>
            </w:r>
            <w:r>
              <w:rPr>
                <w:color w:val="auto"/>
                <w:szCs w:val="21"/>
              </w:rPr>
              <w:t>以</w:t>
            </w:r>
            <w:r>
              <w:rPr>
                <w:rFonts w:hint="eastAsia"/>
                <w:color w:val="auto"/>
                <w:szCs w:val="21"/>
              </w:rPr>
              <w:t>24</w:t>
            </w:r>
            <w:r>
              <w:rPr>
                <w:color w:val="auto"/>
                <w:szCs w:val="21"/>
              </w:rPr>
              <w:t>h平均浓度（</w:t>
            </w:r>
            <w:r>
              <w:rPr>
                <w:rFonts w:hint="eastAsia"/>
                <w:color w:val="auto"/>
                <w:szCs w:val="21"/>
              </w:rPr>
              <w:t>0.0025</w:t>
            </w:r>
            <w:r>
              <w:rPr>
                <w:color w:val="auto"/>
                <w:szCs w:val="21"/>
              </w:rPr>
              <w:t>μg/m</w:t>
            </w:r>
            <w:r>
              <w:rPr>
                <w:color w:val="auto"/>
                <w:szCs w:val="21"/>
                <w:vertAlign w:val="superscript"/>
              </w:rPr>
              <w:t>3</w:t>
            </w:r>
            <w:r>
              <w:rPr>
                <w:color w:val="auto"/>
                <w:szCs w:val="21"/>
              </w:rPr>
              <w:t>）限值的</w:t>
            </w:r>
            <w:r>
              <w:rPr>
                <w:rFonts w:hint="eastAsia"/>
                <w:color w:val="auto"/>
                <w:szCs w:val="21"/>
              </w:rPr>
              <w:t>3</w:t>
            </w:r>
            <w:r>
              <w:rPr>
                <w:color w:val="auto"/>
                <w:szCs w:val="21"/>
              </w:rPr>
              <w:t>倍值作为小时质量浓度限值</w:t>
            </w:r>
          </w:p>
        </w:tc>
      </w:tr>
    </w:tbl>
    <w:p>
      <w:pPr>
        <w:spacing w:line="360" w:lineRule="auto"/>
        <w:ind w:firstLine="480" w:firstLineChars="200"/>
        <w:rPr>
          <w:color w:val="auto"/>
          <w:sz w:val="24"/>
        </w:rPr>
      </w:pPr>
      <w:r>
        <w:rPr>
          <w:color w:val="auto"/>
          <w:sz w:val="24"/>
        </w:rPr>
        <w:t>2、预测模型</w:t>
      </w:r>
    </w:p>
    <w:p>
      <w:pPr>
        <w:spacing w:line="360" w:lineRule="auto"/>
        <w:ind w:firstLine="480" w:firstLineChars="200"/>
        <w:rPr>
          <w:color w:val="auto"/>
          <w:sz w:val="24"/>
        </w:rPr>
      </w:pPr>
      <w:r>
        <w:rPr>
          <w:color w:val="auto"/>
          <w:sz w:val="24"/>
        </w:rPr>
        <w:t>根据上文，确定本项目大气环境影响评价工作等级为二级。本报告采用《环境影响评价技术导则 大气环境》（HJ 2.2－2018）推荐的估算模型AERSCREEN进行预测。</w:t>
      </w:r>
    </w:p>
    <w:p>
      <w:pPr>
        <w:spacing w:line="360" w:lineRule="auto"/>
        <w:ind w:firstLine="480" w:firstLineChars="200"/>
        <w:rPr>
          <w:color w:val="auto"/>
          <w:sz w:val="24"/>
        </w:rPr>
      </w:pPr>
      <w:r>
        <w:rPr>
          <w:color w:val="auto"/>
          <w:sz w:val="24"/>
        </w:rPr>
        <w:t>3、预测范围及计算点</w:t>
      </w:r>
    </w:p>
    <w:p>
      <w:pPr>
        <w:spacing w:line="360" w:lineRule="auto"/>
        <w:ind w:firstLine="480" w:firstLineChars="200"/>
        <w:rPr>
          <w:color w:val="auto"/>
          <w:sz w:val="24"/>
        </w:rPr>
      </w:pPr>
      <w:r>
        <w:rPr>
          <w:color w:val="auto"/>
          <w:sz w:val="24"/>
        </w:rPr>
        <w:t>根据《环境影响导则 大气环境》（HJ2.2-2018）要求，二级评价项目大气环境影响评价范围边长取5km。故以厂界外延2.5km，形成边长5.0km的矩形区域为本项目的大气环境影响评价范围。东西向为X坐标轴、南北向为Y坐标轴。</w:t>
      </w:r>
    </w:p>
    <w:p>
      <w:pPr>
        <w:spacing w:line="360" w:lineRule="auto"/>
        <w:ind w:firstLine="480" w:firstLineChars="200"/>
        <w:rPr>
          <w:color w:val="auto"/>
          <w:sz w:val="24"/>
        </w:rPr>
      </w:pPr>
      <w:r>
        <w:rPr>
          <w:color w:val="auto"/>
          <w:sz w:val="24"/>
        </w:rPr>
        <w:t>4、相关参数</w:t>
      </w:r>
    </w:p>
    <w:p>
      <w:pPr>
        <w:pStyle w:val="32"/>
        <w:spacing w:line="360" w:lineRule="auto"/>
        <w:ind w:firstLine="480" w:firstLineChars="200"/>
        <w:rPr>
          <w:color w:val="auto"/>
        </w:rPr>
      </w:pPr>
      <w:r>
        <w:rPr>
          <w:color w:val="auto"/>
        </w:rPr>
        <w:t>本项目污染物估算模型参</w:t>
      </w:r>
      <w:r>
        <w:rPr>
          <w:color w:val="auto"/>
          <w:szCs w:val="20"/>
        </w:rPr>
        <w:t>数见表</w:t>
      </w:r>
      <w:r>
        <w:rPr>
          <w:color w:val="auto"/>
        </w:rPr>
        <w:t>2.6</w:t>
      </w:r>
      <w:r>
        <w:rPr>
          <w:color w:val="auto"/>
        </w:rPr>
        <w:noBreakHyphen/>
      </w:r>
      <w:r>
        <w:rPr>
          <w:rFonts w:hint="eastAsia"/>
          <w:color w:val="auto"/>
        </w:rPr>
        <w:t>4</w:t>
      </w:r>
      <w:r>
        <w:rPr>
          <w:color w:val="auto"/>
        </w:rPr>
        <w:t>。</w:t>
      </w:r>
    </w:p>
    <w:p>
      <w:pPr>
        <w:pStyle w:val="32"/>
        <w:spacing w:line="360" w:lineRule="auto"/>
        <w:ind w:firstLine="480" w:firstLineChars="200"/>
        <w:jc w:val="both"/>
        <w:rPr>
          <w:color w:val="auto"/>
          <w:szCs w:val="20"/>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Cs w:val="20"/>
        </w:rPr>
        <w:t>本预测以项目厂界</w:t>
      </w:r>
      <w:r>
        <w:rPr>
          <w:rFonts w:hint="eastAsia"/>
          <w:color w:val="auto"/>
          <w:szCs w:val="20"/>
        </w:rPr>
        <w:t>南面</w:t>
      </w:r>
      <w:r>
        <w:rPr>
          <w:color w:val="auto"/>
          <w:szCs w:val="20"/>
        </w:rPr>
        <w:t>角</w:t>
      </w:r>
      <w:r>
        <w:rPr>
          <w:rFonts w:hint="eastAsia"/>
          <w:color w:val="auto"/>
          <w:szCs w:val="20"/>
        </w:rPr>
        <w:t>落</w:t>
      </w:r>
      <w:r>
        <w:rPr>
          <w:color w:val="auto"/>
          <w:szCs w:val="20"/>
        </w:rPr>
        <w:t>作为坐标原点（0,0）（北纬</w:t>
      </w:r>
      <w:r>
        <w:rPr>
          <w:rFonts w:hint="eastAsia"/>
          <w:color w:val="auto"/>
          <w:szCs w:val="20"/>
        </w:rPr>
        <w:t>23.50134</w:t>
      </w:r>
      <w:r>
        <w:rPr>
          <w:color w:val="auto"/>
          <w:szCs w:val="20"/>
        </w:rPr>
        <w:t>°，东经</w:t>
      </w:r>
      <w:r>
        <w:rPr>
          <w:rFonts w:hint="eastAsia"/>
          <w:color w:val="auto"/>
          <w:szCs w:val="20"/>
        </w:rPr>
        <w:t>112.95144</w:t>
      </w:r>
      <w:r>
        <w:rPr>
          <w:color w:val="auto"/>
          <w:szCs w:val="20"/>
        </w:rPr>
        <w:t>°），以正东方向为X轴正方向，正北方为Y轴正方向，建立此次大气预测坐标系统。根据工程分析，本项目各污染源评价参数详见下表。</w:t>
      </w:r>
    </w:p>
    <w:p>
      <w:pPr>
        <w:tabs>
          <w:tab w:val="left" w:pos="1081"/>
        </w:tabs>
        <w:adjustRightInd w:val="0"/>
        <w:spacing w:line="480" w:lineRule="exact"/>
        <w:jc w:val="center"/>
        <w:rPr>
          <w:b/>
          <w:color w:val="auto"/>
          <w:szCs w:val="21"/>
        </w:rPr>
      </w:pPr>
      <w:r>
        <w:rPr>
          <w:b/>
          <w:color w:val="auto"/>
          <w:szCs w:val="21"/>
        </w:rPr>
        <w:t>表</w:t>
      </w:r>
      <w:r>
        <w:rPr>
          <w:rFonts w:hint="eastAsia"/>
          <w:b/>
          <w:color w:val="auto"/>
          <w:szCs w:val="21"/>
        </w:rPr>
        <w:t xml:space="preserve">6.4-7  </w:t>
      </w:r>
      <w:r>
        <w:rPr>
          <w:b/>
          <w:color w:val="auto"/>
          <w:szCs w:val="21"/>
        </w:rPr>
        <w:t>点源参数表</w:t>
      </w:r>
    </w:p>
    <w:tbl>
      <w:tblPr>
        <w:tblStyle w:val="2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732"/>
        <w:gridCol w:w="775"/>
        <w:gridCol w:w="1163"/>
        <w:gridCol w:w="1100"/>
        <w:gridCol w:w="1162"/>
        <w:gridCol w:w="1100"/>
        <w:gridCol w:w="1000"/>
        <w:gridCol w:w="1088"/>
        <w:gridCol w:w="1225"/>
        <w:gridCol w:w="1250"/>
        <w:gridCol w:w="1387"/>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名称</w:t>
            </w:r>
          </w:p>
        </w:tc>
        <w:tc>
          <w:tcPr>
            <w:tcW w:w="1507" w:type="dxa"/>
            <w:gridSpan w:val="2"/>
            <w:tcBorders>
              <w:tl2br w:val="nil"/>
              <w:tr2bl w:val="nil"/>
            </w:tcBorders>
            <w:vAlign w:val="center"/>
          </w:tcPr>
          <w:p>
            <w:pPr>
              <w:adjustRightInd w:val="0"/>
              <w:snapToGrid w:val="0"/>
              <w:jc w:val="center"/>
              <w:rPr>
                <w:color w:val="auto"/>
                <w:szCs w:val="21"/>
              </w:rPr>
            </w:pPr>
            <w:r>
              <w:rPr>
                <w:color w:val="auto"/>
                <w:szCs w:val="21"/>
              </w:rPr>
              <w:t>排气筒底部中心坐标（m）</w:t>
            </w:r>
          </w:p>
        </w:tc>
        <w:tc>
          <w:tcPr>
            <w:tcW w:w="1163" w:type="dxa"/>
            <w:vMerge w:val="restart"/>
            <w:tcBorders>
              <w:tl2br w:val="nil"/>
              <w:tr2bl w:val="nil"/>
            </w:tcBorders>
            <w:vAlign w:val="center"/>
          </w:tcPr>
          <w:p>
            <w:pPr>
              <w:adjustRightInd w:val="0"/>
              <w:snapToGrid w:val="0"/>
              <w:jc w:val="center"/>
              <w:rPr>
                <w:color w:val="auto"/>
                <w:szCs w:val="21"/>
              </w:rPr>
            </w:pPr>
            <w:r>
              <w:rPr>
                <w:color w:val="auto"/>
                <w:szCs w:val="21"/>
              </w:rPr>
              <w:t>排气筒底部海拔高度/m</w:t>
            </w:r>
          </w:p>
        </w:tc>
        <w:tc>
          <w:tcPr>
            <w:tcW w:w="1100" w:type="dxa"/>
            <w:vMerge w:val="restart"/>
            <w:tcBorders>
              <w:tl2br w:val="nil"/>
              <w:tr2bl w:val="nil"/>
            </w:tcBorders>
            <w:vAlign w:val="center"/>
          </w:tcPr>
          <w:p>
            <w:pPr>
              <w:adjustRightInd w:val="0"/>
              <w:snapToGrid w:val="0"/>
              <w:jc w:val="center"/>
              <w:rPr>
                <w:color w:val="auto"/>
                <w:szCs w:val="21"/>
              </w:rPr>
            </w:pPr>
            <w:r>
              <w:rPr>
                <w:color w:val="auto"/>
                <w:szCs w:val="21"/>
              </w:rPr>
              <w:t>排气筒排气口高度/m</w:t>
            </w:r>
          </w:p>
        </w:tc>
        <w:tc>
          <w:tcPr>
            <w:tcW w:w="1162" w:type="dxa"/>
            <w:vMerge w:val="restart"/>
            <w:tcBorders>
              <w:tl2br w:val="nil"/>
              <w:tr2bl w:val="nil"/>
            </w:tcBorders>
            <w:vAlign w:val="center"/>
          </w:tcPr>
          <w:p>
            <w:pPr>
              <w:adjustRightInd w:val="0"/>
              <w:snapToGrid w:val="0"/>
              <w:jc w:val="center"/>
              <w:rPr>
                <w:color w:val="auto"/>
                <w:szCs w:val="21"/>
              </w:rPr>
            </w:pPr>
            <w:r>
              <w:rPr>
                <w:color w:val="auto"/>
                <w:szCs w:val="21"/>
              </w:rPr>
              <w:t>排气筒出口内径/m</w:t>
            </w:r>
          </w:p>
        </w:tc>
        <w:tc>
          <w:tcPr>
            <w:tcW w:w="110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烟气流量/（m</w:t>
            </w:r>
            <w:r>
              <w:rPr>
                <w:color w:val="auto"/>
                <w:kern w:val="0"/>
                <w:szCs w:val="21"/>
                <w:vertAlign w:val="superscript"/>
                <w:lang w:bidi="ar"/>
              </w:rPr>
              <w:t>3</w:t>
            </w:r>
            <w:r>
              <w:rPr>
                <w:color w:val="auto"/>
                <w:kern w:val="0"/>
                <w:szCs w:val="21"/>
                <w:lang w:bidi="ar"/>
              </w:rPr>
              <w:t>/h）</w:t>
            </w:r>
          </w:p>
        </w:tc>
        <w:tc>
          <w:tcPr>
            <w:tcW w:w="100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烟气温度/℃</w:t>
            </w:r>
          </w:p>
        </w:tc>
        <w:tc>
          <w:tcPr>
            <w:tcW w:w="1088"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年排放小时数/h</w:t>
            </w:r>
          </w:p>
        </w:tc>
        <w:tc>
          <w:tcPr>
            <w:tcW w:w="1225"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排放工况</w:t>
            </w:r>
          </w:p>
        </w:tc>
        <w:tc>
          <w:tcPr>
            <w:tcW w:w="4014" w:type="dxa"/>
            <w:gridSpan w:val="3"/>
            <w:tcBorders>
              <w:tl2br w:val="nil"/>
              <w:tr2bl w:val="nil"/>
            </w:tcBorders>
            <w:vAlign w:val="center"/>
          </w:tcPr>
          <w:p>
            <w:pPr>
              <w:widowControl/>
              <w:jc w:val="center"/>
              <w:textAlignment w:val="center"/>
              <w:rPr>
                <w:color w:val="auto"/>
                <w:szCs w:val="21"/>
              </w:rPr>
            </w:pPr>
            <w:r>
              <w:rPr>
                <w:color w:val="auto"/>
                <w:szCs w:val="21"/>
              </w:rPr>
              <w:t>污染物最大排放速率/(kg/h)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tcBorders>
              <w:tl2br w:val="nil"/>
              <w:tr2bl w:val="nil"/>
            </w:tcBorders>
            <w:vAlign w:val="center"/>
          </w:tcPr>
          <w:p>
            <w:pPr>
              <w:adjustRightInd w:val="0"/>
              <w:snapToGrid w:val="0"/>
              <w:jc w:val="center"/>
              <w:rPr>
                <w:color w:val="auto"/>
                <w:szCs w:val="21"/>
              </w:rPr>
            </w:pPr>
            <w:r>
              <w:rPr>
                <w:color w:val="auto"/>
                <w:szCs w:val="21"/>
              </w:rPr>
              <w:t>X</w:t>
            </w:r>
          </w:p>
        </w:tc>
        <w:tc>
          <w:tcPr>
            <w:tcW w:w="775" w:type="dxa"/>
            <w:tcBorders>
              <w:tl2br w:val="nil"/>
              <w:tr2bl w:val="nil"/>
            </w:tcBorders>
            <w:vAlign w:val="center"/>
          </w:tcPr>
          <w:p>
            <w:pPr>
              <w:adjustRightInd w:val="0"/>
              <w:snapToGrid w:val="0"/>
              <w:jc w:val="center"/>
              <w:rPr>
                <w:color w:val="auto"/>
                <w:szCs w:val="21"/>
              </w:rPr>
            </w:pPr>
            <w:r>
              <w:rPr>
                <w:color w:val="auto"/>
                <w:szCs w:val="21"/>
              </w:rPr>
              <w:t>Y</w:t>
            </w: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vMerge w:val="continue"/>
            <w:tcBorders>
              <w:tl2br w:val="nil"/>
              <w:tr2bl w:val="nil"/>
            </w:tcBorders>
            <w:vAlign w:val="center"/>
          </w:tcPr>
          <w:p>
            <w:pPr>
              <w:adjustRightInd w:val="0"/>
              <w:snapToGrid w:val="0"/>
              <w:jc w:val="center"/>
              <w:rPr>
                <w:color w:val="auto"/>
                <w:szCs w:val="21"/>
              </w:rPr>
            </w:pP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颗粒物</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苯并[a]芘</w:t>
            </w:r>
          </w:p>
        </w:tc>
        <w:tc>
          <w:tcPr>
            <w:tcW w:w="1377" w:type="dxa"/>
            <w:tcBorders>
              <w:tl2br w:val="nil"/>
              <w:tr2bl w:val="nil"/>
            </w:tcBorders>
            <w:vAlign w:val="center"/>
          </w:tcPr>
          <w:p>
            <w:pPr>
              <w:adjustRightInd w:val="0"/>
              <w:snapToGrid w:val="0"/>
              <w:jc w:val="center"/>
              <w:rPr>
                <w:color w:val="auto"/>
                <w:szCs w:val="21"/>
              </w:rPr>
            </w:pPr>
            <w:r>
              <w:rPr>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排气筒G1</w:t>
            </w:r>
          </w:p>
        </w:tc>
        <w:tc>
          <w:tcPr>
            <w:tcW w:w="73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-53</w:t>
            </w:r>
          </w:p>
        </w:tc>
        <w:tc>
          <w:tcPr>
            <w:tcW w:w="775"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131</w:t>
            </w:r>
          </w:p>
        </w:tc>
        <w:tc>
          <w:tcPr>
            <w:tcW w:w="1163" w:type="dxa"/>
            <w:vMerge w:val="restart"/>
            <w:tcBorders>
              <w:tl2br w:val="nil"/>
              <w:tr2bl w:val="nil"/>
            </w:tcBorders>
            <w:vAlign w:val="center"/>
          </w:tcPr>
          <w:p>
            <w:pPr>
              <w:adjustRightInd w:val="0"/>
              <w:snapToGrid w:val="0"/>
              <w:jc w:val="center"/>
              <w:rPr>
                <w:color w:val="auto"/>
                <w:szCs w:val="21"/>
              </w:rPr>
            </w:pPr>
            <w:r>
              <w:rPr>
                <w:color w:val="auto"/>
                <w:szCs w:val="21"/>
              </w:rPr>
              <w:t>1</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20</w:t>
            </w:r>
          </w:p>
        </w:tc>
        <w:tc>
          <w:tcPr>
            <w:tcW w:w="1162" w:type="dxa"/>
            <w:vMerge w:val="restart"/>
            <w:tcBorders>
              <w:tl2br w:val="nil"/>
              <w:tr2bl w:val="nil"/>
            </w:tcBorders>
            <w:vAlign w:val="center"/>
          </w:tcPr>
          <w:p>
            <w:pPr>
              <w:adjustRightInd w:val="0"/>
              <w:snapToGrid w:val="0"/>
              <w:jc w:val="center"/>
              <w:rPr>
                <w:color w:val="auto"/>
                <w:szCs w:val="21"/>
              </w:rPr>
            </w:pPr>
            <w:r>
              <w:rPr>
                <w:color w:val="auto"/>
                <w:szCs w:val="21"/>
              </w:rPr>
              <w:t>0.</w:t>
            </w:r>
            <w:r>
              <w:rPr>
                <w:rFonts w:hint="eastAsia"/>
                <w:color w:val="auto"/>
                <w:szCs w:val="21"/>
              </w:rPr>
              <w:t>8</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30</w:t>
            </w:r>
            <w:r>
              <w:rPr>
                <w:color w:val="auto"/>
                <w:szCs w:val="21"/>
              </w:rPr>
              <w:t>000</w:t>
            </w:r>
          </w:p>
        </w:tc>
        <w:tc>
          <w:tcPr>
            <w:tcW w:w="10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80</w:t>
            </w:r>
          </w:p>
        </w:tc>
        <w:tc>
          <w:tcPr>
            <w:tcW w:w="1088"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7920</w:t>
            </w:r>
          </w:p>
        </w:tc>
        <w:tc>
          <w:tcPr>
            <w:tcW w:w="1225" w:type="dxa"/>
            <w:tcBorders>
              <w:tl2br w:val="nil"/>
              <w:tr2bl w:val="nil"/>
            </w:tcBorders>
            <w:vAlign w:val="center"/>
          </w:tcPr>
          <w:p>
            <w:pPr>
              <w:adjustRightInd w:val="0"/>
              <w:snapToGrid w:val="0"/>
              <w:jc w:val="center"/>
              <w:rPr>
                <w:color w:val="auto"/>
                <w:szCs w:val="21"/>
              </w:rPr>
            </w:pPr>
            <w:r>
              <w:rPr>
                <w:color w:val="auto"/>
                <w:szCs w:val="21"/>
              </w:rPr>
              <w:t>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0.0298</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0.000005</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0.0283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vMerge w:val="continue"/>
            <w:tcBorders>
              <w:tl2br w:val="nil"/>
              <w:tr2bl w:val="nil"/>
            </w:tcBorders>
            <w:vAlign w:val="center"/>
          </w:tcPr>
          <w:p>
            <w:pPr>
              <w:adjustRightInd w:val="0"/>
              <w:snapToGrid w:val="0"/>
              <w:jc w:val="center"/>
              <w:rPr>
                <w:color w:val="auto"/>
                <w:szCs w:val="21"/>
              </w:rPr>
            </w:pPr>
          </w:p>
        </w:tc>
        <w:tc>
          <w:tcPr>
            <w:tcW w:w="775" w:type="dxa"/>
            <w:vMerge w:val="continue"/>
            <w:tcBorders>
              <w:tl2br w:val="nil"/>
              <w:tr2bl w:val="nil"/>
            </w:tcBorders>
            <w:vAlign w:val="center"/>
          </w:tcPr>
          <w:p>
            <w:pPr>
              <w:adjustRightInd w:val="0"/>
              <w:snapToGrid w:val="0"/>
              <w:jc w:val="center"/>
              <w:rPr>
                <w:color w:val="auto"/>
                <w:szCs w:val="21"/>
              </w:rPr>
            </w:pP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tcBorders>
              <w:tl2br w:val="nil"/>
              <w:tr2bl w:val="nil"/>
            </w:tcBorders>
            <w:vAlign w:val="center"/>
          </w:tcPr>
          <w:p>
            <w:pPr>
              <w:adjustRightInd w:val="0"/>
              <w:snapToGrid w:val="0"/>
              <w:jc w:val="center"/>
              <w:rPr>
                <w:color w:val="auto"/>
                <w:szCs w:val="21"/>
              </w:rPr>
            </w:pPr>
            <w:r>
              <w:rPr>
                <w:color w:val="auto"/>
                <w:szCs w:val="21"/>
              </w:rPr>
              <w:t>非正常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0.5962</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0.00005</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0.2825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restart"/>
            <w:tcBorders>
              <w:tl2br w:val="nil"/>
              <w:tr2bl w:val="nil"/>
            </w:tcBorders>
            <w:vAlign w:val="center"/>
          </w:tcPr>
          <w:p>
            <w:pPr>
              <w:adjustRightInd w:val="0"/>
              <w:snapToGrid w:val="0"/>
              <w:jc w:val="center"/>
              <w:rPr>
                <w:color w:val="auto"/>
                <w:szCs w:val="21"/>
              </w:rPr>
            </w:pPr>
            <w:r>
              <w:rPr>
                <w:color w:val="auto"/>
                <w:szCs w:val="21"/>
              </w:rPr>
              <w:t>排气筒G</w:t>
            </w:r>
            <w:r>
              <w:rPr>
                <w:rFonts w:hint="eastAsia"/>
                <w:color w:val="auto"/>
                <w:szCs w:val="21"/>
              </w:rPr>
              <w:t>2</w:t>
            </w:r>
          </w:p>
        </w:tc>
        <w:tc>
          <w:tcPr>
            <w:tcW w:w="73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-44</w:t>
            </w:r>
          </w:p>
        </w:tc>
        <w:tc>
          <w:tcPr>
            <w:tcW w:w="775"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53</w:t>
            </w:r>
          </w:p>
        </w:tc>
        <w:tc>
          <w:tcPr>
            <w:tcW w:w="1163"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15</w:t>
            </w:r>
          </w:p>
        </w:tc>
        <w:tc>
          <w:tcPr>
            <w:tcW w:w="11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0.8</w:t>
            </w:r>
          </w:p>
        </w:tc>
        <w:tc>
          <w:tcPr>
            <w:tcW w:w="11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15000</w:t>
            </w:r>
          </w:p>
        </w:tc>
        <w:tc>
          <w:tcPr>
            <w:tcW w:w="100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22.6</w:t>
            </w:r>
          </w:p>
        </w:tc>
        <w:tc>
          <w:tcPr>
            <w:tcW w:w="1088"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2640</w:t>
            </w:r>
          </w:p>
        </w:tc>
        <w:tc>
          <w:tcPr>
            <w:tcW w:w="1225" w:type="dxa"/>
            <w:tcBorders>
              <w:tl2br w:val="nil"/>
              <w:tr2bl w:val="nil"/>
            </w:tcBorders>
            <w:vAlign w:val="center"/>
          </w:tcPr>
          <w:p>
            <w:pPr>
              <w:adjustRightInd w:val="0"/>
              <w:snapToGrid w:val="0"/>
              <w:jc w:val="center"/>
              <w:rPr>
                <w:color w:val="auto"/>
                <w:szCs w:val="21"/>
              </w:rPr>
            </w:pPr>
            <w:r>
              <w:rPr>
                <w:color w:val="auto"/>
                <w:szCs w:val="21"/>
              </w:rPr>
              <w:t>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0.0358</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adjustRightInd w:val="0"/>
              <w:snapToGrid w:val="0"/>
              <w:jc w:val="center"/>
              <w:rPr>
                <w:color w:val="auto"/>
                <w:szCs w:val="21"/>
              </w:rPr>
            </w:pPr>
          </w:p>
        </w:tc>
        <w:tc>
          <w:tcPr>
            <w:tcW w:w="732" w:type="dxa"/>
            <w:vMerge w:val="continue"/>
            <w:tcBorders>
              <w:tl2br w:val="nil"/>
              <w:tr2bl w:val="nil"/>
            </w:tcBorders>
            <w:vAlign w:val="center"/>
          </w:tcPr>
          <w:p>
            <w:pPr>
              <w:adjustRightInd w:val="0"/>
              <w:snapToGrid w:val="0"/>
              <w:jc w:val="center"/>
              <w:rPr>
                <w:color w:val="auto"/>
                <w:szCs w:val="21"/>
              </w:rPr>
            </w:pPr>
          </w:p>
        </w:tc>
        <w:tc>
          <w:tcPr>
            <w:tcW w:w="775" w:type="dxa"/>
            <w:vMerge w:val="continue"/>
            <w:tcBorders>
              <w:tl2br w:val="nil"/>
              <w:tr2bl w:val="nil"/>
            </w:tcBorders>
            <w:vAlign w:val="center"/>
          </w:tcPr>
          <w:p>
            <w:pPr>
              <w:adjustRightInd w:val="0"/>
              <w:snapToGrid w:val="0"/>
              <w:jc w:val="center"/>
              <w:rPr>
                <w:color w:val="auto"/>
                <w:szCs w:val="21"/>
              </w:rPr>
            </w:pPr>
          </w:p>
        </w:tc>
        <w:tc>
          <w:tcPr>
            <w:tcW w:w="1163"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162" w:type="dxa"/>
            <w:vMerge w:val="continue"/>
            <w:tcBorders>
              <w:tl2br w:val="nil"/>
              <w:tr2bl w:val="nil"/>
            </w:tcBorders>
            <w:vAlign w:val="center"/>
          </w:tcPr>
          <w:p>
            <w:pPr>
              <w:adjustRightInd w:val="0"/>
              <w:snapToGrid w:val="0"/>
              <w:jc w:val="center"/>
              <w:rPr>
                <w:color w:val="auto"/>
                <w:szCs w:val="21"/>
              </w:rPr>
            </w:pPr>
          </w:p>
        </w:tc>
        <w:tc>
          <w:tcPr>
            <w:tcW w:w="1100" w:type="dxa"/>
            <w:vMerge w:val="continue"/>
            <w:tcBorders>
              <w:tl2br w:val="nil"/>
              <w:tr2bl w:val="nil"/>
            </w:tcBorders>
            <w:vAlign w:val="center"/>
          </w:tcPr>
          <w:p>
            <w:pPr>
              <w:adjustRightInd w:val="0"/>
              <w:snapToGrid w:val="0"/>
              <w:jc w:val="center"/>
              <w:rPr>
                <w:color w:val="auto"/>
                <w:szCs w:val="21"/>
              </w:rPr>
            </w:pPr>
          </w:p>
        </w:tc>
        <w:tc>
          <w:tcPr>
            <w:tcW w:w="1000" w:type="dxa"/>
            <w:vMerge w:val="continue"/>
            <w:tcBorders>
              <w:tl2br w:val="nil"/>
              <w:tr2bl w:val="nil"/>
            </w:tcBorders>
            <w:vAlign w:val="center"/>
          </w:tcPr>
          <w:p>
            <w:pPr>
              <w:adjustRightInd w:val="0"/>
              <w:snapToGrid w:val="0"/>
              <w:jc w:val="center"/>
              <w:rPr>
                <w:color w:val="auto"/>
                <w:szCs w:val="21"/>
              </w:rPr>
            </w:pPr>
          </w:p>
        </w:tc>
        <w:tc>
          <w:tcPr>
            <w:tcW w:w="1088" w:type="dxa"/>
            <w:vMerge w:val="continue"/>
            <w:tcBorders>
              <w:tl2br w:val="nil"/>
              <w:tr2bl w:val="nil"/>
            </w:tcBorders>
            <w:vAlign w:val="center"/>
          </w:tcPr>
          <w:p>
            <w:pPr>
              <w:adjustRightInd w:val="0"/>
              <w:snapToGrid w:val="0"/>
              <w:jc w:val="center"/>
              <w:rPr>
                <w:color w:val="auto"/>
                <w:szCs w:val="21"/>
              </w:rPr>
            </w:pPr>
          </w:p>
        </w:tc>
        <w:tc>
          <w:tcPr>
            <w:tcW w:w="1225" w:type="dxa"/>
            <w:tcBorders>
              <w:tl2br w:val="nil"/>
              <w:tr2bl w:val="nil"/>
            </w:tcBorders>
            <w:vAlign w:val="center"/>
          </w:tcPr>
          <w:p>
            <w:pPr>
              <w:adjustRightInd w:val="0"/>
              <w:snapToGrid w:val="0"/>
              <w:jc w:val="center"/>
              <w:rPr>
                <w:color w:val="auto"/>
                <w:szCs w:val="21"/>
              </w:rPr>
            </w:pPr>
            <w:r>
              <w:rPr>
                <w:color w:val="auto"/>
                <w:szCs w:val="21"/>
              </w:rPr>
              <w:t>非正常</w:t>
            </w:r>
          </w:p>
        </w:tc>
        <w:tc>
          <w:tcPr>
            <w:tcW w:w="1250" w:type="dxa"/>
            <w:tcBorders>
              <w:tl2br w:val="nil"/>
              <w:tr2bl w:val="nil"/>
            </w:tcBorders>
            <w:vAlign w:val="center"/>
          </w:tcPr>
          <w:p>
            <w:pPr>
              <w:adjustRightInd w:val="0"/>
              <w:snapToGrid w:val="0"/>
              <w:jc w:val="center"/>
              <w:rPr>
                <w:color w:val="auto"/>
                <w:szCs w:val="21"/>
              </w:rPr>
            </w:pPr>
            <w:r>
              <w:rPr>
                <w:rFonts w:hint="eastAsia"/>
                <w:color w:val="auto"/>
                <w:szCs w:val="21"/>
              </w:rPr>
              <w:t>0.7159</w:t>
            </w:r>
          </w:p>
        </w:tc>
        <w:tc>
          <w:tcPr>
            <w:tcW w:w="13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377" w:type="dxa"/>
            <w:tcBorders>
              <w:tl2br w:val="nil"/>
              <w:tr2bl w:val="nil"/>
            </w:tcBorders>
            <w:vAlign w:val="center"/>
          </w:tcPr>
          <w:p>
            <w:pPr>
              <w:adjustRightInd w:val="0"/>
              <w:snapToGrid w:val="0"/>
              <w:jc w:val="center"/>
              <w:rPr>
                <w:color w:val="auto"/>
                <w:szCs w:val="21"/>
              </w:rPr>
            </w:pPr>
            <w:r>
              <w:rPr>
                <w:rFonts w:hint="eastAsia"/>
                <w:color w:val="auto"/>
                <w:szCs w:val="21"/>
              </w:rPr>
              <w:t>/</w:t>
            </w:r>
          </w:p>
        </w:tc>
      </w:tr>
    </w:tbl>
    <w:p>
      <w:pPr>
        <w:tabs>
          <w:tab w:val="left" w:pos="1081"/>
        </w:tabs>
        <w:adjustRightInd w:val="0"/>
        <w:spacing w:line="480" w:lineRule="exact"/>
        <w:jc w:val="center"/>
        <w:rPr>
          <w:b/>
          <w:color w:val="auto"/>
          <w:szCs w:val="21"/>
        </w:rPr>
      </w:pPr>
    </w:p>
    <w:p>
      <w:pPr>
        <w:tabs>
          <w:tab w:val="left" w:pos="1081"/>
        </w:tabs>
        <w:adjustRightInd w:val="0"/>
        <w:spacing w:line="480" w:lineRule="exact"/>
        <w:jc w:val="center"/>
        <w:rPr>
          <w:b/>
          <w:color w:val="auto"/>
          <w:szCs w:val="21"/>
        </w:rPr>
      </w:pPr>
      <w:r>
        <w:rPr>
          <w:b/>
          <w:color w:val="auto"/>
          <w:szCs w:val="21"/>
        </w:rPr>
        <w:t>表</w:t>
      </w:r>
      <w:r>
        <w:rPr>
          <w:rFonts w:hint="eastAsia"/>
          <w:b/>
          <w:color w:val="auto"/>
          <w:szCs w:val="21"/>
        </w:rPr>
        <w:t>6.4</w:t>
      </w:r>
      <w:r>
        <w:rPr>
          <w:b/>
          <w:color w:val="auto"/>
          <w:szCs w:val="21"/>
        </w:rPr>
        <w:t>-</w:t>
      </w:r>
      <w:r>
        <w:rPr>
          <w:rFonts w:hint="eastAsia"/>
          <w:b/>
          <w:color w:val="auto"/>
          <w:szCs w:val="21"/>
        </w:rPr>
        <w:t>8</w:t>
      </w:r>
      <w:r>
        <w:rPr>
          <w:b/>
          <w:color w:val="auto"/>
          <w:szCs w:val="21"/>
        </w:rPr>
        <w:t xml:space="preserve"> 面源参数表</w:t>
      </w:r>
    </w:p>
    <w:tbl>
      <w:tblPr>
        <w:tblStyle w:val="2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377"/>
        <w:gridCol w:w="1359"/>
        <w:gridCol w:w="1611"/>
        <w:gridCol w:w="1920"/>
        <w:gridCol w:w="1610"/>
        <w:gridCol w:w="1073"/>
        <w:gridCol w:w="1262"/>
        <w:gridCol w:w="1350"/>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restart"/>
            <w:tcBorders>
              <w:tl2br w:val="nil"/>
              <w:tr2bl w:val="nil"/>
            </w:tcBorders>
            <w:vAlign w:val="center"/>
          </w:tcPr>
          <w:p>
            <w:pPr>
              <w:adjustRightInd w:val="0"/>
              <w:snapToGrid w:val="0"/>
              <w:jc w:val="center"/>
              <w:rPr>
                <w:color w:val="auto"/>
                <w:szCs w:val="21"/>
              </w:rPr>
            </w:pPr>
            <w:r>
              <w:rPr>
                <w:color w:val="auto"/>
                <w:szCs w:val="21"/>
              </w:rPr>
              <w:t>名称</w:t>
            </w:r>
          </w:p>
        </w:tc>
        <w:tc>
          <w:tcPr>
            <w:tcW w:w="2736" w:type="dxa"/>
            <w:gridSpan w:val="2"/>
            <w:tcBorders>
              <w:tl2br w:val="nil"/>
              <w:tr2bl w:val="nil"/>
            </w:tcBorders>
            <w:vAlign w:val="center"/>
          </w:tcPr>
          <w:p>
            <w:pPr>
              <w:adjustRightInd w:val="0"/>
              <w:snapToGrid w:val="0"/>
              <w:jc w:val="center"/>
              <w:rPr>
                <w:color w:val="auto"/>
                <w:szCs w:val="21"/>
              </w:rPr>
            </w:pPr>
            <w:r>
              <w:rPr>
                <w:color w:val="auto"/>
                <w:szCs w:val="21"/>
              </w:rPr>
              <w:t>面源各顶点坐标/m</w:t>
            </w:r>
          </w:p>
        </w:tc>
        <w:tc>
          <w:tcPr>
            <w:tcW w:w="1611" w:type="dxa"/>
            <w:vMerge w:val="restart"/>
            <w:tcBorders>
              <w:tl2br w:val="nil"/>
              <w:tr2bl w:val="nil"/>
            </w:tcBorders>
            <w:vAlign w:val="center"/>
          </w:tcPr>
          <w:p>
            <w:pPr>
              <w:widowControl/>
              <w:jc w:val="center"/>
              <w:textAlignment w:val="center"/>
              <w:rPr>
                <w:color w:val="auto"/>
                <w:szCs w:val="21"/>
              </w:rPr>
            </w:pPr>
            <w:r>
              <w:rPr>
                <w:color w:val="auto"/>
                <w:szCs w:val="21"/>
              </w:rPr>
              <w:t>面源海拔高度/m</w:t>
            </w:r>
          </w:p>
        </w:tc>
        <w:tc>
          <w:tcPr>
            <w:tcW w:w="1920"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面源有效排放高度/m</w:t>
            </w:r>
          </w:p>
        </w:tc>
        <w:tc>
          <w:tcPr>
            <w:tcW w:w="1610"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年排放小时数/h</w:t>
            </w:r>
          </w:p>
        </w:tc>
        <w:tc>
          <w:tcPr>
            <w:tcW w:w="1073"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排放工况</w:t>
            </w:r>
          </w:p>
        </w:tc>
        <w:tc>
          <w:tcPr>
            <w:tcW w:w="3989" w:type="dxa"/>
            <w:gridSpan w:val="3"/>
            <w:tcBorders>
              <w:tl2br w:val="nil"/>
              <w:tr2bl w:val="nil"/>
            </w:tcBorders>
            <w:vAlign w:val="center"/>
          </w:tcPr>
          <w:p>
            <w:pPr>
              <w:adjustRightInd w:val="0"/>
              <w:snapToGrid w:val="0"/>
              <w:jc w:val="center"/>
              <w:rPr>
                <w:color w:val="auto"/>
                <w:szCs w:val="21"/>
              </w:rPr>
            </w:pPr>
            <w:r>
              <w:rPr>
                <w:color w:val="auto"/>
                <w:szCs w:val="21"/>
              </w:rPr>
              <w:t>污染物最大排放速率/kg/h）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szCs w:val="21"/>
              </w:rPr>
            </w:pPr>
            <w:r>
              <w:rPr>
                <w:color w:val="auto"/>
                <w:szCs w:val="21"/>
              </w:rPr>
              <w:t>X</w:t>
            </w:r>
          </w:p>
        </w:tc>
        <w:tc>
          <w:tcPr>
            <w:tcW w:w="1359" w:type="dxa"/>
            <w:tcBorders>
              <w:tl2br w:val="nil"/>
              <w:tr2bl w:val="nil"/>
            </w:tcBorders>
            <w:vAlign w:val="center"/>
          </w:tcPr>
          <w:p>
            <w:pPr>
              <w:adjustRightInd w:val="0"/>
              <w:snapToGrid w:val="0"/>
              <w:jc w:val="center"/>
              <w:rPr>
                <w:color w:val="auto"/>
                <w:szCs w:val="21"/>
              </w:rPr>
            </w:pPr>
            <w:r>
              <w:rPr>
                <w:color w:val="auto"/>
                <w:szCs w:val="21"/>
              </w:rPr>
              <w:t>Y</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tcBorders>
              <w:tl2br w:val="nil"/>
              <w:tr2bl w:val="nil"/>
            </w:tcBorders>
            <w:vAlign w:val="center"/>
          </w:tcPr>
          <w:p>
            <w:pPr>
              <w:adjustRightInd w:val="0"/>
              <w:snapToGrid w:val="0"/>
              <w:jc w:val="center"/>
              <w:rPr>
                <w:color w:val="auto"/>
                <w:szCs w:val="21"/>
              </w:rPr>
            </w:pPr>
            <w:r>
              <w:rPr>
                <w:rFonts w:hint="eastAsia"/>
                <w:color w:val="auto"/>
                <w:szCs w:val="21"/>
              </w:rPr>
              <w:t>颗粒物</w:t>
            </w:r>
          </w:p>
        </w:tc>
        <w:tc>
          <w:tcPr>
            <w:tcW w:w="1350" w:type="dxa"/>
            <w:tcBorders>
              <w:tl2br w:val="nil"/>
              <w:tr2bl w:val="nil"/>
            </w:tcBorders>
            <w:vAlign w:val="center"/>
          </w:tcPr>
          <w:p>
            <w:pPr>
              <w:adjustRightInd w:val="0"/>
              <w:snapToGrid w:val="0"/>
              <w:jc w:val="center"/>
              <w:rPr>
                <w:color w:val="auto"/>
                <w:szCs w:val="21"/>
              </w:rPr>
            </w:pPr>
            <w:r>
              <w:rPr>
                <w:rFonts w:hint="eastAsia"/>
                <w:color w:val="auto"/>
                <w:szCs w:val="21"/>
              </w:rPr>
              <w:t>苯并[a]芘</w:t>
            </w:r>
          </w:p>
        </w:tc>
        <w:tc>
          <w:tcPr>
            <w:tcW w:w="1377" w:type="dxa"/>
            <w:tcBorders>
              <w:tl2br w:val="nil"/>
              <w:tr2bl w:val="nil"/>
            </w:tcBorders>
            <w:vAlign w:val="center"/>
          </w:tcPr>
          <w:p>
            <w:pPr>
              <w:adjustRightInd w:val="0"/>
              <w:snapToGrid w:val="0"/>
              <w:jc w:val="center"/>
              <w:rPr>
                <w:color w:val="auto"/>
                <w:szCs w:val="21"/>
              </w:rPr>
            </w:pPr>
            <w:r>
              <w:rPr>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restart"/>
            <w:tcBorders>
              <w:tl2br w:val="nil"/>
              <w:tr2bl w:val="nil"/>
            </w:tcBorders>
            <w:vAlign w:val="center"/>
          </w:tcPr>
          <w:p>
            <w:pPr>
              <w:adjustRightInd w:val="0"/>
              <w:snapToGrid w:val="0"/>
              <w:jc w:val="center"/>
              <w:rPr>
                <w:color w:val="auto"/>
                <w:szCs w:val="21"/>
              </w:rPr>
            </w:pPr>
            <w:r>
              <w:rPr>
                <w:color w:val="auto"/>
                <w:szCs w:val="21"/>
              </w:rPr>
              <w:t>车间</w:t>
            </w: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0</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0</w:t>
            </w:r>
          </w:p>
        </w:tc>
        <w:tc>
          <w:tcPr>
            <w:tcW w:w="1611" w:type="dxa"/>
            <w:vMerge w:val="restart"/>
            <w:tcBorders>
              <w:tl2br w:val="nil"/>
              <w:tr2bl w:val="nil"/>
            </w:tcBorders>
            <w:vAlign w:val="center"/>
          </w:tcPr>
          <w:p>
            <w:pPr>
              <w:adjustRightInd w:val="0"/>
              <w:snapToGrid w:val="0"/>
              <w:jc w:val="center"/>
              <w:rPr>
                <w:color w:val="auto"/>
                <w:szCs w:val="21"/>
              </w:rPr>
            </w:pPr>
            <w:r>
              <w:rPr>
                <w:color w:val="auto"/>
                <w:szCs w:val="21"/>
              </w:rPr>
              <w:t>1</w:t>
            </w:r>
          </w:p>
        </w:tc>
        <w:tc>
          <w:tcPr>
            <w:tcW w:w="192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4</w:t>
            </w:r>
          </w:p>
        </w:tc>
        <w:tc>
          <w:tcPr>
            <w:tcW w:w="1610" w:type="dxa"/>
            <w:vMerge w:val="restart"/>
            <w:tcBorders>
              <w:tl2br w:val="nil"/>
              <w:tr2bl w:val="nil"/>
            </w:tcBorders>
            <w:vAlign w:val="center"/>
          </w:tcPr>
          <w:p>
            <w:pPr>
              <w:adjustRightInd w:val="0"/>
              <w:snapToGrid w:val="0"/>
              <w:jc w:val="center"/>
              <w:rPr>
                <w:color w:val="auto"/>
              </w:rPr>
            </w:pPr>
            <w:r>
              <w:rPr>
                <w:rFonts w:hint="eastAsia"/>
                <w:color w:val="auto"/>
                <w:szCs w:val="21"/>
              </w:rPr>
              <w:t>7920</w:t>
            </w:r>
          </w:p>
        </w:tc>
        <w:tc>
          <w:tcPr>
            <w:tcW w:w="1073" w:type="dxa"/>
            <w:vMerge w:val="restart"/>
            <w:tcBorders>
              <w:tl2br w:val="nil"/>
              <w:tr2bl w:val="nil"/>
            </w:tcBorders>
            <w:vAlign w:val="center"/>
          </w:tcPr>
          <w:p>
            <w:pPr>
              <w:adjustRightInd w:val="0"/>
              <w:snapToGrid w:val="0"/>
              <w:jc w:val="center"/>
              <w:rPr>
                <w:color w:val="auto"/>
                <w:szCs w:val="21"/>
              </w:rPr>
            </w:pPr>
            <w:r>
              <w:rPr>
                <w:color w:val="auto"/>
                <w:szCs w:val="21"/>
              </w:rPr>
              <w:t>正常</w:t>
            </w:r>
          </w:p>
        </w:tc>
        <w:tc>
          <w:tcPr>
            <w:tcW w:w="12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0.1109</w:t>
            </w:r>
          </w:p>
        </w:tc>
        <w:tc>
          <w:tcPr>
            <w:tcW w:w="135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0.000001</w:t>
            </w:r>
          </w:p>
        </w:tc>
        <w:tc>
          <w:tcPr>
            <w:tcW w:w="1377"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58</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41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40</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63</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szCs w:val="21"/>
              </w:rPr>
            </w:pPr>
            <w:r>
              <w:rPr>
                <w:rFonts w:hint="eastAsia"/>
                <w:color w:val="auto"/>
              </w:rPr>
              <w:t>22</w:t>
            </w:r>
          </w:p>
        </w:tc>
        <w:tc>
          <w:tcPr>
            <w:tcW w:w="1359" w:type="dxa"/>
            <w:tcBorders>
              <w:tl2br w:val="nil"/>
              <w:tr2bl w:val="nil"/>
            </w:tcBorders>
            <w:vAlign w:val="center"/>
          </w:tcPr>
          <w:p>
            <w:pPr>
              <w:adjustRightInd w:val="0"/>
              <w:snapToGrid w:val="0"/>
              <w:jc w:val="center"/>
              <w:rPr>
                <w:b/>
                <w:bCs/>
                <w:color w:val="auto"/>
                <w:szCs w:val="21"/>
              </w:rPr>
            </w:pPr>
            <w:r>
              <w:rPr>
                <w:rFonts w:hint="eastAsia"/>
                <w:color w:val="auto"/>
              </w:rPr>
              <w:t>51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restart"/>
            <w:tcBorders>
              <w:tl2br w:val="nil"/>
              <w:tr2bl w:val="nil"/>
            </w:tcBorders>
            <w:vAlign w:val="center"/>
          </w:tcPr>
          <w:p>
            <w:pPr>
              <w:adjustRightInd w:val="0"/>
              <w:snapToGrid w:val="0"/>
              <w:jc w:val="center"/>
              <w:rPr>
                <w:color w:val="auto"/>
                <w:szCs w:val="21"/>
              </w:rPr>
            </w:pPr>
            <w:r>
              <w:rPr>
                <w:color w:val="auto"/>
                <w:szCs w:val="21"/>
              </w:rPr>
              <w:t>非正常</w:t>
            </w:r>
          </w:p>
        </w:tc>
        <w:tc>
          <w:tcPr>
            <w:tcW w:w="1262"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0.1109</w:t>
            </w:r>
          </w:p>
        </w:tc>
        <w:tc>
          <w:tcPr>
            <w:tcW w:w="1350"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0.000001</w:t>
            </w:r>
          </w:p>
        </w:tc>
        <w:tc>
          <w:tcPr>
            <w:tcW w:w="1377"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0.0085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-47</w:t>
            </w:r>
          </w:p>
        </w:tc>
        <w:tc>
          <w:tcPr>
            <w:tcW w:w="1359" w:type="dxa"/>
            <w:tcBorders>
              <w:tl2br w:val="nil"/>
              <w:tr2bl w:val="nil"/>
            </w:tcBorders>
            <w:vAlign w:val="center"/>
          </w:tcPr>
          <w:p>
            <w:pPr>
              <w:adjustRightInd w:val="0"/>
              <w:snapToGrid w:val="0"/>
              <w:jc w:val="center"/>
              <w:rPr>
                <w:b/>
                <w:bCs/>
                <w:color w:val="auto"/>
              </w:rPr>
            </w:pPr>
            <w:r>
              <w:rPr>
                <w:rFonts w:hint="eastAsia"/>
                <w:color w:val="auto"/>
              </w:rPr>
              <w:t>141</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-136</w:t>
            </w:r>
          </w:p>
        </w:tc>
        <w:tc>
          <w:tcPr>
            <w:tcW w:w="1359" w:type="dxa"/>
            <w:tcBorders>
              <w:tl2br w:val="nil"/>
              <w:tr2bl w:val="nil"/>
            </w:tcBorders>
            <w:vAlign w:val="center"/>
          </w:tcPr>
          <w:p>
            <w:pPr>
              <w:adjustRightInd w:val="0"/>
              <w:snapToGrid w:val="0"/>
              <w:jc w:val="center"/>
              <w:rPr>
                <w:b/>
                <w:bCs/>
                <w:color w:val="auto"/>
              </w:rPr>
            </w:pPr>
            <w:r>
              <w:rPr>
                <w:rFonts w:hint="eastAsia"/>
                <w:color w:val="auto"/>
              </w:rPr>
              <w:t>86</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b/>
                <w:bCs/>
                <w:color w:val="auto"/>
              </w:rPr>
            </w:pPr>
            <w:r>
              <w:rPr>
                <w:rFonts w:hint="eastAsia"/>
                <w:color w:val="auto"/>
              </w:rPr>
              <w:t>-87</w:t>
            </w:r>
          </w:p>
        </w:tc>
        <w:tc>
          <w:tcPr>
            <w:tcW w:w="1359" w:type="dxa"/>
            <w:tcBorders>
              <w:tl2br w:val="nil"/>
              <w:tr2bl w:val="nil"/>
            </w:tcBorders>
            <w:vAlign w:val="center"/>
          </w:tcPr>
          <w:p>
            <w:pPr>
              <w:adjustRightInd w:val="0"/>
              <w:snapToGrid w:val="0"/>
              <w:jc w:val="center"/>
              <w:rPr>
                <w:b/>
                <w:bCs/>
                <w:color w:val="auto"/>
              </w:rPr>
            </w:pPr>
            <w:r>
              <w:rPr>
                <w:rFonts w:hint="eastAsia"/>
                <w:color w:val="auto"/>
              </w:rPr>
              <w:t>18</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rPr>
            </w:pPr>
            <w:r>
              <w:rPr>
                <w:rFonts w:hint="eastAsia"/>
                <w:color w:val="auto"/>
              </w:rPr>
              <w:t>-46</w:t>
            </w:r>
          </w:p>
        </w:tc>
        <w:tc>
          <w:tcPr>
            <w:tcW w:w="1359" w:type="dxa"/>
            <w:tcBorders>
              <w:tl2br w:val="nil"/>
              <w:tr2bl w:val="nil"/>
            </w:tcBorders>
            <w:vAlign w:val="center"/>
          </w:tcPr>
          <w:p>
            <w:pPr>
              <w:adjustRightInd w:val="0"/>
              <w:snapToGrid w:val="0"/>
              <w:jc w:val="center"/>
              <w:rPr>
                <w:color w:val="auto"/>
              </w:rPr>
            </w:pPr>
            <w:r>
              <w:rPr>
                <w:rFonts w:hint="eastAsia"/>
                <w:color w:val="auto"/>
              </w:rPr>
              <w:t>45</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5" w:type="dxa"/>
            <w:vMerge w:val="continue"/>
            <w:tcBorders>
              <w:tl2br w:val="nil"/>
              <w:tr2bl w:val="nil"/>
            </w:tcBorders>
            <w:vAlign w:val="center"/>
          </w:tcPr>
          <w:p>
            <w:pPr>
              <w:adjustRightInd w:val="0"/>
              <w:snapToGrid w:val="0"/>
              <w:jc w:val="center"/>
              <w:rPr>
                <w:color w:val="auto"/>
                <w:szCs w:val="21"/>
              </w:rPr>
            </w:pPr>
          </w:p>
        </w:tc>
        <w:tc>
          <w:tcPr>
            <w:tcW w:w="1377" w:type="dxa"/>
            <w:tcBorders>
              <w:tl2br w:val="nil"/>
              <w:tr2bl w:val="nil"/>
            </w:tcBorders>
            <w:vAlign w:val="center"/>
          </w:tcPr>
          <w:p>
            <w:pPr>
              <w:adjustRightInd w:val="0"/>
              <w:snapToGrid w:val="0"/>
              <w:jc w:val="center"/>
              <w:rPr>
                <w:color w:val="auto"/>
              </w:rPr>
            </w:pPr>
            <w:r>
              <w:rPr>
                <w:rFonts w:hint="eastAsia"/>
                <w:color w:val="auto"/>
              </w:rPr>
              <w:t>-10</w:t>
            </w:r>
          </w:p>
        </w:tc>
        <w:tc>
          <w:tcPr>
            <w:tcW w:w="1359" w:type="dxa"/>
            <w:tcBorders>
              <w:tl2br w:val="nil"/>
              <w:tr2bl w:val="nil"/>
            </w:tcBorders>
            <w:vAlign w:val="center"/>
          </w:tcPr>
          <w:p>
            <w:pPr>
              <w:adjustRightInd w:val="0"/>
              <w:snapToGrid w:val="0"/>
              <w:jc w:val="center"/>
              <w:rPr>
                <w:color w:val="auto"/>
              </w:rPr>
            </w:pPr>
            <w:r>
              <w:rPr>
                <w:rFonts w:hint="eastAsia"/>
                <w:color w:val="auto"/>
              </w:rPr>
              <w:t>-2</w:t>
            </w:r>
          </w:p>
        </w:tc>
        <w:tc>
          <w:tcPr>
            <w:tcW w:w="1611" w:type="dxa"/>
            <w:vMerge w:val="continue"/>
            <w:tcBorders>
              <w:tl2br w:val="nil"/>
              <w:tr2bl w:val="nil"/>
            </w:tcBorders>
            <w:vAlign w:val="center"/>
          </w:tcPr>
          <w:p>
            <w:pPr>
              <w:adjustRightInd w:val="0"/>
              <w:snapToGrid w:val="0"/>
              <w:jc w:val="center"/>
              <w:rPr>
                <w:color w:val="auto"/>
                <w:szCs w:val="21"/>
              </w:rPr>
            </w:pPr>
          </w:p>
        </w:tc>
        <w:tc>
          <w:tcPr>
            <w:tcW w:w="1920" w:type="dxa"/>
            <w:vMerge w:val="continue"/>
            <w:tcBorders>
              <w:tl2br w:val="nil"/>
              <w:tr2bl w:val="nil"/>
            </w:tcBorders>
            <w:vAlign w:val="center"/>
          </w:tcPr>
          <w:p>
            <w:pPr>
              <w:adjustRightInd w:val="0"/>
              <w:snapToGrid w:val="0"/>
              <w:jc w:val="center"/>
              <w:rPr>
                <w:color w:val="auto"/>
                <w:szCs w:val="21"/>
              </w:rPr>
            </w:pPr>
          </w:p>
        </w:tc>
        <w:tc>
          <w:tcPr>
            <w:tcW w:w="1610" w:type="dxa"/>
            <w:vMerge w:val="continue"/>
            <w:tcBorders>
              <w:tl2br w:val="nil"/>
              <w:tr2bl w:val="nil"/>
            </w:tcBorders>
            <w:vAlign w:val="center"/>
          </w:tcPr>
          <w:p>
            <w:pPr>
              <w:adjustRightInd w:val="0"/>
              <w:snapToGrid w:val="0"/>
              <w:jc w:val="center"/>
              <w:rPr>
                <w:color w:val="auto"/>
                <w:szCs w:val="21"/>
              </w:rPr>
            </w:pPr>
          </w:p>
        </w:tc>
        <w:tc>
          <w:tcPr>
            <w:tcW w:w="1073" w:type="dxa"/>
            <w:vMerge w:val="continue"/>
            <w:tcBorders>
              <w:tl2br w:val="nil"/>
              <w:tr2bl w:val="nil"/>
            </w:tcBorders>
            <w:vAlign w:val="center"/>
          </w:tcPr>
          <w:p>
            <w:pPr>
              <w:adjustRightInd w:val="0"/>
              <w:snapToGrid w:val="0"/>
              <w:jc w:val="center"/>
              <w:rPr>
                <w:color w:val="auto"/>
                <w:szCs w:val="21"/>
              </w:rPr>
            </w:pPr>
          </w:p>
        </w:tc>
        <w:tc>
          <w:tcPr>
            <w:tcW w:w="1262" w:type="dxa"/>
            <w:vMerge w:val="continue"/>
            <w:tcBorders>
              <w:tl2br w:val="nil"/>
              <w:tr2bl w:val="nil"/>
            </w:tcBorders>
            <w:vAlign w:val="center"/>
          </w:tcPr>
          <w:p>
            <w:pPr>
              <w:adjustRightInd w:val="0"/>
              <w:snapToGrid w:val="0"/>
              <w:jc w:val="center"/>
              <w:rPr>
                <w:color w:val="auto"/>
                <w:szCs w:val="21"/>
              </w:rPr>
            </w:pPr>
          </w:p>
        </w:tc>
        <w:tc>
          <w:tcPr>
            <w:tcW w:w="1350" w:type="dxa"/>
            <w:vMerge w:val="continue"/>
            <w:tcBorders>
              <w:tl2br w:val="nil"/>
              <w:tr2bl w:val="nil"/>
            </w:tcBorders>
            <w:vAlign w:val="center"/>
          </w:tcPr>
          <w:p>
            <w:pPr>
              <w:adjustRightInd w:val="0"/>
              <w:snapToGrid w:val="0"/>
              <w:jc w:val="center"/>
              <w:rPr>
                <w:color w:val="auto"/>
                <w:szCs w:val="21"/>
              </w:rPr>
            </w:pPr>
          </w:p>
        </w:tc>
        <w:tc>
          <w:tcPr>
            <w:tcW w:w="1377" w:type="dxa"/>
            <w:vMerge w:val="continue"/>
            <w:tcBorders>
              <w:tl2br w:val="nil"/>
              <w:tr2bl w:val="nil"/>
            </w:tcBorders>
            <w:vAlign w:val="center"/>
          </w:tcPr>
          <w:p>
            <w:pPr>
              <w:adjustRightInd w:val="0"/>
              <w:snapToGrid w:val="0"/>
              <w:jc w:val="center"/>
              <w:rPr>
                <w:color w:val="auto"/>
                <w:szCs w:val="21"/>
              </w:rPr>
            </w:pPr>
          </w:p>
        </w:tc>
      </w:tr>
    </w:tbl>
    <w:p>
      <w:pPr>
        <w:pStyle w:val="32"/>
        <w:spacing w:line="360" w:lineRule="auto"/>
        <w:ind w:firstLine="480" w:firstLineChars="200"/>
        <w:jc w:val="both"/>
        <w:rPr>
          <w:color w:val="auto"/>
          <w:szCs w:val="20"/>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ind w:firstLine="480" w:firstLineChars="200"/>
        <w:rPr>
          <w:color w:val="auto"/>
          <w:sz w:val="24"/>
        </w:rPr>
      </w:pPr>
      <w:r>
        <w:rPr>
          <w:color w:val="auto"/>
          <w:sz w:val="24"/>
        </w:rPr>
        <w:t>5、预测结果</w:t>
      </w:r>
    </w:p>
    <w:p>
      <w:pPr>
        <w:spacing w:line="360" w:lineRule="auto"/>
        <w:ind w:firstLine="480" w:firstLineChars="200"/>
        <w:outlineLvl w:val="9"/>
        <w:rPr>
          <w:color w:val="auto"/>
          <w:sz w:val="24"/>
        </w:rPr>
      </w:pPr>
      <w:r>
        <w:rPr>
          <w:color w:val="auto"/>
          <w:sz w:val="24"/>
        </w:rPr>
        <w:t>（1）点源预测结果</w:t>
      </w:r>
    </w:p>
    <w:p>
      <w:pPr>
        <w:spacing w:line="360" w:lineRule="auto"/>
        <w:ind w:firstLine="480" w:firstLineChars="200"/>
        <w:outlineLvl w:val="9"/>
        <w:rPr>
          <w:color w:val="auto"/>
          <w:sz w:val="24"/>
        </w:rPr>
      </w:pPr>
      <w:r>
        <w:rPr>
          <w:color w:val="auto"/>
          <w:sz w:val="24"/>
        </w:rPr>
        <w:t>项目点源预测结果见下表</w:t>
      </w:r>
      <w:r>
        <w:rPr>
          <w:rFonts w:hint="eastAsia"/>
          <w:color w:val="auto"/>
          <w:sz w:val="24"/>
        </w:rPr>
        <w:t>6</w:t>
      </w:r>
      <w:r>
        <w:rPr>
          <w:color w:val="auto"/>
          <w:sz w:val="24"/>
        </w:rPr>
        <w:t>.4-</w:t>
      </w:r>
      <w:r>
        <w:rPr>
          <w:rFonts w:hint="eastAsia"/>
          <w:color w:val="auto"/>
          <w:sz w:val="24"/>
        </w:rPr>
        <w:t>9</w:t>
      </w:r>
      <w:r>
        <w:rPr>
          <w:color w:val="auto"/>
          <w:sz w:val="24"/>
        </w:rPr>
        <w:t>和表</w:t>
      </w:r>
      <w:r>
        <w:rPr>
          <w:rFonts w:hint="eastAsia"/>
          <w:color w:val="auto"/>
          <w:sz w:val="24"/>
        </w:rPr>
        <w:t>6</w:t>
      </w:r>
      <w:r>
        <w:rPr>
          <w:color w:val="auto"/>
          <w:sz w:val="24"/>
        </w:rPr>
        <w:t>.4-</w:t>
      </w:r>
      <w:r>
        <w:rPr>
          <w:rFonts w:hint="eastAsia"/>
          <w:color w:val="auto"/>
          <w:sz w:val="24"/>
        </w:rPr>
        <w:t>10</w:t>
      </w:r>
      <w:r>
        <w:rPr>
          <w:color w:val="auto"/>
          <w:sz w:val="24"/>
        </w:rPr>
        <w:t>。</w:t>
      </w:r>
    </w:p>
    <w:p>
      <w:pPr>
        <w:tabs>
          <w:tab w:val="left" w:pos="1081"/>
        </w:tabs>
        <w:adjustRightInd w:val="0"/>
        <w:spacing w:line="360" w:lineRule="auto"/>
        <w:jc w:val="center"/>
        <w:outlineLvl w:val="9"/>
        <w:rPr>
          <w:b/>
          <w:bCs/>
          <w:color w:val="auto"/>
          <w:szCs w:val="21"/>
        </w:rPr>
      </w:pPr>
      <w:r>
        <w:rPr>
          <w:b/>
          <w:color w:val="auto"/>
          <w:szCs w:val="21"/>
        </w:rPr>
        <w:t>表6.4-</w:t>
      </w:r>
      <w:r>
        <w:rPr>
          <w:rFonts w:hint="eastAsia"/>
          <w:b/>
          <w:color w:val="auto"/>
          <w:szCs w:val="21"/>
        </w:rPr>
        <w:t xml:space="preserve">9  </w:t>
      </w:r>
      <w:r>
        <w:rPr>
          <w:b/>
          <w:color w:val="auto"/>
          <w:szCs w:val="21"/>
        </w:rPr>
        <w:t xml:space="preserve"> </w:t>
      </w:r>
      <w:r>
        <w:rPr>
          <w:b/>
          <w:bCs/>
          <w:color w:val="auto"/>
          <w:szCs w:val="21"/>
        </w:rPr>
        <w:t>点源预测结果（正常工况）</w:t>
      </w:r>
    </w:p>
    <w:tbl>
      <w:tblPr>
        <w:tblStyle w:val="24"/>
        <w:tblW w:w="8948" w:type="dxa"/>
        <w:tblInd w:w="0" w:type="dxa"/>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994"/>
        <w:gridCol w:w="994"/>
        <w:gridCol w:w="994"/>
        <w:gridCol w:w="994"/>
        <w:gridCol w:w="994"/>
        <w:gridCol w:w="996"/>
        <w:gridCol w:w="994"/>
        <w:gridCol w:w="994"/>
      </w:tblGrid>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restart"/>
            <w:tcBorders>
              <w:top w:val="single" w:color="auto" w:sz="4" w:space="0"/>
              <w:left w:val="single" w:color="auto" w:sz="4" w:space="0"/>
            </w:tcBorders>
            <w:vAlign w:val="center"/>
          </w:tcPr>
          <w:p>
            <w:pPr>
              <w:jc w:val="center"/>
              <w:outlineLvl w:val="9"/>
              <w:rPr>
                <w:color w:val="auto"/>
                <w:szCs w:val="21"/>
              </w:rPr>
            </w:pPr>
            <w:bookmarkStart w:id="626" w:name="_Toc534"/>
            <w:bookmarkStart w:id="627" w:name="_Toc21089"/>
            <w:bookmarkStart w:id="628" w:name="_Toc3673"/>
            <w:bookmarkStart w:id="629" w:name="_Toc27589"/>
            <w:bookmarkStart w:id="630" w:name="_Toc26218"/>
            <w:r>
              <w:rPr>
                <w:color w:val="auto"/>
                <w:szCs w:val="21"/>
              </w:rPr>
              <w:t>下风向距离/m</w:t>
            </w:r>
            <w:bookmarkEnd w:id="626"/>
            <w:bookmarkEnd w:id="627"/>
            <w:bookmarkEnd w:id="628"/>
            <w:bookmarkEnd w:id="629"/>
            <w:bookmarkEnd w:id="630"/>
          </w:p>
        </w:tc>
        <w:tc>
          <w:tcPr>
            <w:tcW w:w="5966" w:type="dxa"/>
            <w:gridSpan w:val="6"/>
            <w:tcBorders>
              <w:top w:val="single" w:color="auto" w:sz="4" w:space="0"/>
            </w:tcBorders>
            <w:vAlign w:val="center"/>
          </w:tcPr>
          <w:p>
            <w:pPr>
              <w:jc w:val="center"/>
              <w:outlineLvl w:val="9"/>
              <w:rPr>
                <w:color w:val="auto"/>
                <w:szCs w:val="21"/>
              </w:rPr>
            </w:pPr>
            <w:bookmarkStart w:id="631" w:name="_Toc15057"/>
            <w:bookmarkStart w:id="632" w:name="_Toc5268"/>
            <w:bookmarkStart w:id="633" w:name="_Toc5170"/>
            <w:bookmarkStart w:id="634" w:name="_Toc14320"/>
            <w:bookmarkStart w:id="635" w:name="_Toc14628"/>
            <w:r>
              <w:rPr>
                <w:color w:val="auto"/>
                <w:szCs w:val="21"/>
              </w:rPr>
              <w:t>点源（排气筒G1）</w:t>
            </w:r>
            <w:bookmarkEnd w:id="631"/>
            <w:bookmarkEnd w:id="632"/>
            <w:bookmarkEnd w:id="633"/>
            <w:bookmarkEnd w:id="634"/>
            <w:bookmarkEnd w:id="635"/>
          </w:p>
        </w:tc>
        <w:tc>
          <w:tcPr>
            <w:tcW w:w="1988" w:type="dxa"/>
            <w:gridSpan w:val="2"/>
            <w:tcBorders>
              <w:top w:val="single" w:color="auto" w:sz="4" w:space="0"/>
              <w:right w:val="single" w:color="auto" w:sz="4" w:space="0"/>
            </w:tcBorders>
            <w:vAlign w:val="center"/>
          </w:tcPr>
          <w:p>
            <w:pPr>
              <w:jc w:val="center"/>
              <w:outlineLvl w:val="9"/>
              <w:rPr>
                <w:color w:val="auto"/>
                <w:szCs w:val="21"/>
              </w:rPr>
            </w:pPr>
            <w:bookmarkStart w:id="636" w:name="_Toc24041"/>
            <w:bookmarkStart w:id="637" w:name="_Toc31620"/>
            <w:bookmarkStart w:id="638" w:name="_Toc25296"/>
            <w:r>
              <w:rPr>
                <w:color w:val="auto"/>
                <w:szCs w:val="21"/>
              </w:rPr>
              <w:t>点源（排气筒G</w:t>
            </w:r>
            <w:r>
              <w:rPr>
                <w:rFonts w:hint="eastAsia"/>
                <w:color w:val="auto"/>
                <w:szCs w:val="21"/>
              </w:rPr>
              <w:t>2</w:t>
            </w:r>
            <w:r>
              <w:rPr>
                <w:color w:val="auto"/>
                <w:szCs w:val="21"/>
              </w:rPr>
              <w:t>）</w:t>
            </w:r>
            <w:bookmarkEnd w:id="636"/>
            <w:bookmarkEnd w:id="637"/>
            <w:bookmarkEnd w:id="63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continue"/>
            <w:tcBorders>
              <w:left w:val="single" w:color="auto" w:sz="4" w:space="0"/>
            </w:tcBorders>
            <w:vAlign w:val="center"/>
          </w:tcPr>
          <w:p>
            <w:pPr>
              <w:jc w:val="center"/>
              <w:outlineLvl w:val="9"/>
              <w:rPr>
                <w:color w:val="auto"/>
                <w:szCs w:val="21"/>
              </w:rPr>
            </w:pPr>
          </w:p>
        </w:tc>
        <w:tc>
          <w:tcPr>
            <w:tcW w:w="1988" w:type="dxa"/>
            <w:gridSpan w:val="2"/>
            <w:vAlign w:val="center"/>
          </w:tcPr>
          <w:p>
            <w:pPr>
              <w:adjustRightInd w:val="0"/>
              <w:snapToGrid w:val="0"/>
              <w:jc w:val="center"/>
              <w:outlineLvl w:val="9"/>
              <w:rPr>
                <w:color w:val="auto"/>
                <w:szCs w:val="21"/>
              </w:rPr>
            </w:pPr>
            <w:r>
              <w:rPr>
                <w:rFonts w:hint="eastAsia"/>
                <w:color w:val="auto"/>
                <w:szCs w:val="21"/>
              </w:rPr>
              <w:t>颗粒物</w:t>
            </w:r>
          </w:p>
        </w:tc>
        <w:tc>
          <w:tcPr>
            <w:tcW w:w="1988" w:type="dxa"/>
            <w:gridSpan w:val="2"/>
            <w:vAlign w:val="center"/>
          </w:tcPr>
          <w:p>
            <w:pPr>
              <w:jc w:val="center"/>
              <w:outlineLvl w:val="9"/>
              <w:rPr>
                <w:color w:val="auto"/>
                <w:szCs w:val="21"/>
              </w:rPr>
            </w:pPr>
            <w:bookmarkStart w:id="639" w:name="_Toc4946"/>
            <w:bookmarkStart w:id="640" w:name="_Toc3430"/>
            <w:bookmarkStart w:id="641" w:name="_Toc5383"/>
            <w:r>
              <w:rPr>
                <w:rFonts w:hint="eastAsia"/>
                <w:color w:val="auto"/>
                <w:szCs w:val="21"/>
              </w:rPr>
              <w:t>苯并[a]芘</w:t>
            </w:r>
            <w:bookmarkEnd w:id="639"/>
            <w:bookmarkEnd w:id="640"/>
            <w:bookmarkEnd w:id="641"/>
          </w:p>
        </w:tc>
        <w:tc>
          <w:tcPr>
            <w:tcW w:w="1990" w:type="dxa"/>
            <w:gridSpan w:val="2"/>
            <w:vAlign w:val="center"/>
          </w:tcPr>
          <w:p>
            <w:pPr>
              <w:jc w:val="center"/>
              <w:outlineLvl w:val="9"/>
              <w:rPr>
                <w:color w:val="auto"/>
                <w:szCs w:val="21"/>
              </w:rPr>
            </w:pPr>
            <w:bookmarkStart w:id="642" w:name="_Toc23357"/>
            <w:bookmarkStart w:id="643" w:name="_Toc27430"/>
            <w:bookmarkStart w:id="644" w:name="_Toc29381"/>
            <w:r>
              <w:rPr>
                <w:color w:val="auto"/>
                <w:szCs w:val="21"/>
              </w:rPr>
              <w:t>非甲烷总烃</w:t>
            </w:r>
            <w:bookmarkEnd w:id="642"/>
            <w:bookmarkEnd w:id="643"/>
            <w:bookmarkEnd w:id="644"/>
          </w:p>
        </w:tc>
        <w:tc>
          <w:tcPr>
            <w:tcW w:w="1988" w:type="dxa"/>
            <w:gridSpan w:val="2"/>
            <w:tcBorders>
              <w:right w:val="single" w:color="auto" w:sz="4" w:space="0"/>
            </w:tcBorders>
            <w:vAlign w:val="center"/>
          </w:tcPr>
          <w:p>
            <w:pPr>
              <w:jc w:val="center"/>
              <w:outlineLvl w:val="9"/>
              <w:rPr>
                <w:color w:val="auto"/>
                <w:szCs w:val="21"/>
              </w:rPr>
            </w:pPr>
            <w:bookmarkStart w:id="645" w:name="_Toc11342"/>
            <w:bookmarkStart w:id="646" w:name="_Toc20950"/>
            <w:bookmarkStart w:id="647" w:name="_Toc27849"/>
            <w:r>
              <w:rPr>
                <w:rFonts w:hint="eastAsia"/>
                <w:color w:val="auto"/>
                <w:szCs w:val="21"/>
              </w:rPr>
              <w:t>颗粒物</w:t>
            </w:r>
            <w:bookmarkEnd w:id="645"/>
            <w:bookmarkEnd w:id="646"/>
            <w:bookmarkEnd w:id="64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continue"/>
            <w:tcBorders>
              <w:left w:val="single" w:color="auto" w:sz="4" w:space="0"/>
            </w:tcBorders>
            <w:vAlign w:val="center"/>
          </w:tcPr>
          <w:p>
            <w:pPr>
              <w:jc w:val="center"/>
              <w:outlineLvl w:val="9"/>
              <w:rPr>
                <w:color w:val="auto"/>
                <w:szCs w:val="21"/>
              </w:rPr>
            </w:pPr>
          </w:p>
        </w:tc>
        <w:tc>
          <w:tcPr>
            <w:tcW w:w="994" w:type="dxa"/>
            <w:vAlign w:val="center"/>
          </w:tcPr>
          <w:p>
            <w:pPr>
              <w:jc w:val="center"/>
              <w:outlineLvl w:val="9"/>
              <w:rPr>
                <w:color w:val="auto"/>
                <w:szCs w:val="21"/>
              </w:rPr>
            </w:pPr>
            <w:bookmarkStart w:id="648" w:name="_Toc20170"/>
            <w:bookmarkStart w:id="649" w:name="_Toc11920"/>
            <w:bookmarkStart w:id="650" w:name="_Toc8689"/>
            <w:bookmarkStart w:id="651" w:name="_Toc16603"/>
            <w:r>
              <w:rPr>
                <w:color w:val="auto"/>
                <w:szCs w:val="21"/>
              </w:rPr>
              <w:t>预测质量浓度/μg/m</w:t>
            </w:r>
            <w:r>
              <w:rPr>
                <w:color w:val="auto"/>
                <w:szCs w:val="21"/>
                <w:vertAlign w:val="superscript"/>
              </w:rPr>
              <w:t>3</w:t>
            </w:r>
            <w:bookmarkEnd w:id="648"/>
            <w:bookmarkEnd w:id="649"/>
            <w:bookmarkEnd w:id="650"/>
            <w:bookmarkEnd w:id="651"/>
          </w:p>
        </w:tc>
        <w:tc>
          <w:tcPr>
            <w:tcW w:w="994" w:type="dxa"/>
            <w:vAlign w:val="center"/>
          </w:tcPr>
          <w:p>
            <w:pPr>
              <w:jc w:val="center"/>
              <w:outlineLvl w:val="9"/>
              <w:rPr>
                <w:color w:val="auto"/>
                <w:szCs w:val="21"/>
              </w:rPr>
            </w:pPr>
            <w:bookmarkStart w:id="652" w:name="_Toc3405"/>
            <w:bookmarkStart w:id="653" w:name="_Toc16966"/>
            <w:bookmarkStart w:id="654" w:name="_Toc16262"/>
            <w:bookmarkStart w:id="655" w:name="_Toc9557"/>
            <w:r>
              <w:rPr>
                <w:color w:val="auto"/>
                <w:szCs w:val="21"/>
              </w:rPr>
              <w:t>占标率/%</w:t>
            </w:r>
            <w:bookmarkEnd w:id="652"/>
            <w:bookmarkEnd w:id="653"/>
            <w:bookmarkEnd w:id="654"/>
            <w:bookmarkEnd w:id="655"/>
          </w:p>
        </w:tc>
        <w:tc>
          <w:tcPr>
            <w:tcW w:w="994" w:type="dxa"/>
            <w:vAlign w:val="center"/>
          </w:tcPr>
          <w:p>
            <w:pPr>
              <w:jc w:val="center"/>
              <w:outlineLvl w:val="9"/>
              <w:rPr>
                <w:color w:val="auto"/>
                <w:szCs w:val="21"/>
              </w:rPr>
            </w:pPr>
            <w:bookmarkStart w:id="656" w:name="_Toc26141"/>
            <w:bookmarkStart w:id="657" w:name="_Toc1833"/>
            <w:bookmarkStart w:id="658" w:name="_Toc21237"/>
            <w:r>
              <w:rPr>
                <w:color w:val="auto"/>
                <w:szCs w:val="21"/>
              </w:rPr>
              <w:t>预测质量浓度/μg/m</w:t>
            </w:r>
            <w:r>
              <w:rPr>
                <w:color w:val="auto"/>
                <w:szCs w:val="21"/>
                <w:vertAlign w:val="superscript"/>
              </w:rPr>
              <w:t>3</w:t>
            </w:r>
            <w:bookmarkEnd w:id="656"/>
            <w:bookmarkEnd w:id="657"/>
            <w:bookmarkEnd w:id="658"/>
          </w:p>
        </w:tc>
        <w:tc>
          <w:tcPr>
            <w:tcW w:w="994" w:type="dxa"/>
            <w:vAlign w:val="center"/>
          </w:tcPr>
          <w:p>
            <w:pPr>
              <w:jc w:val="center"/>
              <w:outlineLvl w:val="9"/>
              <w:rPr>
                <w:color w:val="auto"/>
                <w:szCs w:val="21"/>
              </w:rPr>
            </w:pPr>
            <w:bookmarkStart w:id="659" w:name="_Toc13475"/>
            <w:bookmarkStart w:id="660" w:name="_Toc6354"/>
            <w:bookmarkStart w:id="661" w:name="_Toc32608"/>
            <w:r>
              <w:rPr>
                <w:color w:val="auto"/>
                <w:szCs w:val="21"/>
              </w:rPr>
              <w:t>占标率/%</w:t>
            </w:r>
            <w:bookmarkEnd w:id="659"/>
            <w:bookmarkEnd w:id="660"/>
            <w:bookmarkEnd w:id="661"/>
          </w:p>
        </w:tc>
        <w:tc>
          <w:tcPr>
            <w:tcW w:w="994" w:type="dxa"/>
            <w:vAlign w:val="center"/>
          </w:tcPr>
          <w:p>
            <w:pPr>
              <w:jc w:val="center"/>
              <w:outlineLvl w:val="9"/>
              <w:rPr>
                <w:color w:val="auto"/>
                <w:szCs w:val="21"/>
              </w:rPr>
            </w:pPr>
            <w:bookmarkStart w:id="662" w:name="_Toc7388"/>
            <w:bookmarkStart w:id="663" w:name="_Toc11591"/>
            <w:bookmarkStart w:id="664" w:name="_Toc6836"/>
            <w:r>
              <w:rPr>
                <w:color w:val="auto"/>
                <w:szCs w:val="21"/>
              </w:rPr>
              <w:t>预测质量浓度/μg/m</w:t>
            </w:r>
            <w:r>
              <w:rPr>
                <w:color w:val="auto"/>
                <w:szCs w:val="21"/>
                <w:vertAlign w:val="superscript"/>
              </w:rPr>
              <w:t>3</w:t>
            </w:r>
            <w:bookmarkEnd w:id="662"/>
            <w:bookmarkEnd w:id="663"/>
            <w:bookmarkEnd w:id="664"/>
          </w:p>
        </w:tc>
        <w:tc>
          <w:tcPr>
            <w:tcW w:w="996" w:type="dxa"/>
            <w:vAlign w:val="center"/>
          </w:tcPr>
          <w:p>
            <w:pPr>
              <w:jc w:val="center"/>
              <w:outlineLvl w:val="9"/>
              <w:rPr>
                <w:color w:val="auto"/>
                <w:szCs w:val="21"/>
              </w:rPr>
            </w:pPr>
            <w:bookmarkStart w:id="665" w:name="_Toc4799"/>
            <w:bookmarkStart w:id="666" w:name="_Toc19381"/>
            <w:bookmarkStart w:id="667" w:name="_Toc4379"/>
            <w:r>
              <w:rPr>
                <w:color w:val="auto"/>
                <w:szCs w:val="21"/>
              </w:rPr>
              <w:t>占标率/%</w:t>
            </w:r>
            <w:bookmarkEnd w:id="665"/>
            <w:bookmarkEnd w:id="666"/>
            <w:bookmarkEnd w:id="667"/>
          </w:p>
        </w:tc>
        <w:tc>
          <w:tcPr>
            <w:tcW w:w="994" w:type="dxa"/>
            <w:vAlign w:val="center"/>
          </w:tcPr>
          <w:p>
            <w:pPr>
              <w:jc w:val="center"/>
              <w:outlineLvl w:val="9"/>
              <w:rPr>
                <w:color w:val="auto"/>
                <w:szCs w:val="21"/>
              </w:rPr>
            </w:pPr>
            <w:bookmarkStart w:id="668" w:name="_Toc3702"/>
            <w:bookmarkStart w:id="669" w:name="_Toc8005"/>
            <w:bookmarkStart w:id="670" w:name="_Toc18298"/>
            <w:r>
              <w:rPr>
                <w:color w:val="auto"/>
                <w:szCs w:val="21"/>
              </w:rPr>
              <w:t>预测质量浓度/μg/m</w:t>
            </w:r>
            <w:r>
              <w:rPr>
                <w:color w:val="auto"/>
                <w:szCs w:val="21"/>
                <w:vertAlign w:val="superscript"/>
              </w:rPr>
              <w:t>3</w:t>
            </w:r>
            <w:bookmarkEnd w:id="668"/>
            <w:bookmarkEnd w:id="669"/>
            <w:bookmarkEnd w:id="670"/>
          </w:p>
        </w:tc>
        <w:tc>
          <w:tcPr>
            <w:tcW w:w="994" w:type="dxa"/>
            <w:tcBorders>
              <w:right w:val="single" w:color="auto" w:sz="4" w:space="0"/>
            </w:tcBorders>
            <w:vAlign w:val="center"/>
          </w:tcPr>
          <w:p>
            <w:pPr>
              <w:jc w:val="center"/>
              <w:outlineLvl w:val="9"/>
              <w:rPr>
                <w:color w:val="auto"/>
                <w:szCs w:val="21"/>
              </w:rPr>
            </w:pPr>
            <w:bookmarkStart w:id="671" w:name="_Toc17367"/>
            <w:bookmarkStart w:id="672" w:name="_Toc967"/>
            <w:bookmarkStart w:id="673" w:name="_Toc6391"/>
            <w:r>
              <w:rPr>
                <w:color w:val="auto"/>
                <w:szCs w:val="21"/>
              </w:rPr>
              <w:t>占标率/%</w:t>
            </w:r>
            <w:bookmarkEnd w:id="671"/>
            <w:bookmarkEnd w:id="672"/>
            <w:bookmarkEnd w:id="67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674" w:name="_Toc27412"/>
            <w:bookmarkStart w:id="675" w:name="_Toc17649"/>
            <w:bookmarkStart w:id="676" w:name="_Toc11263"/>
            <w:r>
              <w:rPr>
                <w:rFonts w:hint="eastAsia"/>
                <w:color w:val="auto"/>
                <w:szCs w:val="21"/>
              </w:rPr>
              <w:t>1</w:t>
            </w:r>
            <w:bookmarkEnd w:id="674"/>
            <w:bookmarkEnd w:id="675"/>
            <w:bookmarkEnd w:id="676"/>
          </w:p>
        </w:tc>
        <w:tc>
          <w:tcPr>
            <w:tcW w:w="994" w:type="dxa"/>
            <w:vAlign w:val="center"/>
          </w:tcPr>
          <w:p>
            <w:pPr>
              <w:jc w:val="center"/>
              <w:outlineLvl w:val="9"/>
              <w:rPr>
                <w:color w:val="auto"/>
                <w:szCs w:val="21"/>
              </w:rPr>
            </w:pPr>
            <w:bookmarkStart w:id="677" w:name="_Toc28772"/>
            <w:bookmarkStart w:id="678" w:name="_Toc20797"/>
            <w:bookmarkStart w:id="679" w:name="_Toc26812"/>
            <w:r>
              <w:rPr>
                <w:rFonts w:hint="eastAsia"/>
                <w:color w:val="auto"/>
              </w:rPr>
              <w:t>5.23E-11</w:t>
            </w:r>
            <w:bookmarkEnd w:id="677"/>
            <w:bookmarkEnd w:id="678"/>
            <w:bookmarkEnd w:id="679"/>
          </w:p>
        </w:tc>
        <w:tc>
          <w:tcPr>
            <w:tcW w:w="994" w:type="dxa"/>
            <w:vAlign w:val="center"/>
          </w:tcPr>
          <w:p>
            <w:pPr>
              <w:jc w:val="center"/>
              <w:outlineLvl w:val="9"/>
              <w:rPr>
                <w:color w:val="auto"/>
                <w:szCs w:val="21"/>
              </w:rPr>
            </w:pPr>
            <w:bookmarkStart w:id="680" w:name="_Toc25502"/>
            <w:bookmarkStart w:id="681" w:name="_Toc442"/>
            <w:bookmarkStart w:id="682" w:name="_Toc27671"/>
            <w:r>
              <w:rPr>
                <w:rFonts w:hint="eastAsia"/>
                <w:color w:val="auto"/>
              </w:rPr>
              <w:t>0.00</w:t>
            </w:r>
            <w:bookmarkEnd w:id="680"/>
            <w:bookmarkEnd w:id="681"/>
            <w:bookmarkEnd w:id="682"/>
          </w:p>
        </w:tc>
        <w:tc>
          <w:tcPr>
            <w:tcW w:w="994" w:type="dxa"/>
            <w:vAlign w:val="center"/>
          </w:tcPr>
          <w:p>
            <w:pPr>
              <w:jc w:val="center"/>
              <w:outlineLvl w:val="9"/>
              <w:rPr>
                <w:color w:val="auto"/>
              </w:rPr>
            </w:pPr>
            <w:bookmarkStart w:id="683" w:name="_Toc12561"/>
            <w:bookmarkStart w:id="684" w:name="_Toc10687"/>
            <w:bookmarkStart w:id="685" w:name="_Toc3805"/>
            <w:r>
              <w:rPr>
                <w:rFonts w:hint="eastAsia"/>
                <w:color w:val="auto"/>
              </w:rPr>
              <w:t>8.78E-15</w:t>
            </w:r>
            <w:bookmarkEnd w:id="683"/>
            <w:bookmarkEnd w:id="684"/>
            <w:bookmarkEnd w:id="685"/>
          </w:p>
        </w:tc>
        <w:tc>
          <w:tcPr>
            <w:tcW w:w="994" w:type="dxa"/>
            <w:vAlign w:val="center"/>
          </w:tcPr>
          <w:p>
            <w:pPr>
              <w:jc w:val="center"/>
              <w:outlineLvl w:val="9"/>
              <w:rPr>
                <w:color w:val="auto"/>
              </w:rPr>
            </w:pPr>
            <w:bookmarkStart w:id="686" w:name="_Toc25462"/>
            <w:bookmarkStart w:id="687" w:name="_Toc31820"/>
            <w:bookmarkStart w:id="688" w:name="_Toc3433"/>
            <w:r>
              <w:rPr>
                <w:rFonts w:hint="eastAsia"/>
                <w:color w:val="auto"/>
              </w:rPr>
              <w:t>0.00</w:t>
            </w:r>
            <w:bookmarkEnd w:id="686"/>
            <w:bookmarkEnd w:id="687"/>
            <w:bookmarkEnd w:id="688"/>
          </w:p>
        </w:tc>
        <w:tc>
          <w:tcPr>
            <w:tcW w:w="994" w:type="dxa"/>
            <w:vAlign w:val="center"/>
          </w:tcPr>
          <w:p>
            <w:pPr>
              <w:jc w:val="center"/>
              <w:outlineLvl w:val="9"/>
              <w:rPr>
                <w:color w:val="auto"/>
              </w:rPr>
            </w:pPr>
            <w:bookmarkStart w:id="689" w:name="_Toc31239"/>
            <w:bookmarkStart w:id="690" w:name="_Toc23200"/>
            <w:bookmarkStart w:id="691" w:name="_Toc3004"/>
            <w:r>
              <w:rPr>
                <w:rFonts w:hint="eastAsia"/>
                <w:color w:val="auto"/>
              </w:rPr>
              <w:t>4.97E-11</w:t>
            </w:r>
            <w:bookmarkEnd w:id="689"/>
            <w:bookmarkEnd w:id="690"/>
            <w:bookmarkEnd w:id="691"/>
          </w:p>
        </w:tc>
        <w:tc>
          <w:tcPr>
            <w:tcW w:w="996" w:type="dxa"/>
            <w:vAlign w:val="center"/>
          </w:tcPr>
          <w:p>
            <w:pPr>
              <w:jc w:val="center"/>
              <w:outlineLvl w:val="9"/>
              <w:rPr>
                <w:color w:val="auto"/>
              </w:rPr>
            </w:pPr>
            <w:bookmarkStart w:id="692" w:name="_Toc4726"/>
            <w:bookmarkStart w:id="693" w:name="_Toc6373"/>
            <w:bookmarkStart w:id="694" w:name="_Toc31574"/>
            <w:r>
              <w:rPr>
                <w:rFonts w:hint="eastAsia"/>
                <w:color w:val="auto"/>
              </w:rPr>
              <w:t>0.00</w:t>
            </w:r>
            <w:bookmarkEnd w:id="692"/>
            <w:bookmarkEnd w:id="693"/>
            <w:bookmarkEnd w:id="694"/>
          </w:p>
        </w:tc>
        <w:tc>
          <w:tcPr>
            <w:tcW w:w="994" w:type="dxa"/>
            <w:vAlign w:val="center"/>
          </w:tcPr>
          <w:p>
            <w:pPr>
              <w:jc w:val="center"/>
              <w:outlineLvl w:val="9"/>
              <w:rPr>
                <w:color w:val="auto"/>
              </w:rPr>
            </w:pPr>
            <w:bookmarkStart w:id="695" w:name="_Toc5969"/>
            <w:bookmarkStart w:id="696" w:name="_Toc1493"/>
            <w:bookmarkStart w:id="697" w:name="_Toc16250"/>
            <w:r>
              <w:rPr>
                <w:rFonts w:hint="eastAsia"/>
                <w:color w:val="auto"/>
              </w:rPr>
              <w:t>1.37E-14</w:t>
            </w:r>
            <w:bookmarkEnd w:id="695"/>
            <w:bookmarkEnd w:id="696"/>
            <w:bookmarkEnd w:id="697"/>
          </w:p>
        </w:tc>
        <w:tc>
          <w:tcPr>
            <w:tcW w:w="994" w:type="dxa"/>
            <w:tcBorders>
              <w:right w:val="single" w:color="auto" w:sz="4" w:space="0"/>
            </w:tcBorders>
            <w:vAlign w:val="center"/>
          </w:tcPr>
          <w:p>
            <w:pPr>
              <w:jc w:val="center"/>
              <w:outlineLvl w:val="9"/>
              <w:rPr>
                <w:color w:val="auto"/>
              </w:rPr>
            </w:pPr>
            <w:bookmarkStart w:id="698" w:name="_Toc17277"/>
            <w:bookmarkStart w:id="699" w:name="_Toc21231"/>
            <w:bookmarkStart w:id="700" w:name="_Toc17026"/>
            <w:r>
              <w:rPr>
                <w:rFonts w:hint="eastAsia"/>
                <w:color w:val="auto"/>
              </w:rPr>
              <w:t>0.00</w:t>
            </w:r>
            <w:bookmarkEnd w:id="698"/>
            <w:bookmarkEnd w:id="699"/>
            <w:bookmarkEnd w:id="70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701" w:name="_Toc26537"/>
            <w:bookmarkStart w:id="702" w:name="_Toc32716"/>
            <w:bookmarkStart w:id="703" w:name="_Toc3922"/>
            <w:bookmarkStart w:id="704" w:name="_Toc21014"/>
            <w:r>
              <w:rPr>
                <w:color w:val="auto"/>
                <w:szCs w:val="21"/>
              </w:rPr>
              <w:t>25</w:t>
            </w:r>
            <w:bookmarkEnd w:id="701"/>
            <w:bookmarkEnd w:id="702"/>
            <w:bookmarkEnd w:id="703"/>
            <w:bookmarkEnd w:id="704"/>
          </w:p>
        </w:tc>
        <w:tc>
          <w:tcPr>
            <w:tcW w:w="994" w:type="dxa"/>
            <w:vAlign w:val="center"/>
          </w:tcPr>
          <w:p>
            <w:pPr>
              <w:jc w:val="center"/>
              <w:outlineLvl w:val="9"/>
              <w:rPr>
                <w:color w:val="auto"/>
                <w:szCs w:val="21"/>
              </w:rPr>
            </w:pPr>
            <w:bookmarkStart w:id="705" w:name="_Toc1771"/>
            <w:bookmarkStart w:id="706" w:name="_Toc21114"/>
            <w:bookmarkStart w:id="707" w:name="_Toc2226"/>
            <w:r>
              <w:rPr>
                <w:rFonts w:hint="eastAsia"/>
                <w:color w:val="auto"/>
              </w:rPr>
              <w:t>4.94E-04</w:t>
            </w:r>
            <w:bookmarkEnd w:id="705"/>
            <w:bookmarkEnd w:id="706"/>
            <w:bookmarkEnd w:id="707"/>
          </w:p>
        </w:tc>
        <w:tc>
          <w:tcPr>
            <w:tcW w:w="994" w:type="dxa"/>
            <w:vAlign w:val="center"/>
          </w:tcPr>
          <w:p>
            <w:pPr>
              <w:jc w:val="center"/>
              <w:outlineLvl w:val="9"/>
              <w:rPr>
                <w:color w:val="auto"/>
                <w:szCs w:val="21"/>
              </w:rPr>
            </w:pPr>
            <w:bookmarkStart w:id="708" w:name="_Toc10700"/>
            <w:bookmarkStart w:id="709" w:name="_Toc23587"/>
            <w:bookmarkStart w:id="710" w:name="_Toc6261"/>
            <w:r>
              <w:rPr>
                <w:rFonts w:hint="eastAsia"/>
                <w:color w:val="auto"/>
              </w:rPr>
              <w:t>0.00</w:t>
            </w:r>
            <w:bookmarkEnd w:id="708"/>
            <w:bookmarkEnd w:id="709"/>
            <w:bookmarkEnd w:id="710"/>
          </w:p>
        </w:tc>
        <w:tc>
          <w:tcPr>
            <w:tcW w:w="994" w:type="dxa"/>
            <w:vAlign w:val="center"/>
          </w:tcPr>
          <w:p>
            <w:pPr>
              <w:jc w:val="center"/>
              <w:outlineLvl w:val="9"/>
              <w:rPr>
                <w:color w:val="auto"/>
              </w:rPr>
            </w:pPr>
            <w:bookmarkStart w:id="711" w:name="_Toc28415"/>
            <w:bookmarkStart w:id="712" w:name="_Toc24720"/>
            <w:bookmarkStart w:id="713" w:name="_Toc30945"/>
            <w:r>
              <w:rPr>
                <w:rFonts w:hint="eastAsia"/>
                <w:color w:val="auto"/>
              </w:rPr>
              <w:t>8.29E-08</w:t>
            </w:r>
            <w:bookmarkEnd w:id="711"/>
            <w:bookmarkEnd w:id="712"/>
            <w:bookmarkEnd w:id="713"/>
          </w:p>
        </w:tc>
        <w:tc>
          <w:tcPr>
            <w:tcW w:w="994" w:type="dxa"/>
            <w:vAlign w:val="center"/>
          </w:tcPr>
          <w:p>
            <w:pPr>
              <w:jc w:val="center"/>
              <w:outlineLvl w:val="9"/>
              <w:rPr>
                <w:color w:val="auto"/>
              </w:rPr>
            </w:pPr>
            <w:bookmarkStart w:id="714" w:name="_Toc14367"/>
            <w:bookmarkStart w:id="715" w:name="_Toc24254"/>
            <w:bookmarkStart w:id="716" w:name="_Toc809"/>
            <w:r>
              <w:rPr>
                <w:rFonts w:hint="eastAsia"/>
                <w:color w:val="auto"/>
              </w:rPr>
              <w:t>1.11</w:t>
            </w:r>
            <w:bookmarkEnd w:id="714"/>
            <w:bookmarkEnd w:id="715"/>
            <w:bookmarkEnd w:id="716"/>
          </w:p>
        </w:tc>
        <w:tc>
          <w:tcPr>
            <w:tcW w:w="994" w:type="dxa"/>
            <w:vAlign w:val="center"/>
          </w:tcPr>
          <w:p>
            <w:pPr>
              <w:jc w:val="center"/>
              <w:outlineLvl w:val="9"/>
              <w:rPr>
                <w:color w:val="auto"/>
              </w:rPr>
            </w:pPr>
            <w:bookmarkStart w:id="717" w:name="_Toc25000"/>
            <w:bookmarkStart w:id="718" w:name="_Toc25592"/>
            <w:bookmarkStart w:id="719" w:name="_Toc27331"/>
            <w:r>
              <w:rPr>
                <w:rFonts w:hint="eastAsia"/>
                <w:color w:val="auto"/>
              </w:rPr>
              <w:t>4.69E-04</w:t>
            </w:r>
            <w:bookmarkEnd w:id="717"/>
            <w:bookmarkEnd w:id="718"/>
            <w:bookmarkEnd w:id="719"/>
          </w:p>
        </w:tc>
        <w:tc>
          <w:tcPr>
            <w:tcW w:w="996" w:type="dxa"/>
            <w:vAlign w:val="center"/>
          </w:tcPr>
          <w:p>
            <w:pPr>
              <w:jc w:val="center"/>
              <w:outlineLvl w:val="9"/>
              <w:rPr>
                <w:color w:val="auto"/>
              </w:rPr>
            </w:pPr>
            <w:bookmarkStart w:id="720" w:name="_Toc30775"/>
            <w:bookmarkStart w:id="721" w:name="_Toc25172"/>
            <w:bookmarkStart w:id="722" w:name="_Toc17006"/>
            <w:r>
              <w:rPr>
                <w:rFonts w:hint="eastAsia"/>
                <w:color w:val="auto"/>
              </w:rPr>
              <w:t>0.23</w:t>
            </w:r>
            <w:bookmarkEnd w:id="720"/>
            <w:bookmarkEnd w:id="721"/>
            <w:bookmarkEnd w:id="722"/>
          </w:p>
        </w:tc>
        <w:tc>
          <w:tcPr>
            <w:tcW w:w="994" w:type="dxa"/>
            <w:vAlign w:val="center"/>
          </w:tcPr>
          <w:p>
            <w:pPr>
              <w:jc w:val="center"/>
              <w:outlineLvl w:val="9"/>
              <w:rPr>
                <w:color w:val="auto"/>
              </w:rPr>
            </w:pPr>
            <w:bookmarkStart w:id="723" w:name="_Toc3906"/>
            <w:bookmarkStart w:id="724" w:name="_Toc11206"/>
            <w:bookmarkStart w:id="725" w:name="_Toc23032"/>
            <w:r>
              <w:rPr>
                <w:rFonts w:hint="eastAsia"/>
                <w:color w:val="auto"/>
              </w:rPr>
              <w:t>2.85E-03</w:t>
            </w:r>
            <w:bookmarkEnd w:id="723"/>
            <w:bookmarkEnd w:id="724"/>
            <w:bookmarkEnd w:id="725"/>
          </w:p>
        </w:tc>
        <w:tc>
          <w:tcPr>
            <w:tcW w:w="994" w:type="dxa"/>
            <w:tcBorders>
              <w:right w:val="single" w:color="auto" w:sz="4" w:space="0"/>
            </w:tcBorders>
            <w:vAlign w:val="center"/>
          </w:tcPr>
          <w:p>
            <w:pPr>
              <w:jc w:val="center"/>
              <w:outlineLvl w:val="9"/>
              <w:rPr>
                <w:color w:val="auto"/>
              </w:rPr>
            </w:pPr>
            <w:bookmarkStart w:id="726" w:name="_Toc12627"/>
            <w:bookmarkStart w:id="727" w:name="_Toc27653"/>
            <w:bookmarkStart w:id="728" w:name="_Toc12231"/>
            <w:r>
              <w:rPr>
                <w:rFonts w:hint="eastAsia"/>
                <w:color w:val="auto"/>
              </w:rPr>
              <w:t>0.00</w:t>
            </w:r>
            <w:bookmarkEnd w:id="726"/>
            <w:bookmarkEnd w:id="727"/>
            <w:bookmarkEnd w:id="72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729" w:name="_Toc28544"/>
            <w:bookmarkStart w:id="730" w:name="_Toc322"/>
            <w:bookmarkStart w:id="731" w:name="_Toc3699"/>
            <w:bookmarkStart w:id="732" w:name="_Toc31106"/>
            <w:r>
              <w:rPr>
                <w:color w:val="auto"/>
                <w:szCs w:val="21"/>
              </w:rPr>
              <w:t>50</w:t>
            </w:r>
            <w:bookmarkEnd w:id="729"/>
            <w:bookmarkEnd w:id="730"/>
            <w:bookmarkEnd w:id="731"/>
            <w:bookmarkEnd w:id="732"/>
          </w:p>
        </w:tc>
        <w:tc>
          <w:tcPr>
            <w:tcW w:w="994" w:type="dxa"/>
            <w:vAlign w:val="center"/>
          </w:tcPr>
          <w:p>
            <w:pPr>
              <w:jc w:val="center"/>
              <w:outlineLvl w:val="9"/>
              <w:rPr>
                <w:color w:val="auto"/>
                <w:szCs w:val="21"/>
              </w:rPr>
            </w:pPr>
            <w:bookmarkStart w:id="733" w:name="_Toc11019"/>
            <w:bookmarkStart w:id="734" w:name="_Toc6537"/>
            <w:bookmarkStart w:id="735" w:name="_Toc25049"/>
            <w:r>
              <w:rPr>
                <w:rFonts w:hint="eastAsia"/>
                <w:color w:val="auto"/>
              </w:rPr>
              <w:t>5.63E-04</w:t>
            </w:r>
            <w:bookmarkEnd w:id="733"/>
            <w:bookmarkEnd w:id="734"/>
            <w:bookmarkEnd w:id="735"/>
          </w:p>
        </w:tc>
        <w:tc>
          <w:tcPr>
            <w:tcW w:w="994" w:type="dxa"/>
            <w:vAlign w:val="center"/>
          </w:tcPr>
          <w:p>
            <w:pPr>
              <w:jc w:val="center"/>
              <w:outlineLvl w:val="9"/>
              <w:rPr>
                <w:color w:val="auto"/>
                <w:szCs w:val="21"/>
              </w:rPr>
            </w:pPr>
            <w:bookmarkStart w:id="736" w:name="_Toc26044"/>
            <w:bookmarkStart w:id="737" w:name="_Toc11426"/>
            <w:bookmarkStart w:id="738" w:name="_Toc19211"/>
            <w:r>
              <w:rPr>
                <w:rFonts w:hint="eastAsia"/>
                <w:color w:val="auto"/>
              </w:rPr>
              <w:t>0.00</w:t>
            </w:r>
            <w:bookmarkEnd w:id="736"/>
            <w:bookmarkEnd w:id="737"/>
            <w:bookmarkEnd w:id="738"/>
          </w:p>
        </w:tc>
        <w:tc>
          <w:tcPr>
            <w:tcW w:w="994" w:type="dxa"/>
            <w:vAlign w:val="center"/>
          </w:tcPr>
          <w:p>
            <w:pPr>
              <w:jc w:val="center"/>
              <w:outlineLvl w:val="9"/>
              <w:rPr>
                <w:color w:val="auto"/>
              </w:rPr>
            </w:pPr>
            <w:bookmarkStart w:id="739" w:name="_Toc20606"/>
            <w:bookmarkStart w:id="740" w:name="_Toc2024"/>
            <w:bookmarkStart w:id="741" w:name="_Toc27379"/>
            <w:r>
              <w:rPr>
                <w:rFonts w:hint="eastAsia"/>
                <w:color w:val="auto"/>
              </w:rPr>
              <w:t>9.45E-08</w:t>
            </w:r>
            <w:bookmarkEnd w:id="739"/>
            <w:bookmarkEnd w:id="740"/>
            <w:bookmarkEnd w:id="741"/>
          </w:p>
        </w:tc>
        <w:tc>
          <w:tcPr>
            <w:tcW w:w="994" w:type="dxa"/>
            <w:vAlign w:val="center"/>
          </w:tcPr>
          <w:p>
            <w:pPr>
              <w:jc w:val="center"/>
              <w:outlineLvl w:val="9"/>
              <w:rPr>
                <w:color w:val="auto"/>
              </w:rPr>
            </w:pPr>
            <w:bookmarkStart w:id="742" w:name="_Toc8169"/>
            <w:bookmarkStart w:id="743" w:name="_Toc10159"/>
            <w:bookmarkStart w:id="744" w:name="_Toc26008"/>
            <w:r>
              <w:rPr>
                <w:rFonts w:hint="eastAsia"/>
                <w:color w:val="auto"/>
              </w:rPr>
              <w:t>1.26</w:t>
            </w:r>
            <w:bookmarkEnd w:id="742"/>
            <w:bookmarkEnd w:id="743"/>
            <w:bookmarkEnd w:id="744"/>
          </w:p>
        </w:tc>
        <w:tc>
          <w:tcPr>
            <w:tcW w:w="994" w:type="dxa"/>
            <w:vAlign w:val="center"/>
          </w:tcPr>
          <w:p>
            <w:pPr>
              <w:jc w:val="center"/>
              <w:outlineLvl w:val="9"/>
              <w:rPr>
                <w:color w:val="auto"/>
              </w:rPr>
            </w:pPr>
            <w:bookmarkStart w:id="745" w:name="_Toc15517"/>
            <w:bookmarkStart w:id="746" w:name="_Toc7126"/>
            <w:bookmarkStart w:id="747" w:name="_Toc20305"/>
            <w:r>
              <w:rPr>
                <w:rFonts w:hint="eastAsia"/>
                <w:color w:val="auto"/>
              </w:rPr>
              <w:t>5.34E-04</w:t>
            </w:r>
            <w:bookmarkEnd w:id="745"/>
            <w:bookmarkEnd w:id="746"/>
            <w:bookmarkEnd w:id="747"/>
          </w:p>
        </w:tc>
        <w:tc>
          <w:tcPr>
            <w:tcW w:w="996" w:type="dxa"/>
            <w:vAlign w:val="center"/>
          </w:tcPr>
          <w:p>
            <w:pPr>
              <w:jc w:val="center"/>
              <w:outlineLvl w:val="9"/>
              <w:rPr>
                <w:color w:val="auto"/>
              </w:rPr>
            </w:pPr>
            <w:bookmarkStart w:id="748" w:name="_Toc30570"/>
            <w:bookmarkStart w:id="749" w:name="_Toc25944"/>
            <w:bookmarkStart w:id="750" w:name="_Toc20938"/>
            <w:r>
              <w:rPr>
                <w:rFonts w:hint="eastAsia"/>
                <w:color w:val="auto"/>
              </w:rPr>
              <w:t>0.27</w:t>
            </w:r>
            <w:bookmarkEnd w:id="748"/>
            <w:bookmarkEnd w:id="749"/>
            <w:bookmarkEnd w:id="750"/>
          </w:p>
        </w:tc>
        <w:tc>
          <w:tcPr>
            <w:tcW w:w="994" w:type="dxa"/>
            <w:vAlign w:val="center"/>
          </w:tcPr>
          <w:p>
            <w:pPr>
              <w:jc w:val="center"/>
              <w:outlineLvl w:val="9"/>
              <w:rPr>
                <w:color w:val="auto"/>
              </w:rPr>
            </w:pPr>
            <w:bookmarkStart w:id="751" w:name="_Toc18737"/>
            <w:bookmarkStart w:id="752" w:name="_Toc3313"/>
            <w:bookmarkStart w:id="753" w:name="_Toc17431"/>
            <w:r>
              <w:rPr>
                <w:rFonts w:hint="eastAsia"/>
                <w:color w:val="auto"/>
              </w:rPr>
              <w:t>7.44E-03</w:t>
            </w:r>
            <w:bookmarkEnd w:id="751"/>
            <w:bookmarkEnd w:id="752"/>
            <w:bookmarkEnd w:id="753"/>
          </w:p>
        </w:tc>
        <w:tc>
          <w:tcPr>
            <w:tcW w:w="994" w:type="dxa"/>
            <w:tcBorders>
              <w:right w:val="single" w:color="auto" w:sz="4" w:space="0"/>
            </w:tcBorders>
            <w:vAlign w:val="center"/>
          </w:tcPr>
          <w:p>
            <w:pPr>
              <w:jc w:val="center"/>
              <w:outlineLvl w:val="9"/>
              <w:rPr>
                <w:color w:val="auto"/>
              </w:rPr>
            </w:pPr>
            <w:bookmarkStart w:id="754" w:name="_Toc15522"/>
            <w:bookmarkStart w:id="755" w:name="_Toc10757"/>
            <w:bookmarkStart w:id="756" w:name="_Toc1484"/>
            <w:r>
              <w:rPr>
                <w:rFonts w:hint="eastAsia"/>
                <w:color w:val="auto"/>
              </w:rPr>
              <w:t>0.00</w:t>
            </w:r>
            <w:bookmarkEnd w:id="754"/>
            <w:bookmarkEnd w:id="755"/>
            <w:bookmarkEnd w:id="756"/>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757" w:name="_Toc18871"/>
            <w:bookmarkStart w:id="758" w:name="_Toc30339"/>
            <w:bookmarkStart w:id="759" w:name="_Toc30170"/>
            <w:r>
              <w:rPr>
                <w:rFonts w:hint="eastAsia"/>
                <w:color w:val="auto"/>
                <w:szCs w:val="21"/>
              </w:rPr>
              <w:t>68</w:t>
            </w:r>
            <w:bookmarkEnd w:id="757"/>
            <w:bookmarkEnd w:id="758"/>
            <w:bookmarkEnd w:id="759"/>
          </w:p>
        </w:tc>
        <w:tc>
          <w:tcPr>
            <w:tcW w:w="994" w:type="dxa"/>
            <w:vAlign w:val="center"/>
          </w:tcPr>
          <w:p>
            <w:pPr>
              <w:jc w:val="center"/>
              <w:outlineLvl w:val="9"/>
              <w:rPr>
                <w:color w:val="auto"/>
                <w:szCs w:val="21"/>
              </w:rPr>
            </w:pPr>
            <w:bookmarkStart w:id="760" w:name="_Toc28185"/>
            <w:bookmarkStart w:id="761" w:name="_Toc12235"/>
            <w:bookmarkStart w:id="762" w:name="_Toc14897"/>
            <w:r>
              <w:rPr>
                <w:rFonts w:hint="eastAsia"/>
                <w:color w:val="auto"/>
              </w:rPr>
              <w:t>5.96E-04</w:t>
            </w:r>
            <w:bookmarkEnd w:id="760"/>
            <w:bookmarkEnd w:id="761"/>
            <w:bookmarkEnd w:id="762"/>
          </w:p>
        </w:tc>
        <w:tc>
          <w:tcPr>
            <w:tcW w:w="994" w:type="dxa"/>
            <w:vAlign w:val="center"/>
          </w:tcPr>
          <w:p>
            <w:pPr>
              <w:jc w:val="center"/>
              <w:outlineLvl w:val="9"/>
              <w:rPr>
                <w:color w:val="auto"/>
                <w:szCs w:val="21"/>
              </w:rPr>
            </w:pPr>
            <w:bookmarkStart w:id="763" w:name="_Toc30652"/>
            <w:bookmarkStart w:id="764" w:name="_Toc13400"/>
            <w:bookmarkStart w:id="765" w:name="_Toc18907"/>
            <w:r>
              <w:rPr>
                <w:rFonts w:hint="eastAsia"/>
                <w:color w:val="auto"/>
              </w:rPr>
              <w:t>0.00</w:t>
            </w:r>
            <w:bookmarkEnd w:id="763"/>
            <w:bookmarkEnd w:id="764"/>
            <w:bookmarkEnd w:id="765"/>
          </w:p>
        </w:tc>
        <w:tc>
          <w:tcPr>
            <w:tcW w:w="994" w:type="dxa"/>
            <w:vAlign w:val="center"/>
          </w:tcPr>
          <w:p>
            <w:pPr>
              <w:jc w:val="center"/>
              <w:outlineLvl w:val="9"/>
              <w:rPr>
                <w:color w:val="auto"/>
              </w:rPr>
            </w:pPr>
            <w:bookmarkStart w:id="766" w:name="_Toc1827"/>
            <w:bookmarkStart w:id="767" w:name="_Toc17561"/>
            <w:bookmarkStart w:id="768" w:name="_Toc867"/>
            <w:r>
              <w:rPr>
                <w:rFonts w:hint="eastAsia"/>
                <w:color w:val="auto"/>
              </w:rPr>
              <w:t>1.00E-07</w:t>
            </w:r>
            <w:bookmarkEnd w:id="766"/>
            <w:bookmarkEnd w:id="767"/>
            <w:bookmarkEnd w:id="768"/>
          </w:p>
        </w:tc>
        <w:tc>
          <w:tcPr>
            <w:tcW w:w="994" w:type="dxa"/>
            <w:vAlign w:val="center"/>
          </w:tcPr>
          <w:p>
            <w:pPr>
              <w:jc w:val="center"/>
              <w:outlineLvl w:val="9"/>
              <w:rPr>
                <w:color w:val="auto"/>
              </w:rPr>
            </w:pPr>
            <w:bookmarkStart w:id="769" w:name="_Toc23308"/>
            <w:bookmarkStart w:id="770" w:name="_Toc29520"/>
            <w:bookmarkStart w:id="771" w:name="_Toc25097"/>
            <w:r>
              <w:rPr>
                <w:rFonts w:hint="eastAsia"/>
                <w:color w:val="auto"/>
              </w:rPr>
              <w:t>1.33</w:t>
            </w:r>
            <w:bookmarkEnd w:id="769"/>
            <w:bookmarkEnd w:id="770"/>
            <w:bookmarkEnd w:id="771"/>
          </w:p>
        </w:tc>
        <w:tc>
          <w:tcPr>
            <w:tcW w:w="994" w:type="dxa"/>
            <w:vAlign w:val="center"/>
          </w:tcPr>
          <w:p>
            <w:pPr>
              <w:jc w:val="center"/>
              <w:outlineLvl w:val="9"/>
              <w:rPr>
                <w:color w:val="auto"/>
              </w:rPr>
            </w:pPr>
            <w:bookmarkStart w:id="772" w:name="_Toc21107"/>
            <w:bookmarkStart w:id="773" w:name="_Toc22302"/>
            <w:bookmarkStart w:id="774" w:name="_Toc12675"/>
            <w:r>
              <w:rPr>
                <w:rFonts w:hint="eastAsia"/>
                <w:color w:val="auto"/>
              </w:rPr>
              <w:t>5.66E-04</w:t>
            </w:r>
            <w:bookmarkEnd w:id="772"/>
            <w:bookmarkEnd w:id="773"/>
            <w:bookmarkEnd w:id="774"/>
          </w:p>
        </w:tc>
        <w:tc>
          <w:tcPr>
            <w:tcW w:w="996" w:type="dxa"/>
            <w:vAlign w:val="center"/>
          </w:tcPr>
          <w:p>
            <w:pPr>
              <w:jc w:val="center"/>
              <w:outlineLvl w:val="9"/>
              <w:rPr>
                <w:color w:val="auto"/>
              </w:rPr>
            </w:pPr>
            <w:bookmarkStart w:id="775" w:name="_Toc19937"/>
            <w:bookmarkStart w:id="776" w:name="_Toc21082"/>
            <w:bookmarkStart w:id="777" w:name="_Toc26773"/>
            <w:r>
              <w:rPr>
                <w:rFonts w:hint="eastAsia"/>
                <w:color w:val="auto"/>
              </w:rPr>
              <w:t>0.28</w:t>
            </w:r>
            <w:bookmarkEnd w:id="775"/>
            <w:bookmarkEnd w:id="776"/>
            <w:bookmarkEnd w:id="777"/>
          </w:p>
        </w:tc>
        <w:tc>
          <w:tcPr>
            <w:tcW w:w="994" w:type="dxa"/>
            <w:vAlign w:val="center"/>
          </w:tcPr>
          <w:p>
            <w:pPr>
              <w:jc w:val="center"/>
              <w:outlineLvl w:val="9"/>
              <w:rPr>
                <w:color w:val="auto"/>
              </w:rPr>
            </w:pPr>
            <w:bookmarkStart w:id="778" w:name="_Toc23106"/>
            <w:bookmarkStart w:id="779" w:name="_Toc28671"/>
            <w:bookmarkStart w:id="780" w:name="_Toc28171"/>
            <w:r>
              <w:rPr>
                <w:rFonts w:hint="eastAsia"/>
                <w:color w:val="auto"/>
              </w:rPr>
              <w:t>7.82E-03</w:t>
            </w:r>
            <w:bookmarkEnd w:id="778"/>
            <w:bookmarkEnd w:id="779"/>
            <w:bookmarkEnd w:id="780"/>
          </w:p>
        </w:tc>
        <w:tc>
          <w:tcPr>
            <w:tcW w:w="994" w:type="dxa"/>
            <w:tcBorders>
              <w:right w:val="single" w:color="auto" w:sz="4" w:space="0"/>
            </w:tcBorders>
            <w:vAlign w:val="center"/>
          </w:tcPr>
          <w:p>
            <w:pPr>
              <w:jc w:val="center"/>
              <w:outlineLvl w:val="9"/>
              <w:rPr>
                <w:color w:val="auto"/>
              </w:rPr>
            </w:pPr>
            <w:bookmarkStart w:id="781" w:name="_Toc8071"/>
            <w:bookmarkStart w:id="782" w:name="_Toc15483"/>
            <w:bookmarkStart w:id="783" w:name="_Toc4877"/>
            <w:r>
              <w:rPr>
                <w:rFonts w:hint="eastAsia"/>
                <w:color w:val="auto"/>
              </w:rPr>
              <w:t>0.00</w:t>
            </w:r>
            <w:bookmarkEnd w:id="781"/>
            <w:bookmarkEnd w:id="782"/>
            <w:bookmarkEnd w:id="78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784" w:name="_Toc32530"/>
            <w:bookmarkStart w:id="785" w:name="_Toc16346"/>
            <w:bookmarkStart w:id="786" w:name="_Toc11852"/>
            <w:r>
              <w:rPr>
                <w:rFonts w:hint="eastAsia"/>
                <w:color w:val="auto"/>
                <w:szCs w:val="21"/>
              </w:rPr>
              <w:t>73</w:t>
            </w:r>
            <w:bookmarkEnd w:id="784"/>
            <w:bookmarkEnd w:id="785"/>
            <w:bookmarkEnd w:id="786"/>
          </w:p>
        </w:tc>
        <w:tc>
          <w:tcPr>
            <w:tcW w:w="994" w:type="dxa"/>
            <w:vAlign w:val="center"/>
          </w:tcPr>
          <w:p>
            <w:pPr>
              <w:jc w:val="center"/>
              <w:outlineLvl w:val="9"/>
              <w:rPr>
                <w:color w:val="auto"/>
              </w:rPr>
            </w:pPr>
            <w:bookmarkStart w:id="787" w:name="_Toc10052"/>
            <w:bookmarkStart w:id="788" w:name="_Toc5307"/>
            <w:bookmarkStart w:id="789" w:name="_Toc14653"/>
            <w:r>
              <w:rPr>
                <w:rFonts w:hint="eastAsia"/>
                <w:color w:val="auto"/>
              </w:rPr>
              <w:t>5.96E-04</w:t>
            </w:r>
            <w:bookmarkEnd w:id="787"/>
            <w:bookmarkEnd w:id="788"/>
            <w:bookmarkEnd w:id="789"/>
          </w:p>
        </w:tc>
        <w:tc>
          <w:tcPr>
            <w:tcW w:w="994" w:type="dxa"/>
            <w:vAlign w:val="center"/>
          </w:tcPr>
          <w:p>
            <w:pPr>
              <w:jc w:val="center"/>
              <w:outlineLvl w:val="9"/>
              <w:rPr>
                <w:color w:val="auto"/>
              </w:rPr>
            </w:pPr>
            <w:bookmarkStart w:id="790" w:name="_Toc5101"/>
            <w:bookmarkStart w:id="791" w:name="_Toc10426"/>
            <w:bookmarkStart w:id="792" w:name="_Toc7068"/>
            <w:r>
              <w:rPr>
                <w:rFonts w:hint="eastAsia"/>
                <w:color w:val="auto"/>
              </w:rPr>
              <w:t>0.00</w:t>
            </w:r>
            <w:bookmarkEnd w:id="790"/>
            <w:bookmarkEnd w:id="791"/>
            <w:bookmarkEnd w:id="792"/>
          </w:p>
        </w:tc>
        <w:tc>
          <w:tcPr>
            <w:tcW w:w="994" w:type="dxa"/>
            <w:vAlign w:val="center"/>
          </w:tcPr>
          <w:p>
            <w:pPr>
              <w:jc w:val="center"/>
              <w:outlineLvl w:val="9"/>
              <w:rPr>
                <w:color w:val="auto"/>
              </w:rPr>
            </w:pPr>
            <w:bookmarkStart w:id="793" w:name="_Toc8890"/>
            <w:bookmarkStart w:id="794" w:name="_Toc28033"/>
            <w:bookmarkStart w:id="795" w:name="_Toc26126"/>
            <w:r>
              <w:rPr>
                <w:rFonts w:hint="eastAsia"/>
                <w:color w:val="auto"/>
              </w:rPr>
              <w:t>1.00E-07</w:t>
            </w:r>
            <w:bookmarkEnd w:id="793"/>
            <w:bookmarkEnd w:id="794"/>
            <w:bookmarkEnd w:id="795"/>
          </w:p>
        </w:tc>
        <w:tc>
          <w:tcPr>
            <w:tcW w:w="994" w:type="dxa"/>
            <w:vAlign w:val="center"/>
          </w:tcPr>
          <w:p>
            <w:pPr>
              <w:jc w:val="center"/>
              <w:outlineLvl w:val="9"/>
              <w:rPr>
                <w:color w:val="auto"/>
              </w:rPr>
            </w:pPr>
            <w:bookmarkStart w:id="796" w:name="_Toc8221"/>
            <w:bookmarkStart w:id="797" w:name="_Toc10572"/>
            <w:bookmarkStart w:id="798" w:name="_Toc5259"/>
            <w:r>
              <w:rPr>
                <w:rFonts w:hint="eastAsia"/>
                <w:color w:val="auto"/>
              </w:rPr>
              <w:t>1.33</w:t>
            </w:r>
            <w:bookmarkEnd w:id="796"/>
            <w:bookmarkEnd w:id="797"/>
            <w:bookmarkEnd w:id="798"/>
          </w:p>
        </w:tc>
        <w:tc>
          <w:tcPr>
            <w:tcW w:w="994" w:type="dxa"/>
            <w:vAlign w:val="center"/>
          </w:tcPr>
          <w:p>
            <w:pPr>
              <w:jc w:val="center"/>
              <w:outlineLvl w:val="9"/>
              <w:rPr>
                <w:color w:val="auto"/>
              </w:rPr>
            </w:pPr>
            <w:bookmarkStart w:id="799" w:name="_Toc19458"/>
            <w:bookmarkStart w:id="800" w:name="_Toc29228"/>
            <w:bookmarkStart w:id="801" w:name="_Toc7766"/>
            <w:r>
              <w:rPr>
                <w:rFonts w:hint="eastAsia"/>
                <w:color w:val="auto"/>
              </w:rPr>
              <w:t>5.66E-04</w:t>
            </w:r>
            <w:bookmarkEnd w:id="799"/>
            <w:bookmarkEnd w:id="800"/>
            <w:bookmarkEnd w:id="801"/>
          </w:p>
        </w:tc>
        <w:tc>
          <w:tcPr>
            <w:tcW w:w="996" w:type="dxa"/>
            <w:vAlign w:val="center"/>
          </w:tcPr>
          <w:p>
            <w:pPr>
              <w:jc w:val="center"/>
              <w:outlineLvl w:val="9"/>
              <w:rPr>
                <w:color w:val="auto"/>
              </w:rPr>
            </w:pPr>
            <w:bookmarkStart w:id="802" w:name="_Toc10018"/>
            <w:bookmarkStart w:id="803" w:name="_Toc22027"/>
            <w:bookmarkStart w:id="804" w:name="_Toc4747"/>
            <w:r>
              <w:rPr>
                <w:rFonts w:hint="eastAsia"/>
                <w:color w:val="auto"/>
              </w:rPr>
              <w:t>0.28</w:t>
            </w:r>
            <w:bookmarkEnd w:id="802"/>
            <w:bookmarkEnd w:id="803"/>
            <w:bookmarkEnd w:id="804"/>
          </w:p>
        </w:tc>
        <w:tc>
          <w:tcPr>
            <w:tcW w:w="994" w:type="dxa"/>
            <w:vAlign w:val="center"/>
          </w:tcPr>
          <w:p>
            <w:pPr>
              <w:jc w:val="center"/>
              <w:outlineLvl w:val="9"/>
              <w:rPr>
                <w:color w:val="auto"/>
              </w:rPr>
            </w:pPr>
            <w:bookmarkStart w:id="805" w:name="_Toc24612"/>
            <w:bookmarkStart w:id="806" w:name="_Toc12856"/>
            <w:bookmarkStart w:id="807" w:name="_Toc10340"/>
            <w:r>
              <w:rPr>
                <w:rFonts w:hint="eastAsia"/>
                <w:color w:val="auto"/>
              </w:rPr>
              <w:t>7.77E-03</w:t>
            </w:r>
            <w:bookmarkEnd w:id="805"/>
            <w:bookmarkEnd w:id="806"/>
            <w:bookmarkEnd w:id="807"/>
          </w:p>
        </w:tc>
        <w:tc>
          <w:tcPr>
            <w:tcW w:w="994" w:type="dxa"/>
            <w:tcBorders>
              <w:right w:val="single" w:color="auto" w:sz="4" w:space="0"/>
            </w:tcBorders>
            <w:vAlign w:val="center"/>
          </w:tcPr>
          <w:p>
            <w:pPr>
              <w:jc w:val="center"/>
              <w:outlineLvl w:val="9"/>
              <w:rPr>
                <w:color w:val="auto"/>
              </w:rPr>
            </w:pPr>
            <w:bookmarkStart w:id="808" w:name="_Toc26394"/>
            <w:bookmarkStart w:id="809" w:name="_Toc19502"/>
            <w:bookmarkStart w:id="810" w:name="_Toc1156"/>
            <w:r>
              <w:rPr>
                <w:rFonts w:hint="eastAsia"/>
                <w:color w:val="auto"/>
              </w:rPr>
              <w:t>0.00</w:t>
            </w:r>
            <w:bookmarkEnd w:id="808"/>
            <w:bookmarkEnd w:id="809"/>
            <w:bookmarkEnd w:id="81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811" w:name="_Toc25397"/>
            <w:bookmarkStart w:id="812" w:name="_Toc7833"/>
            <w:bookmarkStart w:id="813" w:name="_Toc23992"/>
            <w:bookmarkStart w:id="814" w:name="_Toc8256"/>
            <w:r>
              <w:rPr>
                <w:color w:val="auto"/>
                <w:szCs w:val="21"/>
              </w:rPr>
              <w:t>75</w:t>
            </w:r>
            <w:bookmarkEnd w:id="811"/>
            <w:bookmarkEnd w:id="812"/>
            <w:bookmarkEnd w:id="813"/>
            <w:bookmarkEnd w:id="814"/>
          </w:p>
        </w:tc>
        <w:tc>
          <w:tcPr>
            <w:tcW w:w="994" w:type="dxa"/>
            <w:vAlign w:val="center"/>
          </w:tcPr>
          <w:p>
            <w:pPr>
              <w:jc w:val="center"/>
              <w:outlineLvl w:val="9"/>
              <w:rPr>
                <w:color w:val="auto"/>
                <w:szCs w:val="21"/>
              </w:rPr>
            </w:pPr>
            <w:bookmarkStart w:id="815" w:name="_Toc3361"/>
            <w:bookmarkStart w:id="816" w:name="_Toc1825"/>
            <w:bookmarkStart w:id="817" w:name="_Toc22383"/>
            <w:r>
              <w:rPr>
                <w:rFonts w:hint="eastAsia"/>
                <w:color w:val="auto"/>
              </w:rPr>
              <w:t>7.20E-04</w:t>
            </w:r>
            <w:bookmarkEnd w:id="815"/>
            <w:bookmarkEnd w:id="816"/>
            <w:bookmarkEnd w:id="817"/>
          </w:p>
        </w:tc>
        <w:tc>
          <w:tcPr>
            <w:tcW w:w="994" w:type="dxa"/>
            <w:vAlign w:val="center"/>
          </w:tcPr>
          <w:p>
            <w:pPr>
              <w:jc w:val="center"/>
              <w:outlineLvl w:val="9"/>
              <w:rPr>
                <w:color w:val="auto"/>
                <w:szCs w:val="21"/>
              </w:rPr>
            </w:pPr>
            <w:bookmarkStart w:id="818" w:name="_Toc25570"/>
            <w:bookmarkStart w:id="819" w:name="_Toc20435"/>
            <w:bookmarkStart w:id="820" w:name="_Toc31779"/>
            <w:r>
              <w:rPr>
                <w:rFonts w:hint="eastAsia"/>
                <w:color w:val="auto"/>
              </w:rPr>
              <w:t>0.00</w:t>
            </w:r>
            <w:bookmarkEnd w:id="818"/>
            <w:bookmarkEnd w:id="819"/>
            <w:bookmarkEnd w:id="820"/>
          </w:p>
        </w:tc>
        <w:tc>
          <w:tcPr>
            <w:tcW w:w="994" w:type="dxa"/>
            <w:vAlign w:val="center"/>
          </w:tcPr>
          <w:p>
            <w:pPr>
              <w:jc w:val="center"/>
              <w:outlineLvl w:val="9"/>
              <w:rPr>
                <w:color w:val="auto"/>
              </w:rPr>
            </w:pPr>
            <w:bookmarkStart w:id="821" w:name="_Toc27776"/>
            <w:bookmarkStart w:id="822" w:name="_Toc8392"/>
            <w:bookmarkStart w:id="823" w:name="_Toc1016"/>
            <w:r>
              <w:rPr>
                <w:rFonts w:hint="eastAsia"/>
                <w:color w:val="auto"/>
              </w:rPr>
              <w:t>1.21E-07</w:t>
            </w:r>
            <w:bookmarkEnd w:id="821"/>
            <w:bookmarkEnd w:id="822"/>
            <w:bookmarkEnd w:id="823"/>
          </w:p>
        </w:tc>
        <w:tc>
          <w:tcPr>
            <w:tcW w:w="994" w:type="dxa"/>
            <w:vAlign w:val="center"/>
          </w:tcPr>
          <w:p>
            <w:pPr>
              <w:jc w:val="center"/>
              <w:outlineLvl w:val="9"/>
              <w:rPr>
                <w:color w:val="auto"/>
              </w:rPr>
            </w:pPr>
            <w:bookmarkStart w:id="824" w:name="_Toc4986"/>
            <w:bookmarkStart w:id="825" w:name="_Toc23469"/>
            <w:bookmarkStart w:id="826" w:name="_Toc280"/>
            <w:r>
              <w:rPr>
                <w:rFonts w:hint="eastAsia"/>
                <w:color w:val="auto"/>
              </w:rPr>
              <w:t>1.61</w:t>
            </w:r>
            <w:bookmarkEnd w:id="824"/>
            <w:bookmarkEnd w:id="825"/>
            <w:bookmarkEnd w:id="826"/>
          </w:p>
        </w:tc>
        <w:tc>
          <w:tcPr>
            <w:tcW w:w="994" w:type="dxa"/>
            <w:vAlign w:val="center"/>
          </w:tcPr>
          <w:p>
            <w:pPr>
              <w:jc w:val="center"/>
              <w:outlineLvl w:val="9"/>
              <w:rPr>
                <w:color w:val="auto"/>
              </w:rPr>
            </w:pPr>
            <w:bookmarkStart w:id="827" w:name="_Toc10372"/>
            <w:bookmarkStart w:id="828" w:name="_Toc5790"/>
            <w:bookmarkStart w:id="829" w:name="_Toc9220"/>
            <w:r>
              <w:rPr>
                <w:rFonts w:hint="eastAsia"/>
                <w:color w:val="auto"/>
              </w:rPr>
              <w:t>6.83E-04</w:t>
            </w:r>
            <w:bookmarkEnd w:id="827"/>
            <w:bookmarkEnd w:id="828"/>
            <w:bookmarkEnd w:id="829"/>
          </w:p>
        </w:tc>
        <w:tc>
          <w:tcPr>
            <w:tcW w:w="996" w:type="dxa"/>
            <w:vAlign w:val="center"/>
          </w:tcPr>
          <w:p>
            <w:pPr>
              <w:jc w:val="center"/>
              <w:outlineLvl w:val="9"/>
              <w:rPr>
                <w:color w:val="auto"/>
              </w:rPr>
            </w:pPr>
            <w:bookmarkStart w:id="830" w:name="_Toc17748"/>
            <w:bookmarkStart w:id="831" w:name="_Toc6072"/>
            <w:bookmarkStart w:id="832" w:name="_Toc28937"/>
            <w:r>
              <w:rPr>
                <w:rFonts w:hint="eastAsia"/>
                <w:color w:val="auto"/>
              </w:rPr>
              <w:t>0.34</w:t>
            </w:r>
            <w:bookmarkEnd w:id="830"/>
            <w:bookmarkEnd w:id="831"/>
            <w:bookmarkEnd w:id="832"/>
          </w:p>
        </w:tc>
        <w:tc>
          <w:tcPr>
            <w:tcW w:w="994" w:type="dxa"/>
            <w:vAlign w:val="center"/>
          </w:tcPr>
          <w:p>
            <w:pPr>
              <w:jc w:val="center"/>
              <w:outlineLvl w:val="9"/>
              <w:rPr>
                <w:color w:val="auto"/>
              </w:rPr>
            </w:pPr>
            <w:bookmarkStart w:id="833" w:name="_Toc18832"/>
            <w:bookmarkStart w:id="834" w:name="_Toc24652"/>
            <w:bookmarkStart w:id="835" w:name="_Toc32405"/>
            <w:r>
              <w:rPr>
                <w:rFonts w:hint="eastAsia"/>
                <w:color w:val="auto"/>
              </w:rPr>
              <w:t>7.11E-03</w:t>
            </w:r>
            <w:bookmarkEnd w:id="833"/>
            <w:bookmarkEnd w:id="834"/>
            <w:bookmarkEnd w:id="835"/>
          </w:p>
        </w:tc>
        <w:tc>
          <w:tcPr>
            <w:tcW w:w="994" w:type="dxa"/>
            <w:tcBorders>
              <w:right w:val="single" w:color="auto" w:sz="4" w:space="0"/>
            </w:tcBorders>
            <w:vAlign w:val="center"/>
          </w:tcPr>
          <w:p>
            <w:pPr>
              <w:jc w:val="center"/>
              <w:outlineLvl w:val="9"/>
              <w:rPr>
                <w:color w:val="auto"/>
              </w:rPr>
            </w:pPr>
            <w:bookmarkStart w:id="836" w:name="_Toc5812"/>
            <w:bookmarkStart w:id="837" w:name="_Toc8340"/>
            <w:bookmarkStart w:id="838" w:name="_Toc7786"/>
            <w:r>
              <w:rPr>
                <w:rFonts w:hint="eastAsia"/>
                <w:color w:val="auto"/>
              </w:rPr>
              <w:t>0.00</w:t>
            </w:r>
            <w:bookmarkEnd w:id="836"/>
            <w:bookmarkEnd w:id="837"/>
            <w:bookmarkEnd w:id="83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839" w:name="_Toc28776"/>
            <w:bookmarkStart w:id="840" w:name="_Toc30303"/>
            <w:bookmarkStart w:id="841" w:name="_Toc22686"/>
            <w:bookmarkStart w:id="842" w:name="_Toc26235"/>
            <w:r>
              <w:rPr>
                <w:color w:val="auto"/>
                <w:szCs w:val="21"/>
              </w:rPr>
              <w:t>100</w:t>
            </w:r>
            <w:bookmarkEnd w:id="839"/>
            <w:bookmarkEnd w:id="840"/>
            <w:bookmarkEnd w:id="841"/>
            <w:bookmarkEnd w:id="842"/>
          </w:p>
        </w:tc>
        <w:tc>
          <w:tcPr>
            <w:tcW w:w="994" w:type="dxa"/>
            <w:vAlign w:val="center"/>
          </w:tcPr>
          <w:p>
            <w:pPr>
              <w:jc w:val="center"/>
              <w:outlineLvl w:val="9"/>
              <w:rPr>
                <w:color w:val="auto"/>
                <w:szCs w:val="21"/>
              </w:rPr>
            </w:pPr>
            <w:bookmarkStart w:id="843" w:name="_Toc29705"/>
            <w:bookmarkStart w:id="844" w:name="_Toc12558"/>
            <w:bookmarkStart w:id="845" w:name="_Toc21655"/>
            <w:r>
              <w:rPr>
                <w:rFonts w:hint="eastAsia"/>
                <w:color w:val="auto"/>
              </w:rPr>
              <w:t>8.33E-04</w:t>
            </w:r>
            <w:bookmarkEnd w:id="843"/>
            <w:bookmarkEnd w:id="844"/>
            <w:bookmarkEnd w:id="845"/>
          </w:p>
        </w:tc>
        <w:tc>
          <w:tcPr>
            <w:tcW w:w="994" w:type="dxa"/>
            <w:vAlign w:val="center"/>
          </w:tcPr>
          <w:p>
            <w:pPr>
              <w:jc w:val="center"/>
              <w:outlineLvl w:val="9"/>
              <w:rPr>
                <w:color w:val="auto"/>
                <w:szCs w:val="21"/>
              </w:rPr>
            </w:pPr>
            <w:bookmarkStart w:id="846" w:name="_Toc9351"/>
            <w:bookmarkStart w:id="847" w:name="_Toc15433"/>
            <w:bookmarkStart w:id="848" w:name="_Toc4639"/>
            <w:r>
              <w:rPr>
                <w:rFonts w:hint="eastAsia"/>
                <w:color w:val="auto"/>
              </w:rPr>
              <w:t>0.00</w:t>
            </w:r>
            <w:bookmarkEnd w:id="846"/>
            <w:bookmarkEnd w:id="847"/>
            <w:bookmarkEnd w:id="848"/>
          </w:p>
        </w:tc>
        <w:tc>
          <w:tcPr>
            <w:tcW w:w="994" w:type="dxa"/>
            <w:vAlign w:val="center"/>
          </w:tcPr>
          <w:p>
            <w:pPr>
              <w:jc w:val="center"/>
              <w:outlineLvl w:val="9"/>
              <w:rPr>
                <w:color w:val="auto"/>
              </w:rPr>
            </w:pPr>
            <w:bookmarkStart w:id="849" w:name="_Toc6254"/>
            <w:bookmarkStart w:id="850" w:name="_Toc27489"/>
            <w:bookmarkStart w:id="851" w:name="_Toc20078"/>
            <w:r>
              <w:rPr>
                <w:rFonts w:hint="eastAsia"/>
                <w:color w:val="auto"/>
              </w:rPr>
              <w:t>1.40E-07</w:t>
            </w:r>
            <w:bookmarkEnd w:id="849"/>
            <w:bookmarkEnd w:id="850"/>
            <w:bookmarkEnd w:id="851"/>
          </w:p>
        </w:tc>
        <w:tc>
          <w:tcPr>
            <w:tcW w:w="994" w:type="dxa"/>
            <w:vAlign w:val="center"/>
          </w:tcPr>
          <w:p>
            <w:pPr>
              <w:jc w:val="center"/>
              <w:outlineLvl w:val="9"/>
              <w:rPr>
                <w:color w:val="auto"/>
              </w:rPr>
            </w:pPr>
            <w:bookmarkStart w:id="852" w:name="_Toc31162"/>
            <w:bookmarkStart w:id="853" w:name="_Toc17327"/>
            <w:bookmarkStart w:id="854" w:name="_Toc31567"/>
            <w:r>
              <w:rPr>
                <w:rFonts w:hint="eastAsia"/>
                <w:color w:val="auto"/>
              </w:rPr>
              <w:t>1.86</w:t>
            </w:r>
            <w:bookmarkEnd w:id="852"/>
            <w:bookmarkEnd w:id="853"/>
            <w:bookmarkEnd w:id="854"/>
          </w:p>
        </w:tc>
        <w:tc>
          <w:tcPr>
            <w:tcW w:w="994" w:type="dxa"/>
            <w:vAlign w:val="center"/>
          </w:tcPr>
          <w:p>
            <w:pPr>
              <w:jc w:val="center"/>
              <w:outlineLvl w:val="9"/>
              <w:rPr>
                <w:color w:val="auto"/>
              </w:rPr>
            </w:pPr>
            <w:bookmarkStart w:id="855" w:name="_Toc8767"/>
            <w:bookmarkStart w:id="856" w:name="_Toc12081"/>
            <w:bookmarkStart w:id="857" w:name="_Toc5951"/>
            <w:r>
              <w:rPr>
                <w:rFonts w:hint="eastAsia"/>
                <w:color w:val="auto"/>
              </w:rPr>
              <w:t>7.91E-04</w:t>
            </w:r>
            <w:bookmarkEnd w:id="855"/>
            <w:bookmarkEnd w:id="856"/>
            <w:bookmarkEnd w:id="857"/>
          </w:p>
        </w:tc>
        <w:tc>
          <w:tcPr>
            <w:tcW w:w="996" w:type="dxa"/>
            <w:vAlign w:val="center"/>
          </w:tcPr>
          <w:p>
            <w:pPr>
              <w:jc w:val="center"/>
              <w:outlineLvl w:val="9"/>
              <w:rPr>
                <w:color w:val="auto"/>
              </w:rPr>
            </w:pPr>
            <w:bookmarkStart w:id="858" w:name="_Toc30381"/>
            <w:bookmarkStart w:id="859" w:name="_Toc7690"/>
            <w:bookmarkStart w:id="860" w:name="_Toc2094"/>
            <w:r>
              <w:rPr>
                <w:rFonts w:hint="eastAsia"/>
                <w:color w:val="auto"/>
              </w:rPr>
              <w:t>0.40</w:t>
            </w:r>
            <w:bookmarkEnd w:id="858"/>
            <w:bookmarkEnd w:id="859"/>
            <w:bookmarkEnd w:id="860"/>
          </w:p>
        </w:tc>
        <w:tc>
          <w:tcPr>
            <w:tcW w:w="994" w:type="dxa"/>
            <w:vAlign w:val="center"/>
          </w:tcPr>
          <w:p>
            <w:pPr>
              <w:jc w:val="center"/>
              <w:outlineLvl w:val="9"/>
              <w:rPr>
                <w:color w:val="auto"/>
              </w:rPr>
            </w:pPr>
            <w:bookmarkStart w:id="861" w:name="_Toc14494"/>
            <w:bookmarkStart w:id="862" w:name="_Toc32451"/>
            <w:bookmarkStart w:id="863" w:name="_Toc16614"/>
            <w:r>
              <w:rPr>
                <w:rFonts w:hint="eastAsia"/>
                <w:color w:val="auto"/>
              </w:rPr>
              <w:t>6.30E-03</w:t>
            </w:r>
            <w:bookmarkEnd w:id="861"/>
            <w:bookmarkEnd w:id="862"/>
            <w:bookmarkEnd w:id="863"/>
          </w:p>
        </w:tc>
        <w:tc>
          <w:tcPr>
            <w:tcW w:w="994" w:type="dxa"/>
            <w:tcBorders>
              <w:right w:val="single" w:color="auto" w:sz="4" w:space="0"/>
            </w:tcBorders>
            <w:vAlign w:val="center"/>
          </w:tcPr>
          <w:p>
            <w:pPr>
              <w:jc w:val="center"/>
              <w:outlineLvl w:val="9"/>
              <w:rPr>
                <w:color w:val="auto"/>
              </w:rPr>
            </w:pPr>
            <w:bookmarkStart w:id="864" w:name="_Toc10041"/>
            <w:bookmarkStart w:id="865" w:name="_Toc29452"/>
            <w:bookmarkStart w:id="866" w:name="_Toc12131"/>
            <w:r>
              <w:rPr>
                <w:rFonts w:hint="eastAsia"/>
                <w:color w:val="auto"/>
              </w:rPr>
              <w:t>0.00</w:t>
            </w:r>
            <w:bookmarkEnd w:id="864"/>
            <w:bookmarkEnd w:id="865"/>
            <w:bookmarkEnd w:id="866"/>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867" w:name="_Toc1372"/>
            <w:bookmarkStart w:id="868" w:name="_Toc9875"/>
            <w:bookmarkStart w:id="869" w:name="_Toc14336"/>
            <w:bookmarkStart w:id="870" w:name="_Toc14808"/>
            <w:r>
              <w:rPr>
                <w:color w:val="auto"/>
                <w:szCs w:val="21"/>
              </w:rPr>
              <w:t>125</w:t>
            </w:r>
            <w:bookmarkEnd w:id="867"/>
            <w:bookmarkEnd w:id="868"/>
            <w:bookmarkEnd w:id="869"/>
            <w:bookmarkEnd w:id="870"/>
          </w:p>
        </w:tc>
        <w:tc>
          <w:tcPr>
            <w:tcW w:w="994" w:type="dxa"/>
            <w:vAlign w:val="center"/>
          </w:tcPr>
          <w:p>
            <w:pPr>
              <w:jc w:val="center"/>
              <w:outlineLvl w:val="9"/>
              <w:rPr>
                <w:color w:val="auto"/>
                <w:szCs w:val="21"/>
              </w:rPr>
            </w:pPr>
            <w:bookmarkStart w:id="871" w:name="_Toc28008"/>
            <w:bookmarkStart w:id="872" w:name="_Toc21240"/>
            <w:bookmarkStart w:id="873" w:name="_Toc1921"/>
            <w:r>
              <w:rPr>
                <w:rFonts w:hint="eastAsia"/>
                <w:color w:val="auto"/>
              </w:rPr>
              <w:t>9.42E-04</w:t>
            </w:r>
            <w:bookmarkEnd w:id="871"/>
            <w:bookmarkEnd w:id="872"/>
            <w:bookmarkEnd w:id="873"/>
          </w:p>
        </w:tc>
        <w:tc>
          <w:tcPr>
            <w:tcW w:w="994" w:type="dxa"/>
            <w:vAlign w:val="center"/>
          </w:tcPr>
          <w:p>
            <w:pPr>
              <w:jc w:val="center"/>
              <w:outlineLvl w:val="9"/>
              <w:rPr>
                <w:color w:val="auto"/>
                <w:szCs w:val="21"/>
              </w:rPr>
            </w:pPr>
            <w:bookmarkStart w:id="874" w:name="_Toc11461"/>
            <w:bookmarkStart w:id="875" w:name="_Toc5418"/>
            <w:bookmarkStart w:id="876" w:name="_Toc17236"/>
            <w:r>
              <w:rPr>
                <w:rFonts w:hint="eastAsia"/>
                <w:color w:val="auto"/>
              </w:rPr>
              <w:t>0.00</w:t>
            </w:r>
            <w:bookmarkEnd w:id="874"/>
            <w:bookmarkEnd w:id="875"/>
            <w:bookmarkEnd w:id="876"/>
          </w:p>
        </w:tc>
        <w:tc>
          <w:tcPr>
            <w:tcW w:w="994" w:type="dxa"/>
            <w:vAlign w:val="center"/>
          </w:tcPr>
          <w:p>
            <w:pPr>
              <w:jc w:val="center"/>
              <w:outlineLvl w:val="9"/>
              <w:rPr>
                <w:color w:val="auto"/>
              </w:rPr>
            </w:pPr>
            <w:bookmarkStart w:id="877" w:name="_Toc18797"/>
            <w:bookmarkStart w:id="878" w:name="_Toc5718"/>
            <w:bookmarkStart w:id="879" w:name="_Toc10555"/>
            <w:r>
              <w:rPr>
                <w:rFonts w:hint="eastAsia"/>
                <w:color w:val="auto"/>
              </w:rPr>
              <w:t>1.58E-07</w:t>
            </w:r>
            <w:bookmarkEnd w:id="877"/>
            <w:bookmarkEnd w:id="878"/>
            <w:bookmarkEnd w:id="879"/>
          </w:p>
        </w:tc>
        <w:tc>
          <w:tcPr>
            <w:tcW w:w="994" w:type="dxa"/>
            <w:vAlign w:val="center"/>
          </w:tcPr>
          <w:p>
            <w:pPr>
              <w:jc w:val="center"/>
              <w:outlineLvl w:val="9"/>
              <w:rPr>
                <w:color w:val="auto"/>
              </w:rPr>
            </w:pPr>
            <w:bookmarkStart w:id="880" w:name="_Toc6493"/>
            <w:bookmarkStart w:id="881" w:name="_Toc14708"/>
            <w:bookmarkStart w:id="882" w:name="_Toc14663"/>
            <w:r>
              <w:rPr>
                <w:rFonts w:hint="eastAsia"/>
                <w:color w:val="auto"/>
              </w:rPr>
              <w:t>2.11</w:t>
            </w:r>
            <w:bookmarkEnd w:id="880"/>
            <w:bookmarkEnd w:id="881"/>
            <w:bookmarkEnd w:id="882"/>
          </w:p>
        </w:tc>
        <w:tc>
          <w:tcPr>
            <w:tcW w:w="994" w:type="dxa"/>
            <w:vAlign w:val="center"/>
          </w:tcPr>
          <w:p>
            <w:pPr>
              <w:jc w:val="center"/>
              <w:outlineLvl w:val="9"/>
              <w:rPr>
                <w:color w:val="auto"/>
              </w:rPr>
            </w:pPr>
            <w:bookmarkStart w:id="883" w:name="_Toc27740"/>
            <w:bookmarkStart w:id="884" w:name="_Toc19141"/>
            <w:bookmarkStart w:id="885" w:name="_Toc19990"/>
            <w:r>
              <w:rPr>
                <w:rFonts w:hint="eastAsia"/>
                <w:color w:val="auto"/>
              </w:rPr>
              <w:t>8.95E-04</w:t>
            </w:r>
            <w:bookmarkEnd w:id="883"/>
            <w:bookmarkEnd w:id="884"/>
            <w:bookmarkEnd w:id="885"/>
          </w:p>
        </w:tc>
        <w:tc>
          <w:tcPr>
            <w:tcW w:w="996" w:type="dxa"/>
            <w:vAlign w:val="center"/>
          </w:tcPr>
          <w:p>
            <w:pPr>
              <w:jc w:val="center"/>
              <w:outlineLvl w:val="9"/>
              <w:rPr>
                <w:color w:val="auto"/>
              </w:rPr>
            </w:pPr>
            <w:bookmarkStart w:id="886" w:name="_Toc27852"/>
            <w:bookmarkStart w:id="887" w:name="_Toc23060"/>
            <w:bookmarkStart w:id="888" w:name="_Toc958"/>
            <w:r>
              <w:rPr>
                <w:rFonts w:hint="eastAsia"/>
                <w:color w:val="auto"/>
              </w:rPr>
              <w:t>0.45</w:t>
            </w:r>
            <w:bookmarkEnd w:id="886"/>
            <w:bookmarkEnd w:id="887"/>
            <w:bookmarkEnd w:id="888"/>
          </w:p>
        </w:tc>
        <w:tc>
          <w:tcPr>
            <w:tcW w:w="994" w:type="dxa"/>
            <w:vAlign w:val="center"/>
          </w:tcPr>
          <w:p>
            <w:pPr>
              <w:jc w:val="center"/>
              <w:outlineLvl w:val="9"/>
              <w:rPr>
                <w:color w:val="auto"/>
              </w:rPr>
            </w:pPr>
            <w:bookmarkStart w:id="889" w:name="_Toc27647"/>
            <w:bookmarkStart w:id="890" w:name="_Toc32188"/>
            <w:bookmarkStart w:id="891" w:name="_Toc5683"/>
            <w:r>
              <w:rPr>
                <w:rFonts w:hint="eastAsia"/>
                <w:color w:val="auto"/>
              </w:rPr>
              <w:t>5.51E-03</w:t>
            </w:r>
            <w:bookmarkEnd w:id="889"/>
            <w:bookmarkEnd w:id="890"/>
            <w:bookmarkEnd w:id="891"/>
          </w:p>
        </w:tc>
        <w:tc>
          <w:tcPr>
            <w:tcW w:w="994" w:type="dxa"/>
            <w:tcBorders>
              <w:right w:val="single" w:color="auto" w:sz="4" w:space="0"/>
            </w:tcBorders>
            <w:vAlign w:val="center"/>
          </w:tcPr>
          <w:p>
            <w:pPr>
              <w:jc w:val="center"/>
              <w:outlineLvl w:val="9"/>
              <w:rPr>
                <w:color w:val="auto"/>
              </w:rPr>
            </w:pPr>
            <w:bookmarkStart w:id="892" w:name="_Toc6485"/>
            <w:bookmarkStart w:id="893" w:name="_Toc14183"/>
            <w:bookmarkStart w:id="894" w:name="_Toc30534"/>
            <w:r>
              <w:rPr>
                <w:rFonts w:hint="eastAsia"/>
                <w:color w:val="auto"/>
              </w:rPr>
              <w:t>0.00</w:t>
            </w:r>
            <w:bookmarkEnd w:id="892"/>
            <w:bookmarkEnd w:id="893"/>
            <w:bookmarkEnd w:id="89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895" w:name="_Toc29206"/>
            <w:bookmarkStart w:id="896" w:name="_Toc23166"/>
            <w:bookmarkStart w:id="897" w:name="_Toc20395"/>
            <w:bookmarkStart w:id="898" w:name="_Toc25578"/>
            <w:r>
              <w:rPr>
                <w:color w:val="auto"/>
                <w:szCs w:val="21"/>
              </w:rPr>
              <w:t>150</w:t>
            </w:r>
            <w:bookmarkEnd w:id="895"/>
            <w:bookmarkEnd w:id="896"/>
            <w:bookmarkEnd w:id="897"/>
            <w:bookmarkEnd w:id="898"/>
          </w:p>
        </w:tc>
        <w:tc>
          <w:tcPr>
            <w:tcW w:w="994" w:type="dxa"/>
            <w:vAlign w:val="center"/>
          </w:tcPr>
          <w:p>
            <w:pPr>
              <w:jc w:val="center"/>
              <w:outlineLvl w:val="9"/>
              <w:rPr>
                <w:color w:val="auto"/>
                <w:szCs w:val="21"/>
              </w:rPr>
            </w:pPr>
            <w:bookmarkStart w:id="899" w:name="_Toc23963"/>
            <w:bookmarkStart w:id="900" w:name="_Toc2330"/>
            <w:bookmarkStart w:id="901" w:name="_Toc14164"/>
            <w:r>
              <w:rPr>
                <w:rFonts w:hint="eastAsia"/>
                <w:color w:val="auto"/>
              </w:rPr>
              <w:t>1.03E-03</w:t>
            </w:r>
            <w:bookmarkEnd w:id="899"/>
            <w:bookmarkEnd w:id="900"/>
            <w:bookmarkEnd w:id="901"/>
          </w:p>
        </w:tc>
        <w:tc>
          <w:tcPr>
            <w:tcW w:w="994" w:type="dxa"/>
            <w:vAlign w:val="center"/>
          </w:tcPr>
          <w:p>
            <w:pPr>
              <w:jc w:val="center"/>
              <w:outlineLvl w:val="9"/>
              <w:rPr>
                <w:color w:val="auto"/>
                <w:szCs w:val="21"/>
              </w:rPr>
            </w:pPr>
            <w:bookmarkStart w:id="902" w:name="_Toc23854"/>
            <w:bookmarkStart w:id="903" w:name="_Toc7427"/>
            <w:bookmarkStart w:id="904" w:name="_Toc22079"/>
            <w:r>
              <w:rPr>
                <w:rFonts w:hint="eastAsia"/>
                <w:color w:val="auto"/>
              </w:rPr>
              <w:t>0.00</w:t>
            </w:r>
            <w:bookmarkEnd w:id="902"/>
            <w:bookmarkEnd w:id="903"/>
            <w:bookmarkEnd w:id="904"/>
          </w:p>
        </w:tc>
        <w:tc>
          <w:tcPr>
            <w:tcW w:w="994" w:type="dxa"/>
            <w:vAlign w:val="center"/>
          </w:tcPr>
          <w:p>
            <w:pPr>
              <w:jc w:val="center"/>
              <w:outlineLvl w:val="9"/>
              <w:rPr>
                <w:color w:val="auto"/>
              </w:rPr>
            </w:pPr>
            <w:bookmarkStart w:id="905" w:name="_Toc24233"/>
            <w:bookmarkStart w:id="906" w:name="_Toc15986"/>
            <w:bookmarkStart w:id="907" w:name="_Toc6861"/>
            <w:r>
              <w:rPr>
                <w:rFonts w:hint="eastAsia"/>
                <w:color w:val="auto"/>
              </w:rPr>
              <w:t>1.73E-07</w:t>
            </w:r>
            <w:bookmarkEnd w:id="905"/>
            <w:bookmarkEnd w:id="906"/>
            <w:bookmarkEnd w:id="907"/>
          </w:p>
        </w:tc>
        <w:tc>
          <w:tcPr>
            <w:tcW w:w="994" w:type="dxa"/>
            <w:vAlign w:val="center"/>
          </w:tcPr>
          <w:p>
            <w:pPr>
              <w:jc w:val="center"/>
              <w:outlineLvl w:val="9"/>
              <w:rPr>
                <w:color w:val="auto"/>
              </w:rPr>
            </w:pPr>
            <w:bookmarkStart w:id="908" w:name="_Toc18630"/>
            <w:bookmarkStart w:id="909" w:name="_Toc17838"/>
            <w:bookmarkStart w:id="910" w:name="_Toc18010"/>
            <w:r>
              <w:rPr>
                <w:rFonts w:hint="eastAsia"/>
                <w:color w:val="auto"/>
              </w:rPr>
              <w:t>2.31</w:t>
            </w:r>
            <w:bookmarkEnd w:id="908"/>
            <w:bookmarkEnd w:id="909"/>
            <w:bookmarkEnd w:id="910"/>
          </w:p>
        </w:tc>
        <w:tc>
          <w:tcPr>
            <w:tcW w:w="994" w:type="dxa"/>
            <w:vAlign w:val="center"/>
          </w:tcPr>
          <w:p>
            <w:pPr>
              <w:jc w:val="center"/>
              <w:outlineLvl w:val="9"/>
              <w:rPr>
                <w:color w:val="auto"/>
              </w:rPr>
            </w:pPr>
            <w:bookmarkStart w:id="911" w:name="_Toc18359"/>
            <w:bookmarkStart w:id="912" w:name="_Toc2594"/>
            <w:bookmarkStart w:id="913" w:name="_Toc1136"/>
            <w:r>
              <w:rPr>
                <w:rFonts w:hint="eastAsia"/>
                <w:color w:val="auto"/>
              </w:rPr>
              <w:t>9.78E-04</w:t>
            </w:r>
            <w:bookmarkEnd w:id="911"/>
            <w:bookmarkEnd w:id="912"/>
            <w:bookmarkEnd w:id="913"/>
          </w:p>
        </w:tc>
        <w:tc>
          <w:tcPr>
            <w:tcW w:w="996" w:type="dxa"/>
            <w:vAlign w:val="center"/>
          </w:tcPr>
          <w:p>
            <w:pPr>
              <w:jc w:val="center"/>
              <w:outlineLvl w:val="9"/>
              <w:rPr>
                <w:color w:val="auto"/>
              </w:rPr>
            </w:pPr>
            <w:bookmarkStart w:id="914" w:name="_Toc28433"/>
            <w:bookmarkStart w:id="915" w:name="_Toc3059"/>
            <w:bookmarkStart w:id="916" w:name="_Toc20223"/>
            <w:r>
              <w:rPr>
                <w:rFonts w:hint="eastAsia"/>
                <w:color w:val="auto"/>
              </w:rPr>
              <w:t>0.49</w:t>
            </w:r>
            <w:bookmarkEnd w:id="914"/>
            <w:bookmarkEnd w:id="915"/>
            <w:bookmarkEnd w:id="916"/>
          </w:p>
        </w:tc>
        <w:tc>
          <w:tcPr>
            <w:tcW w:w="994" w:type="dxa"/>
            <w:vAlign w:val="center"/>
          </w:tcPr>
          <w:p>
            <w:pPr>
              <w:jc w:val="center"/>
              <w:outlineLvl w:val="9"/>
              <w:rPr>
                <w:color w:val="auto"/>
              </w:rPr>
            </w:pPr>
            <w:bookmarkStart w:id="917" w:name="_Toc3646"/>
            <w:bookmarkStart w:id="918" w:name="_Toc23"/>
            <w:bookmarkStart w:id="919" w:name="_Toc32183"/>
            <w:r>
              <w:rPr>
                <w:rFonts w:hint="eastAsia"/>
                <w:color w:val="auto"/>
              </w:rPr>
              <w:t>4.72E-03</w:t>
            </w:r>
            <w:bookmarkEnd w:id="917"/>
            <w:bookmarkEnd w:id="918"/>
            <w:bookmarkEnd w:id="919"/>
          </w:p>
        </w:tc>
        <w:tc>
          <w:tcPr>
            <w:tcW w:w="994" w:type="dxa"/>
            <w:tcBorders>
              <w:right w:val="single" w:color="auto" w:sz="4" w:space="0"/>
            </w:tcBorders>
            <w:vAlign w:val="center"/>
          </w:tcPr>
          <w:p>
            <w:pPr>
              <w:jc w:val="center"/>
              <w:outlineLvl w:val="9"/>
              <w:rPr>
                <w:color w:val="auto"/>
              </w:rPr>
            </w:pPr>
            <w:bookmarkStart w:id="920" w:name="_Toc104"/>
            <w:bookmarkStart w:id="921" w:name="_Toc6505"/>
            <w:bookmarkStart w:id="922" w:name="_Toc26292"/>
            <w:r>
              <w:rPr>
                <w:rFonts w:hint="eastAsia"/>
                <w:color w:val="auto"/>
              </w:rPr>
              <w:t>0.00</w:t>
            </w:r>
            <w:bookmarkEnd w:id="920"/>
            <w:bookmarkEnd w:id="921"/>
            <w:bookmarkEnd w:id="922"/>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923" w:name="_Toc17687"/>
            <w:bookmarkStart w:id="924" w:name="_Toc10618"/>
            <w:bookmarkStart w:id="925" w:name="_Toc13996"/>
            <w:bookmarkStart w:id="926" w:name="_Toc27683"/>
            <w:r>
              <w:rPr>
                <w:color w:val="auto"/>
                <w:szCs w:val="21"/>
              </w:rPr>
              <w:t>175</w:t>
            </w:r>
            <w:bookmarkEnd w:id="923"/>
            <w:bookmarkEnd w:id="924"/>
            <w:bookmarkEnd w:id="925"/>
            <w:bookmarkEnd w:id="926"/>
          </w:p>
        </w:tc>
        <w:tc>
          <w:tcPr>
            <w:tcW w:w="994" w:type="dxa"/>
            <w:vAlign w:val="center"/>
          </w:tcPr>
          <w:p>
            <w:pPr>
              <w:jc w:val="center"/>
              <w:outlineLvl w:val="9"/>
              <w:rPr>
                <w:color w:val="auto"/>
                <w:szCs w:val="21"/>
              </w:rPr>
            </w:pPr>
            <w:bookmarkStart w:id="927" w:name="_Toc9121"/>
            <w:bookmarkStart w:id="928" w:name="_Toc27251"/>
            <w:bookmarkStart w:id="929" w:name="_Toc8527"/>
            <w:r>
              <w:rPr>
                <w:rFonts w:hint="eastAsia"/>
                <w:color w:val="auto"/>
              </w:rPr>
              <w:t>1.07E-03</w:t>
            </w:r>
            <w:bookmarkEnd w:id="927"/>
            <w:bookmarkEnd w:id="928"/>
            <w:bookmarkEnd w:id="929"/>
          </w:p>
        </w:tc>
        <w:tc>
          <w:tcPr>
            <w:tcW w:w="994" w:type="dxa"/>
            <w:vAlign w:val="center"/>
          </w:tcPr>
          <w:p>
            <w:pPr>
              <w:jc w:val="center"/>
              <w:outlineLvl w:val="9"/>
              <w:rPr>
                <w:color w:val="auto"/>
                <w:szCs w:val="21"/>
              </w:rPr>
            </w:pPr>
            <w:bookmarkStart w:id="930" w:name="_Toc7218"/>
            <w:bookmarkStart w:id="931" w:name="_Toc21112"/>
            <w:bookmarkStart w:id="932" w:name="_Toc15045"/>
            <w:r>
              <w:rPr>
                <w:rFonts w:hint="eastAsia"/>
                <w:color w:val="auto"/>
              </w:rPr>
              <w:t>0.00</w:t>
            </w:r>
            <w:bookmarkEnd w:id="930"/>
            <w:bookmarkEnd w:id="931"/>
            <w:bookmarkEnd w:id="932"/>
          </w:p>
        </w:tc>
        <w:tc>
          <w:tcPr>
            <w:tcW w:w="994" w:type="dxa"/>
            <w:vAlign w:val="center"/>
          </w:tcPr>
          <w:p>
            <w:pPr>
              <w:jc w:val="center"/>
              <w:outlineLvl w:val="9"/>
              <w:rPr>
                <w:color w:val="auto"/>
              </w:rPr>
            </w:pPr>
            <w:bookmarkStart w:id="933" w:name="_Toc29570"/>
            <w:bookmarkStart w:id="934" w:name="_Toc23512"/>
            <w:bookmarkStart w:id="935" w:name="_Toc24126"/>
            <w:r>
              <w:rPr>
                <w:rFonts w:hint="eastAsia"/>
                <w:color w:val="auto"/>
              </w:rPr>
              <w:t>1.80E-07</w:t>
            </w:r>
            <w:bookmarkEnd w:id="933"/>
            <w:bookmarkEnd w:id="934"/>
            <w:bookmarkEnd w:id="935"/>
          </w:p>
        </w:tc>
        <w:tc>
          <w:tcPr>
            <w:tcW w:w="994" w:type="dxa"/>
            <w:vAlign w:val="center"/>
          </w:tcPr>
          <w:p>
            <w:pPr>
              <w:jc w:val="center"/>
              <w:outlineLvl w:val="9"/>
              <w:rPr>
                <w:color w:val="auto"/>
              </w:rPr>
            </w:pPr>
            <w:bookmarkStart w:id="936" w:name="_Toc26970"/>
            <w:bookmarkStart w:id="937" w:name="_Toc25082"/>
            <w:bookmarkStart w:id="938" w:name="_Toc12071"/>
            <w:r>
              <w:rPr>
                <w:rFonts w:hint="eastAsia"/>
                <w:color w:val="auto"/>
              </w:rPr>
              <w:t>2.40</w:t>
            </w:r>
            <w:bookmarkEnd w:id="936"/>
            <w:bookmarkEnd w:id="937"/>
            <w:bookmarkEnd w:id="938"/>
          </w:p>
        </w:tc>
        <w:tc>
          <w:tcPr>
            <w:tcW w:w="994" w:type="dxa"/>
            <w:vAlign w:val="center"/>
          </w:tcPr>
          <w:p>
            <w:pPr>
              <w:jc w:val="center"/>
              <w:outlineLvl w:val="9"/>
              <w:rPr>
                <w:color w:val="auto"/>
              </w:rPr>
            </w:pPr>
            <w:bookmarkStart w:id="939" w:name="_Toc30595"/>
            <w:bookmarkStart w:id="940" w:name="_Toc4863"/>
            <w:bookmarkStart w:id="941" w:name="_Toc21730"/>
            <w:r>
              <w:rPr>
                <w:rFonts w:hint="eastAsia"/>
                <w:color w:val="auto"/>
              </w:rPr>
              <w:t>1.02E-03</w:t>
            </w:r>
            <w:bookmarkEnd w:id="939"/>
            <w:bookmarkEnd w:id="940"/>
            <w:bookmarkEnd w:id="941"/>
          </w:p>
        </w:tc>
        <w:tc>
          <w:tcPr>
            <w:tcW w:w="996" w:type="dxa"/>
            <w:vAlign w:val="center"/>
          </w:tcPr>
          <w:p>
            <w:pPr>
              <w:jc w:val="center"/>
              <w:outlineLvl w:val="9"/>
              <w:rPr>
                <w:color w:val="auto"/>
              </w:rPr>
            </w:pPr>
            <w:bookmarkStart w:id="942" w:name="_Toc3106"/>
            <w:bookmarkStart w:id="943" w:name="_Toc16748"/>
            <w:bookmarkStart w:id="944" w:name="_Toc23873"/>
            <w:r>
              <w:rPr>
                <w:rFonts w:hint="eastAsia"/>
                <w:color w:val="auto"/>
              </w:rPr>
              <w:t>0.51</w:t>
            </w:r>
            <w:bookmarkEnd w:id="942"/>
            <w:bookmarkEnd w:id="943"/>
            <w:bookmarkEnd w:id="944"/>
          </w:p>
        </w:tc>
        <w:tc>
          <w:tcPr>
            <w:tcW w:w="994" w:type="dxa"/>
            <w:vAlign w:val="center"/>
          </w:tcPr>
          <w:p>
            <w:pPr>
              <w:jc w:val="center"/>
              <w:outlineLvl w:val="9"/>
              <w:rPr>
                <w:color w:val="auto"/>
              </w:rPr>
            </w:pPr>
            <w:bookmarkStart w:id="945" w:name="_Toc27791"/>
            <w:bookmarkStart w:id="946" w:name="_Toc17434"/>
            <w:bookmarkStart w:id="947" w:name="_Toc9608"/>
            <w:r>
              <w:rPr>
                <w:rFonts w:hint="eastAsia"/>
                <w:color w:val="auto"/>
              </w:rPr>
              <w:t>4.15E-03</w:t>
            </w:r>
            <w:bookmarkEnd w:id="945"/>
            <w:bookmarkEnd w:id="946"/>
            <w:bookmarkEnd w:id="947"/>
          </w:p>
        </w:tc>
        <w:tc>
          <w:tcPr>
            <w:tcW w:w="994" w:type="dxa"/>
            <w:tcBorders>
              <w:right w:val="single" w:color="auto" w:sz="4" w:space="0"/>
            </w:tcBorders>
            <w:vAlign w:val="center"/>
          </w:tcPr>
          <w:p>
            <w:pPr>
              <w:jc w:val="center"/>
              <w:outlineLvl w:val="9"/>
              <w:rPr>
                <w:color w:val="auto"/>
              </w:rPr>
            </w:pPr>
            <w:bookmarkStart w:id="948" w:name="_Toc20677"/>
            <w:bookmarkStart w:id="949" w:name="_Toc19482"/>
            <w:bookmarkStart w:id="950" w:name="_Toc15120"/>
            <w:r>
              <w:rPr>
                <w:rFonts w:hint="eastAsia"/>
                <w:color w:val="auto"/>
              </w:rPr>
              <w:t>0.00</w:t>
            </w:r>
            <w:bookmarkEnd w:id="948"/>
            <w:bookmarkEnd w:id="949"/>
            <w:bookmarkEnd w:id="95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951" w:name="_Toc15493"/>
            <w:bookmarkStart w:id="952" w:name="_Toc2771"/>
            <w:bookmarkStart w:id="953" w:name="_Toc14662"/>
            <w:r>
              <w:rPr>
                <w:color w:val="auto"/>
                <w:szCs w:val="21"/>
              </w:rPr>
              <w:t>200</w:t>
            </w:r>
            <w:bookmarkEnd w:id="951"/>
            <w:bookmarkEnd w:id="952"/>
            <w:bookmarkEnd w:id="953"/>
          </w:p>
        </w:tc>
        <w:tc>
          <w:tcPr>
            <w:tcW w:w="994" w:type="dxa"/>
            <w:vAlign w:val="center"/>
          </w:tcPr>
          <w:p>
            <w:pPr>
              <w:jc w:val="center"/>
              <w:outlineLvl w:val="9"/>
              <w:rPr>
                <w:color w:val="auto"/>
                <w:szCs w:val="21"/>
              </w:rPr>
            </w:pPr>
            <w:bookmarkStart w:id="954" w:name="_Toc13607"/>
            <w:bookmarkStart w:id="955" w:name="_Toc18830"/>
            <w:bookmarkStart w:id="956" w:name="_Toc4455"/>
            <w:r>
              <w:rPr>
                <w:rFonts w:hint="eastAsia"/>
                <w:color w:val="auto"/>
              </w:rPr>
              <w:t>1.08E-03</w:t>
            </w:r>
            <w:bookmarkEnd w:id="954"/>
            <w:bookmarkEnd w:id="955"/>
            <w:bookmarkEnd w:id="956"/>
          </w:p>
        </w:tc>
        <w:tc>
          <w:tcPr>
            <w:tcW w:w="994" w:type="dxa"/>
            <w:vAlign w:val="center"/>
          </w:tcPr>
          <w:p>
            <w:pPr>
              <w:jc w:val="center"/>
              <w:outlineLvl w:val="9"/>
              <w:rPr>
                <w:color w:val="auto"/>
                <w:szCs w:val="21"/>
              </w:rPr>
            </w:pPr>
            <w:bookmarkStart w:id="957" w:name="_Toc8351"/>
            <w:bookmarkStart w:id="958" w:name="_Toc743"/>
            <w:bookmarkStart w:id="959" w:name="_Toc10125"/>
            <w:r>
              <w:rPr>
                <w:rFonts w:hint="eastAsia"/>
                <w:color w:val="auto"/>
              </w:rPr>
              <w:t>0.00</w:t>
            </w:r>
            <w:bookmarkEnd w:id="957"/>
            <w:bookmarkEnd w:id="958"/>
            <w:bookmarkEnd w:id="959"/>
          </w:p>
        </w:tc>
        <w:tc>
          <w:tcPr>
            <w:tcW w:w="994" w:type="dxa"/>
            <w:vAlign w:val="center"/>
          </w:tcPr>
          <w:p>
            <w:pPr>
              <w:jc w:val="center"/>
              <w:outlineLvl w:val="9"/>
              <w:rPr>
                <w:color w:val="auto"/>
              </w:rPr>
            </w:pPr>
            <w:bookmarkStart w:id="960" w:name="_Toc1674"/>
            <w:bookmarkStart w:id="961" w:name="_Toc9904"/>
            <w:bookmarkStart w:id="962" w:name="_Toc26258"/>
            <w:r>
              <w:rPr>
                <w:rFonts w:hint="eastAsia"/>
                <w:color w:val="auto"/>
              </w:rPr>
              <w:t>1.82E-07</w:t>
            </w:r>
            <w:bookmarkEnd w:id="960"/>
            <w:bookmarkEnd w:id="961"/>
            <w:bookmarkEnd w:id="962"/>
          </w:p>
        </w:tc>
        <w:tc>
          <w:tcPr>
            <w:tcW w:w="994" w:type="dxa"/>
            <w:vAlign w:val="center"/>
          </w:tcPr>
          <w:p>
            <w:pPr>
              <w:jc w:val="center"/>
              <w:outlineLvl w:val="9"/>
              <w:rPr>
                <w:color w:val="auto"/>
              </w:rPr>
            </w:pPr>
            <w:bookmarkStart w:id="963" w:name="_Toc25793"/>
            <w:bookmarkStart w:id="964" w:name="_Toc10614"/>
            <w:bookmarkStart w:id="965" w:name="_Toc24746"/>
            <w:r>
              <w:rPr>
                <w:rFonts w:hint="eastAsia"/>
                <w:color w:val="auto"/>
              </w:rPr>
              <w:t>2.42</w:t>
            </w:r>
            <w:bookmarkEnd w:id="963"/>
            <w:bookmarkEnd w:id="964"/>
            <w:bookmarkEnd w:id="965"/>
          </w:p>
        </w:tc>
        <w:tc>
          <w:tcPr>
            <w:tcW w:w="994" w:type="dxa"/>
            <w:vAlign w:val="center"/>
          </w:tcPr>
          <w:p>
            <w:pPr>
              <w:jc w:val="center"/>
              <w:outlineLvl w:val="9"/>
              <w:rPr>
                <w:color w:val="auto"/>
              </w:rPr>
            </w:pPr>
            <w:bookmarkStart w:id="966" w:name="_Toc31270"/>
            <w:bookmarkStart w:id="967" w:name="_Toc27100"/>
            <w:bookmarkStart w:id="968" w:name="_Toc7528"/>
            <w:r>
              <w:rPr>
                <w:rFonts w:hint="eastAsia"/>
                <w:color w:val="auto"/>
              </w:rPr>
              <w:t>1.03E-03</w:t>
            </w:r>
            <w:bookmarkEnd w:id="966"/>
            <w:bookmarkEnd w:id="967"/>
            <w:bookmarkEnd w:id="968"/>
          </w:p>
        </w:tc>
        <w:tc>
          <w:tcPr>
            <w:tcW w:w="996" w:type="dxa"/>
            <w:vAlign w:val="center"/>
          </w:tcPr>
          <w:p>
            <w:pPr>
              <w:jc w:val="center"/>
              <w:outlineLvl w:val="9"/>
              <w:rPr>
                <w:color w:val="auto"/>
              </w:rPr>
            </w:pPr>
            <w:bookmarkStart w:id="969" w:name="_Toc31909"/>
            <w:bookmarkStart w:id="970" w:name="_Toc18952"/>
            <w:bookmarkStart w:id="971" w:name="_Toc22301"/>
            <w:r>
              <w:rPr>
                <w:rFonts w:hint="eastAsia"/>
                <w:color w:val="auto"/>
              </w:rPr>
              <w:t>0.51</w:t>
            </w:r>
            <w:bookmarkEnd w:id="969"/>
            <w:bookmarkEnd w:id="970"/>
            <w:bookmarkEnd w:id="971"/>
          </w:p>
        </w:tc>
        <w:tc>
          <w:tcPr>
            <w:tcW w:w="994" w:type="dxa"/>
            <w:vAlign w:val="center"/>
          </w:tcPr>
          <w:p>
            <w:pPr>
              <w:jc w:val="center"/>
              <w:outlineLvl w:val="9"/>
              <w:rPr>
                <w:color w:val="auto"/>
              </w:rPr>
            </w:pPr>
            <w:bookmarkStart w:id="972" w:name="_Toc2464"/>
            <w:bookmarkStart w:id="973" w:name="_Toc15052"/>
            <w:bookmarkStart w:id="974" w:name="_Toc2658"/>
            <w:r>
              <w:rPr>
                <w:rFonts w:hint="eastAsia"/>
                <w:color w:val="auto"/>
              </w:rPr>
              <w:t>3.68E-03</w:t>
            </w:r>
            <w:bookmarkEnd w:id="972"/>
            <w:bookmarkEnd w:id="973"/>
            <w:bookmarkEnd w:id="974"/>
          </w:p>
        </w:tc>
        <w:tc>
          <w:tcPr>
            <w:tcW w:w="994" w:type="dxa"/>
            <w:tcBorders>
              <w:right w:val="single" w:color="auto" w:sz="4" w:space="0"/>
            </w:tcBorders>
            <w:vAlign w:val="center"/>
          </w:tcPr>
          <w:p>
            <w:pPr>
              <w:jc w:val="center"/>
              <w:outlineLvl w:val="9"/>
              <w:rPr>
                <w:color w:val="auto"/>
              </w:rPr>
            </w:pPr>
            <w:bookmarkStart w:id="975" w:name="_Toc1407"/>
            <w:bookmarkStart w:id="976" w:name="_Toc24273"/>
            <w:bookmarkStart w:id="977" w:name="_Toc32467"/>
            <w:r>
              <w:rPr>
                <w:rFonts w:hint="eastAsia"/>
                <w:color w:val="auto"/>
              </w:rPr>
              <w:t>0.00</w:t>
            </w:r>
            <w:bookmarkEnd w:id="975"/>
            <w:bookmarkEnd w:id="976"/>
            <w:bookmarkEnd w:id="97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978" w:name="_Toc7133"/>
            <w:bookmarkStart w:id="979" w:name="_Toc32320"/>
            <w:bookmarkStart w:id="980" w:name="_Toc10351"/>
            <w:r>
              <w:rPr>
                <w:color w:val="auto"/>
                <w:szCs w:val="21"/>
              </w:rPr>
              <w:t>225</w:t>
            </w:r>
            <w:bookmarkEnd w:id="978"/>
            <w:bookmarkEnd w:id="979"/>
            <w:bookmarkEnd w:id="980"/>
          </w:p>
        </w:tc>
        <w:tc>
          <w:tcPr>
            <w:tcW w:w="994" w:type="dxa"/>
            <w:vAlign w:val="center"/>
          </w:tcPr>
          <w:p>
            <w:pPr>
              <w:jc w:val="center"/>
              <w:outlineLvl w:val="9"/>
              <w:rPr>
                <w:color w:val="auto"/>
                <w:szCs w:val="21"/>
              </w:rPr>
            </w:pPr>
            <w:bookmarkStart w:id="981" w:name="_Toc9106"/>
            <w:bookmarkStart w:id="982" w:name="_Toc29212"/>
            <w:bookmarkStart w:id="983" w:name="_Toc16832"/>
            <w:r>
              <w:rPr>
                <w:rFonts w:hint="eastAsia"/>
                <w:color w:val="auto"/>
              </w:rPr>
              <w:t>1.07E-03</w:t>
            </w:r>
            <w:bookmarkEnd w:id="981"/>
            <w:bookmarkEnd w:id="982"/>
            <w:bookmarkEnd w:id="983"/>
          </w:p>
        </w:tc>
        <w:tc>
          <w:tcPr>
            <w:tcW w:w="994" w:type="dxa"/>
            <w:vAlign w:val="center"/>
          </w:tcPr>
          <w:p>
            <w:pPr>
              <w:jc w:val="center"/>
              <w:outlineLvl w:val="9"/>
              <w:rPr>
                <w:color w:val="auto"/>
                <w:szCs w:val="21"/>
              </w:rPr>
            </w:pPr>
            <w:bookmarkStart w:id="984" w:name="_Toc29323"/>
            <w:bookmarkStart w:id="985" w:name="_Toc24951"/>
            <w:bookmarkStart w:id="986" w:name="_Toc21116"/>
            <w:r>
              <w:rPr>
                <w:rFonts w:hint="eastAsia"/>
                <w:color w:val="auto"/>
              </w:rPr>
              <w:t>0.00</w:t>
            </w:r>
            <w:bookmarkEnd w:id="984"/>
            <w:bookmarkEnd w:id="985"/>
            <w:bookmarkEnd w:id="986"/>
          </w:p>
        </w:tc>
        <w:tc>
          <w:tcPr>
            <w:tcW w:w="994" w:type="dxa"/>
            <w:vAlign w:val="center"/>
          </w:tcPr>
          <w:p>
            <w:pPr>
              <w:jc w:val="center"/>
              <w:outlineLvl w:val="9"/>
              <w:rPr>
                <w:color w:val="auto"/>
              </w:rPr>
            </w:pPr>
            <w:bookmarkStart w:id="987" w:name="_Toc27745"/>
            <w:bookmarkStart w:id="988" w:name="_Toc18541"/>
            <w:bookmarkStart w:id="989" w:name="_Toc9782"/>
            <w:r>
              <w:rPr>
                <w:rFonts w:hint="eastAsia"/>
                <w:color w:val="auto"/>
              </w:rPr>
              <w:t>1.79E-07</w:t>
            </w:r>
            <w:bookmarkEnd w:id="987"/>
            <w:bookmarkEnd w:id="988"/>
            <w:bookmarkEnd w:id="989"/>
          </w:p>
        </w:tc>
        <w:tc>
          <w:tcPr>
            <w:tcW w:w="994" w:type="dxa"/>
            <w:vAlign w:val="center"/>
          </w:tcPr>
          <w:p>
            <w:pPr>
              <w:jc w:val="center"/>
              <w:outlineLvl w:val="9"/>
              <w:rPr>
                <w:color w:val="auto"/>
              </w:rPr>
            </w:pPr>
            <w:bookmarkStart w:id="990" w:name="_Toc4844"/>
            <w:bookmarkStart w:id="991" w:name="_Toc4752"/>
            <w:bookmarkStart w:id="992" w:name="_Toc1478"/>
            <w:r>
              <w:rPr>
                <w:rFonts w:hint="eastAsia"/>
                <w:color w:val="auto"/>
              </w:rPr>
              <w:t>2.39</w:t>
            </w:r>
            <w:bookmarkEnd w:id="990"/>
            <w:bookmarkEnd w:id="991"/>
            <w:bookmarkEnd w:id="992"/>
          </w:p>
        </w:tc>
        <w:tc>
          <w:tcPr>
            <w:tcW w:w="994" w:type="dxa"/>
            <w:vAlign w:val="center"/>
          </w:tcPr>
          <w:p>
            <w:pPr>
              <w:jc w:val="center"/>
              <w:outlineLvl w:val="9"/>
              <w:rPr>
                <w:color w:val="auto"/>
              </w:rPr>
            </w:pPr>
            <w:bookmarkStart w:id="993" w:name="_Toc30996"/>
            <w:bookmarkStart w:id="994" w:name="_Toc31024"/>
            <w:bookmarkStart w:id="995" w:name="_Toc21573"/>
            <w:r>
              <w:rPr>
                <w:rFonts w:hint="eastAsia"/>
                <w:color w:val="auto"/>
              </w:rPr>
              <w:t>1.01E-03</w:t>
            </w:r>
            <w:bookmarkEnd w:id="993"/>
            <w:bookmarkEnd w:id="994"/>
            <w:bookmarkEnd w:id="995"/>
          </w:p>
        </w:tc>
        <w:tc>
          <w:tcPr>
            <w:tcW w:w="996" w:type="dxa"/>
            <w:vAlign w:val="center"/>
          </w:tcPr>
          <w:p>
            <w:pPr>
              <w:jc w:val="center"/>
              <w:outlineLvl w:val="9"/>
              <w:rPr>
                <w:color w:val="auto"/>
              </w:rPr>
            </w:pPr>
            <w:bookmarkStart w:id="996" w:name="_Toc14192"/>
            <w:bookmarkStart w:id="997" w:name="_Toc5700"/>
            <w:bookmarkStart w:id="998" w:name="_Toc5944"/>
            <w:r>
              <w:rPr>
                <w:rFonts w:hint="eastAsia"/>
                <w:color w:val="auto"/>
              </w:rPr>
              <w:t>0.51</w:t>
            </w:r>
            <w:bookmarkEnd w:id="996"/>
            <w:bookmarkEnd w:id="997"/>
            <w:bookmarkEnd w:id="998"/>
          </w:p>
        </w:tc>
        <w:tc>
          <w:tcPr>
            <w:tcW w:w="994" w:type="dxa"/>
            <w:vAlign w:val="center"/>
          </w:tcPr>
          <w:p>
            <w:pPr>
              <w:jc w:val="center"/>
              <w:outlineLvl w:val="9"/>
              <w:rPr>
                <w:color w:val="auto"/>
              </w:rPr>
            </w:pPr>
            <w:bookmarkStart w:id="999" w:name="_Toc31229"/>
            <w:bookmarkStart w:id="1000" w:name="_Toc15578"/>
            <w:bookmarkStart w:id="1001" w:name="_Toc28500"/>
            <w:r>
              <w:rPr>
                <w:rFonts w:hint="eastAsia"/>
                <w:color w:val="auto"/>
              </w:rPr>
              <w:t>3.24E-03</w:t>
            </w:r>
            <w:bookmarkEnd w:id="999"/>
            <w:bookmarkEnd w:id="1000"/>
            <w:bookmarkEnd w:id="1001"/>
          </w:p>
        </w:tc>
        <w:tc>
          <w:tcPr>
            <w:tcW w:w="994" w:type="dxa"/>
            <w:tcBorders>
              <w:right w:val="single" w:color="auto" w:sz="4" w:space="0"/>
            </w:tcBorders>
            <w:vAlign w:val="center"/>
          </w:tcPr>
          <w:p>
            <w:pPr>
              <w:jc w:val="center"/>
              <w:outlineLvl w:val="9"/>
              <w:rPr>
                <w:color w:val="auto"/>
              </w:rPr>
            </w:pPr>
            <w:bookmarkStart w:id="1002" w:name="_Toc31522"/>
            <w:bookmarkStart w:id="1003" w:name="_Toc11380"/>
            <w:bookmarkStart w:id="1004" w:name="_Toc24176"/>
            <w:r>
              <w:rPr>
                <w:rFonts w:hint="eastAsia"/>
                <w:color w:val="auto"/>
              </w:rPr>
              <w:t>0.00</w:t>
            </w:r>
            <w:bookmarkEnd w:id="1002"/>
            <w:bookmarkEnd w:id="1003"/>
            <w:bookmarkEnd w:id="100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005" w:name="_Toc15797"/>
            <w:bookmarkStart w:id="1006" w:name="_Toc6964"/>
            <w:bookmarkStart w:id="1007" w:name="_Toc20510"/>
            <w:r>
              <w:rPr>
                <w:color w:val="auto"/>
                <w:szCs w:val="21"/>
              </w:rPr>
              <w:t>250</w:t>
            </w:r>
            <w:bookmarkEnd w:id="1005"/>
            <w:bookmarkEnd w:id="1006"/>
            <w:bookmarkEnd w:id="1007"/>
          </w:p>
        </w:tc>
        <w:tc>
          <w:tcPr>
            <w:tcW w:w="994" w:type="dxa"/>
            <w:vAlign w:val="center"/>
          </w:tcPr>
          <w:p>
            <w:pPr>
              <w:jc w:val="center"/>
              <w:outlineLvl w:val="9"/>
              <w:rPr>
                <w:color w:val="auto"/>
                <w:szCs w:val="21"/>
              </w:rPr>
            </w:pPr>
            <w:bookmarkStart w:id="1008" w:name="_Toc1867"/>
            <w:bookmarkStart w:id="1009" w:name="_Toc13358"/>
            <w:bookmarkStart w:id="1010" w:name="_Toc5928"/>
            <w:r>
              <w:rPr>
                <w:rFonts w:hint="eastAsia"/>
                <w:color w:val="auto"/>
              </w:rPr>
              <w:t>1.04E-03</w:t>
            </w:r>
            <w:bookmarkEnd w:id="1008"/>
            <w:bookmarkEnd w:id="1009"/>
            <w:bookmarkEnd w:id="1010"/>
          </w:p>
        </w:tc>
        <w:tc>
          <w:tcPr>
            <w:tcW w:w="994" w:type="dxa"/>
            <w:vAlign w:val="center"/>
          </w:tcPr>
          <w:p>
            <w:pPr>
              <w:jc w:val="center"/>
              <w:outlineLvl w:val="9"/>
              <w:rPr>
                <w:color w:val="auto"/>
                <w:szCs w:val="21"/>
              </w:rPr>
            </w:pPr>
            <w:bookmarkStart w:id="1011" w:name="_Toc11431"/>
            <w:bookmarkStart w:id="1012" w:name="_Toc31422"/>
            <w:bookmarkStart w:id="1013" w:name="_Toc27854"/>
            <w:r>
              <w:rPr>
                <w:rFonts w:hint="eastAsia"/>
                <w:color w:val="auto"/>
              </w:rPr>
              <w:t>0.00</w:t>
            </w:r>
            <w:bookmarkEnd w:id="1011"/>
            <w:bookmarkEnd w:id="1012"/>
            <w:bookmarkEnd w:id="1013"/>
          </w:p>
        </w:tc>
        <w:tc>
          <w:tcPr>
            <w:tcW w:w="994" w:type="dxa"/>
            <w:vAlign w:val="center"/>
          </w:tcPr>
          <w:p>
            <w:pPr>
              <w:jc w:val="center"/>
              <w:outlineLvl w:val="9"/>
              <w:rPr>
                <w:color w:val="auto"/>
              </w:rPr>
            </w:pPr>
            <w:bookmarkStart w:id="1014" w:name="_Toc24689"/>
            <w:bookmarkStart w:id="1015" w:name="_Toc19490"/>
            <w:bookmarkStart w:id="1016" w:name="_Toc17880"/>
            <w:r>
              <w:rPr>
                <w:rFonts w:hint="eastAsia"/>
                <w:color w:val="auto"/>
              </w:rPr>
              <w:t>1.75E-07</w:t>
            </w:r>
            <w:bookmarkEnd w:id="1014"/>
            <w:bookmarkEnd w:id="1015"/>
            <w:bookmarkEnd w:id="1016"/>
          </w:p>
        </w:tc>
        <w:tc>
          <w:tcPr>
            <w:tcW w:w="994" w:type="dxa"/>
            <w:vAlign w:val="center"/>
          </w:tcPr>
          <w:p>
            <w:pPr>
              <w:jc w:val="center"/>
              <w:outlineLvl w:val="9"/>
              <w:rPr>
                <w:color w:val="auto"/>
              </w:rPr>
            </w:pPr>
            <w:bookmarkStart w:id="1017" w:name="_Toc20071"/>
            <w:bookmarkStart w:id="1018" w:name="_Toc14972"/>
            <w:bookmarkStart w:id="1019" w:name="_Toc3042"/>
            <w:r>
              <w:rPr>
                <w:rFonts w:hint="eastAsia"/>
                <w:color w:val="auto"/>
              </w:rPr>
              <w:t>2.33</w:t>
            </w:r>
            <w:bookmarkEnd w:id="1017"/>
            <w:bookmarkEnd w:id="1018"/>
            <w:bookmarkEnd w:id="1019"/>
          </w:p>
        </w:tc>
        <w:tc>
          <w:tcPr>
            <w:tcW w:w="994" w:type="dxa"/>
            <w:vAlign w:val="center"/>
          </w:tcPr>
          <w:p>
            <w:pPr>
              <w:jc w:val="center"/>
              <w:outlineLvl w:val="9"/>
              <w:rPr>
                <w:color w:val="auto"/>
              </w:rPr>
            </w:pPr>
            <w:bookmarkStart w:id="1020" w:name="_Toc21719"/>
            <w:bookmarkStart w:id="1021" w:name="_Toc22173"/>
            <w:bookmarkStart w:id="1022" w:name="_Toc6603"/>
            <w:r>
              <w:rPr>
                <w:rFonts w:hint="eastAsia"/>
                <w:color w:val="auto"/>
              </w:rPr>
              <w:t>9.90E-04</w:t>
            </w:r>
            <w:bookmarkEnd w:id="1020"/>
            <w:bookmarkEnd w:id="1021"/>
            <w:bookmarkEnd w:id="1022"/>
          </w:p>
        </w:tc>
        <w:tc>
          <w:tcPr>
            <w:tcW w:w="996" w:type="dxa"/>
            <w:vAlign w:val="center"/>
          </w:tcPr>
          <w:p>
            <w:pPr>
              <w:jc w:val="center"/>
              <w:outlineLvl w:val="9"/>
              <w:rPr>
                <w:color w:val="auto"/>
              </w:rPr>
            </w:pPr>
            <w:bookmarkStart w:id="1023" w:name="_Toc20814"/>
            <w:bookmarkStart w:id="1024" w:name="_Toc2080"/>
            <w:bookmarkStart w:id="1025" w:name="_Toc26650"/>
            <w:r>
              <w:rPr>
                <w:rFonts w:hint="eastAsia"/>
                <w:color w:val="auto"/>
              </w:rPr>
              <w:t>0.50</w:t>
            </w:r>
            <w:bookmarkEnd w:id="1023"/>
            <w:bookmarkEnd w:id="1024"/>
            <w:bookmarkEnd w:id="1025"/>
          </w:p>
        </w:tc>
        <w:tc>
          <w:tcPr>
            <w:tcW w:w="994" w:type="dxa"/>
            <w:vAlign w:val="center"/>
          </w:tcPr>
          <w:p>
            <w:pPr>
              <w:jc w:val="center"/>
              <w:outlineLvl w:val="9"/>
              <w:rPr>
                <w:color w:val="auto"/>
              </w:rPr>
            </w:pPr>
            <w:bookmarkStart w:id="1026" w:name="_Toc4415"/>
            <w:bookmarkStart w:id="1027" w:name="_Toc28595"/>
            <w:bookmarkStart w:id="1028" w:name="_Toc26025"/>
            <w:r>
              <w:rPr>
                <w:rFonts w:hint="eastAsia"/>
                <w:color w:val="auto"/>
              </w:rPr>
              <w:t>2.84E-03</w:t>
            </w:r>
            <w:bookmarkEnd w:id="1026"/>
            <w:bookmarkEnd w:id="1027"/>
            <w:bookmarkEnd w:id="1028"/>
          </w:p>
        </w:tc>
        <w:tc>
          <w:tcPr>
            <w:tcW w:w="994" w:type="dxa"/>
            <w:tcBorders>
              <w:right w:val="single" w:color="auto" w:sz="4" w:space="0"/>
            </w:tcBorders>
            <w:vAlign w:val="center"/>
          </w:tcPr>
          <w:p>
            <w:pPr>
              <w:jc w:val="center"/>
              <w:outlineLvl w:val="9"/>
              <w:rPr>
                <w:color w:val="auto"/>
              </w:rPr>
            </w:pPr>
            <w:bookmarkStart w:id="1029" w:name="_Toc17745"/>
            <w:bookmarkStart w:id="1030" w:name="_Toc16238"/>
            <w:bookmarkStart w:id="1031" w:name="_Toc7078"/>
            <w:r>
              <w:rPr>
                <w:rFonts w:hint="eastAsia"/>
                <w:color w:val="auto"/>
              </w:rPr>
              <w:t>0.00</w:t>
            </w:r>
            <w:bookmarkEnd w:id="1029"/>
            <w:bookmarkEnd w:id="1030"/>
            <w:bookmarkEnd w:id="1031"/>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032" w:name="_Toc18056"/>
            <w:bookmarkStart w:id="1033" w:name="_Toc10647"/>
            <w:bookmarkStart w:id="1034" w:name="_Toc10949"/>
            <w:r>
              <w:rPr>
                <w:color w:val="auto"/>
                <w:szCs w:val="21"/>
              </w:rPr>
              <w:t>275</w:t>
            </w:r>
            <w:bookmarkEnd w:id="1032"/>
            <w:bookmarkEnd w:id="1033"/>
            <w:bookmarkEnd w:id="1034"/>
          </w:p>
        </w:tc>
        <w:tc>
          <w:tcPr>
            <w:tcW w:w="994" w:type="dxa"/>
            <w:vAlign w:val="center"/>
          </w:tcPr>
          <w:p>
            <w:pPr>
              <w:jc w:val="center"/>
              <w:outlineLvl w:val="9"/>
              <w:rPr>
                <w:color w:val="auto"/>
                <w:szCs w:val="21"/>
              </w:rPr>
            </w:pPr>
            <w:bookmarkStart w:id="1035" w:name="_Toc29422"/>
            <w:bookmarkStart w:id="1036" w:name="_Toc10551"/>
            <w:bookmarkStart w:id="1037" w:name="_Toc17223"/>
            <w:r>
              <w:rPr>
                <w:rFonts w:hint="eastAsia"/>
                <w:color w:val="auto"/>
              </w:rPr>
              <w:t>1.02E-03</w:t>
            </w:r>
            <w:bookmarkEnd w:id="1035"/>
            <w:bookmarkEnd w:id="1036"/>
            <w:bookmarkEnd w:id="1037"/>
          </w:p>
        </w:tc>
        <w:tc>
          <w:tcPr>
            <w:tcW w:w="994" w:type="dxa"/>
            <w:vAlign w:val="center"/>
          </w:tcPr>
          <w:p>
            <w:pPr>
              <w:jc w:val="center"/>
              <w:outlineLvl w:val="9"/>
              <w:rPr>
                <w:color w:val="auto"/>
                <w:szCs w:val="21"/>
              </w:rPr>
            </w:pPr>
            <w:bookmarkStart w:id="1038" w:name="_Toc28308"/>
            <w:bookmarkStart w:id="1039" w:name="_Toc21093"/>
            <w:bookmarkStart w:id="1040" w:name="_Toc2219"/>
            <w:r>
              <w:rPr>
                <w:rFonts w:hint="eastAsia"/>
                <w:color w:val="auto"/>
              </w:rPr>
              <w:t>0.00</w:t>
            </w:r>
            <w:bookmarkEnd w:id="1038"/>
            <w:bookmarkEnd w:id="1039"/>
            <w:bookmarkEnd w:id="1040"/>
          </w:p>
        </w:tc>
        <w:tc>
          <w:tcPr>
            <w:tcW w:w="994" w:type="dxa"/>
            <w:vAlign w:val="center"/>
          </w:tcPr>
          <w:p>
            <w:pPr>
              <w:jc w:val="center"/>
              <w:outlineLvl w:val="9"/>
              <w:rPr>
                <w:color w:val="auto"/>
              </w:rPr>
            </w:pPr>
            <w:bookmarkStart w:id="1041" w:name="_Toc30621"/>
            <w:bookmarkStart w:id="1042" w:name="_Toc7382"/>
            <w:bookmarkStart w:id="1043" w:name="_Toc8499"/>
            <w:r>
              <w:rPr>
                <w:rFonts w:hint="eastAsia"/>
                <w:color w:val="auto"/>
              </w:rPr>
              <w:t>1.70E-07</w:t>
            </w:r>
            <w:bookmarkEnd w:id="1041"/>
            <w:bookmarkEnd w:id="1042"/>
            <w:bookmarkEnd w:id="1043"/>
          </w:p>
        </w:tc>
        <w:tc>
          <w:tcPr>
            <w:tcW w:w="994" w:type="dxa"/>
            <w:vAlign w:val="center"/>
          </w:tcPr>
          <w:p>
            <w:pPr>
              <w:jc w:val="center"/>
              <w:outlineLvl w:val="9"/>
              <w:rPr>
                <w:color w:val="auto"/>
              </w:rPr>
            </w:pPr>
            <w:bookmarkStart w:id="1044" w:name="_Toc10337"/>
            <w:bookmarkStart w:id="1045" w:name="_Toc8257"/>
            <w:bookmarkStart w:id="1046" w:name="_Toc29394"/>
            <w:r>
              <w:rPr>
                <w:rFonts w:hint="eastAsia"/>
                <w:color w:val="auto"/>
              </w:rPr>
              <w:t>2.27</w:t>
            </w:r>
            <w:bookmarkEnd w:id="1044"/>
            <w:bookmarkEnd w:id="1045"/>
            <w:bookmarkEnd w:id="1046"/>
          </w:p>
        </w:tc>
        <w:tc>
          <w:tcPr>
            <w:tcW w:w="994" w:type="dxa"/>
            <w:vAlign w:val="center"/>
          </w:tcPr>
          <w:p>
            <w:pPr>
              <w:jc w:val="center"/>
              <w:outlineLvl w:val="9"/>
              <w:rPr>
                <w:color w:val="auto"/>
              </w:rPr>
            </w:pPr>
            <w:bookmarkStart w:id="1047" w:name="_Toc27837"/>
            <w:bookmarkStart w:id="1048" w:name="_Toc29421"/>
            <w:bookmarkStart w:id="1049" w:name="_Toc20330"/>
            <w:r>
              <w:rPr>
                <w:rFonts w:hint="eastAsia"/>
                <w:color w:val="auto"/>
              </w:rPr>
              <w:t>9.64E-04</w:t>
            </w:r>
            <w:bookmarkEnd w:id="1047"/>
            <w:bookmarkEnd w:id="1048"/>
            <w:bookmarkEnd w:id="1049"/>
          </w:p>
        </w:tc>
        <w:tc>
          <w:tcPr>
            <w:tcW w:w="996" w:type="dxa"/>
            <w:vAlign w:val="center"/>
          </w:tcPr>
          <w:p>
            <w:pPr>
              <w:jc w:val="center"/>
              <w:outlineLvl w:val="9"/>
              <w:rPr>
                <w:color w:val="auto"/>
              </w:rPr>
            </w:pPr>
            <w:bookmarkStart w:id="1050" w:name="_Toc13280"/>
            <w:bookmarkStart w:id="1051" w:name="_Toc16230"/>
            <w:bookmarkStart w:id="1052" w:name="_Toc27169"/>
            <w:r>
              <w:rPr>
                <w:rFonts w:hint="eastAsia"/>
                <w:color w:val="auto"/>
              </w:rPr>
              <w:t>0.48</w:t>
            </w:r>
            <w:bookmarkEnd w:id="1050"/>
            <w:bookmarkEnd w:id="1051"/>
            <w:bookmarkEnd w:id="1052"/>
          </w:p>
        </w:tc>
        <w:tc>
          <w:tcPr>
            <w:tcW w:w="994" w:type="dxa"/>
            <w:vAlign w:val="center"/>
          </w:tcPr>
          <w:p>
            <w:pPr>
              <w:jc w:val="center"/>
              <w:outlineLvl w:val="9"/>
              <w:rPr>
                <w:color w:val="auto"/>
              </w:rPr>
            </w:pPr>
            <w:bookmarkStart w:id="1053" w:name="_Toc12429"/>
            <w:bookmarkStart w:id="1054" w:name="_Toc6466"/>
            <w:bookmarkStart w:id="1055" w:name="_Toc25625"/>
            <w:r>
              <w:rPr>
                <w:rFonts w:hint="eastAsia"/>
                <w:color w:val="auto"/>
              </w:rPr>
              <w:t>2.63E-03</w:t>
            </w:r>
            <w:bookmarkEnd w:id="1053"/>
            <w:bookmarkEnd w:id="1054"/>
            <w:bookmarkEnd w:id="1055"/>
          </w:p>
        </w:tc>
        <w:tc>
          <w:tcPr>
            <w:tcW w:w="994" w:type="dxa"/>
            <w:tcBorders>
              <w:right w:val="single" w:color="auto" w:sz="4" w:space="0"/>
            </w:tcBorders>
            <w:vAlign w:val="center"/>
          </w:tcPr>
          <w:p>
            <w:pPr>
              <w:jc w:val="center"/>
              <w:outlineLvl w:val="9"/>
              <w:rPr>
                <w:color w:val="auto"/>
              </w:rPr>
            </w:pPr>
            <w:bookmarkStart w:id="1056" w:name="_Toc4041"/>
            <w:bookmarkStart w:id="1057" w:name="_Toc24044"/>
            <w:bookmarkStart w:id="1058" w:name="_Toc25238"/>
            <w:r>
              <w:rPr>
                <w:rFonts w:hint="eastAsia"/>
                <w:color w:val="auto"/>
              </w:rPr>
              <w:t>0.00</w:t>
            </w:r>
            <w:bookmarkEnd w:id="1056"/>
            <w:bookmarkEnd w:id="1057"/>
            <w:bookmarkEnd w:id="105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059" w:name="_Toc24688"/>
            <w:bookmarkStart w:id="1060" w:name="_Toc6176"/>
            <w:bookmarkStart w:id="1061" w:name="_Toc32157"/>
            <w:r>
              <w:rPr>
                <w:color w:val="auto"/>
                <w:szCs w:val="21"/>
              </w:rPr>
              <w:t>300</w:t>
            </w:r>
            <w:bookmarkEnd w:id="1059"/>
            <w:bookmarkEnd w:id="1060"/>
            <w:bookmarkEnd w:id="1061"/>
          </w:p>
        </w:tc>
        <w:tc>
          <w:tcPr>
            <w:tcW w:w="994" w:type="dxa"/>
            <w:vAlign w:val="center"/>
          </w:tcPr>
          <w:p>
            <w:pPr>
              <w:jc w:val="center"/>
              <w:outlineLvl w:val="9"/>
              <w:rPr>
                <w:color w:val="auto"/>
                <w:szCs w:val="21"/>
              </w:rPr>
            </w:pPr>
            <w:bookmarkStart w:id="1062" w:name="_Toc5206"/>
            <w:bookmarkStart w:id="1063" w:name="_Toc32178"/>
            <w:bookmarkStart w:id="1064" w:name="_Toc25195"/>
            <w:r>
              <w:rPr>
                <w:rFonts w:hint="eastAsia"/>
                <w:color w:val="auto"/>
              </w:rPr>
              <w:t>9.77E-04</w:t>
            </w:r>
            <w:bookmarkEnd w:id="1062"/>
            <w:bookmarkEnd w:id="1063"/>
            <w:bookmarkEnd w:id="1064"/>
          </w:p>
        </w:tc>
        <w:tc>
          <w:tcPr>
            <w:tcW w:w="994" w:type="dxa"/>
            <w:vAlign w:val="center"/>
          </w:tcPr>
          <w:p>
            <w:pPr>
              <w:jc w:val="center"/>
              <w:outlineLvl w:val="9"/>
              <w:rPr>
                <w:color w:val="auto"/>
                <w:szCs w:val="21"/>
              </w:rPr>
            </w:pPr>
            <w:bookmarkStart w:id="1065" w:name="_Toc31156"/>
            <w:bookmarkStart w:id="1066" w:name="_Toc29670"/>
            <w:bookmarkStart w:id="1067" w:name="_Toc1019"/>
            <w:r>
              <w:rPr>
                <w:rFonts w:hint="eastAsia"/>
                <w:color w:val="auto"/>
              </w:rPr>
              <w:t>0.00</w:t>
            </w:r>
            <w:bookmarkEnd w:id="1065"/>
            <w:bookmarkEnd w:id="1066"/>
            <w:bookmarkEnd w:id="1067"/>
          </w:p>
        </w:tc>
        <w:tc>
          <w:tcPr>
            <w:tcW w:w="994" w:type="dxa"/>
            <w:vAlign w:val="center"/>
          </w:tcPr>
          <w:p>
            <w:pPr>
              <w:jc w:val="center"/>
              <w:outlineLvl w:val="9"/>
              <w:rPr>
                <w:color w:val="auto"/>
              </w:rPr>
            </w:pPr>
            <w:bookmarkStart w:id="1068" w:name="_Toc11915"/>
            <w:bookmarkStart w:id="1069" w:name="_Toc15687"/>
            <w:bookmarkStart w:id="1070" w:name="_Toc25222"/>
            <w:r>
              <w:rPr>
                <w:rFonts w:hint="eastAsia"/>
                <w:color w:val="auto"/>
              </w:rPr>
              <w:t>1.64E-07</w:t>
            </w:r>
            <w:bookmarkEnd w:id="1068"/>
            <w:bookmarkEnd w:id="1069"/>
            <w:bookmarkEnd w:id="1070"/>
          </w:p>
        </w:tc>
        <w:tc>
          <w:tcPr>
            <w:tcW w:w="994" w:type="dxa"/>
            <w:vAlign w:val="center"/>
          </w:tcPr>
          <w:p>
            <w:pPr>
              <w:jc w:val="center"/>
              <w:outlineLvl w:val="9"/>
              <w:rPr>
                <w:color w:val="auto"/>
              </w:rPr>
            </w:pPr>
            <w:bookmarkStart w:id="1071" w:name="_Toc4327"/>
            <w:bookmarkStart w:id="1072" w:name="_Toc18532"/>
            <w:bookmarkStart w:id="1073" w:name="_Toc9690"/>
            <w:r>
              <w:rPr>
                <w:rFonts w:hint="eastAsia"/>
                <w:color w:val="auto"/>
              </w:rPr>
              <w:t>2.19</w:t>
            </w:r>
            <w:bookmarkEnd w:id="1071"/>
            <w:bookmarkEnd w:id="1072"/>
            <w:bookmarkEnd w:id="1073"/>
          </w:p>
        </w:tc>
        <w:tc>
          <w:tcPr>
            <w:tcW w:w="994" w:type="dxa"/>
            <w:vAlign w:val="center"/>
          </w:tcPr>
          <w:p>
            <w:pPr>
              <w:jc w:val="center"/>
              <w:outlineLvl w:val="9"/>
              <w:rPr>
                <w:color w:val="auto"/>
              </w:rPr>
            </w:pPr>
            <w:bookmarkStart w:id="1074" w:name="_Toc499"/>
            <w:bookmarkStart w:id="1075" w:name="_Toc7793"/>
            <w:bookmarkStart w:id="1076" w:name="_Toc23593"/>
            <w:r>
              <w:rPr>
                <w:rFonts w:hint="eastAsia"/>
                <w:color w:val="auto"/>
              </w:rPr>
              <w:t>9.28E-04</w:t>
            </w:r>
            <w:bookmarkEnd w:id="1074"/>
            <w:bookmarkEnd w:id="1075"/>
            <w:bookmarkEnd w:id="1076"/>
          </w:p>
        </w:tc>
        <w:tc>
          <w:tcPr>
            <w:tcW w:w="996" w:type="dxa"/>
            <w:vAlign w:val="center"/>
          </w:tcPr>
          <w:p>
            <w:pPr>
              <w:jc w:val="center"/>
              <w:outlineLvl w:val="9"/>
              <w:rPr>
                <w:color w:val="auto"/>
              </w:rPr>
            </w:pPr>
            <w:bookmarkStart w:id="1077" w:name="_Toc29339"/>
            <w:bookmarkStart w:id="1078" w:name="_Toc7579"/>
            <w:bookmarkStart w:id="1079" w:name="_Toc21893"/>
            <w:r>
              <w:rPr>
                <w:rFonts w:hint="eastAsia"/>
                <w:color w:val="auto"/>
              </w:rPr>
              <w:t>0.46</w:t>
            </w:r>
            <w:bookmarkEnd w:id="1077"/>
            <w:bookmarkEnd w:id="1078"/>
            <w:bookmarkEnd w:id="1079"/>
          </w:p>
        </w:tc>
        <w:tc>
          <w:tcPr>
            <w:tcW w:w="994" w:type="dxa"/>
            <w:vAlign w:val="center"/>
          </w:tcPr>
          <w:p>
            <w:pPr>
              <w:jc w:val="center"/>
              <w:outlineLvl w:val="9"/>
              <w:rPr>
                <w:color w:val="auto"/>
              </w:rPr>
            </w:pPr>
            <w:bookmarkStart w:id="1080" w:name="_Toc27706"/>
            <w:bookmarkStart w:id="1081" w:name="_Toc17907"/>
            <w:bookmarkStart w:id="1082" w:name="_Toc26206"/>
            <w:r>
              <w:rPr>
                <w:rFonts w:hint="eastAsia"/>
                <w:color w:val="auto"/>
              </w:rPr>
              <w:t>2.50E-03</w:t>
            </w:r>
            <w:bookmarkEnd w:id="1080"/>
            <w:bookmarkEnd w:id="1081"/>
            <w:bookmarkEnd w:id="1082"/>
          </w:p>
        </w:tc>
        <w:tc>
          <w:tcPr>
            <w:tcW w:w="994" w:type="dxa"/>
            <w:tcBorders>
              <w:right w:val="single" w:color="auto" w:sz="4" w:space="0"/>
            </w:tcBorders>
            <w:vAlign w:val="center"/>
          </w:tcPr>
          <w:p>
            <w:pPr>
              <w:jc w:val="center"/>
              <w:outlineLvl w:val="9"/>
              <w:rPr>
                <w:color w:val="auto"/>
              </w:rPr>
            </w:pPr>
            <w:bookmarkStart w:id="1083" w:name="_Toc20997"/>
            <w:bookmarkStart w:id="1084" w:name="_Toc14135"/>
            <w:bookmarkStart w:id="1085" w:name="_Toc19791"/>
            <w:r>
              <w:rPr>
                <w:rFonts w:hint="eastAsia"/>
                <w:color w:val="auto"/>
              </w:rPr>
              <w:t>0.00</w:t>
            </w:r>
            <w:bookmarkEnd w:id="1083"/>
            <w:bookmarkEnd w:id="1084"/>
            <w:bookmarkEnd w:id="1085"/>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086" w:name="_Toc14981"/>
            <w:bookmarkStart w:id="1087" w:name="_Toc26434"/>
            <w:bookmarkStart w:id="1088" w:name="_Toc28198"/>
            <w:r>
              <w:rPr>
                <w:color w:val="auto"/>
                <w:szCs w:val="21"/>
              </w:rPr>
              <w:t>325</w:t>
            </w:r>
            <w:bookmarkEnd w:id="1086"/>
            <w:bookmarkEnd w:id="1087"/>
            <w:bookmarkEnd w:id="1088"/>
          </w:p>
        </w:tc>
        <w:tc>
          <w:tcPr>
            <w:tcW w:w="994" w:type="dxa"/>
            <w:vAlign w:val="center"/>
          </w:tcPr>
          <w:p>
            <w:pPr>
              <w:jc w:val="center"/>
              <w:outlineLvl w:val="9"/>
              <w:rPr>
                <w:color w:val="auto"/>
                <w:szCs w:val="21"/>
              </w:rPr>
            </w:pPr>
            <w:bookmarkStart w:id="1089" w:name="_Toc14473"/>
            <w:bookmarkStart w:id="1090" w:name="_Toc25661"/>
            <w:bookmarkStart w:id="1091" w:name="_Toc30090"/>
            <w:r>
              <w:rPr>
                <w:rFonts w:hint="eastAsia"/>
                <w:color w:val="auto"/>
              </w:rPr>
              <w:t>9.52E-04</w:t>
            </w:r>
            <w:bookmarkEnd w:id="1089"/>
            <w:bookmarkEnd w:id="1090"/>
            <w:bookmarkEnd w:id="1091"/>
          </w:p>
        </w:tc>
        <w:tc>
          <w:tcPr>
            <w:tcW w:w="994" w:type="dxa"/>
            <w:vAlign w:val="center"/>
          </w:tcPr>
          <w:p>
            <w:pPr>
              <w:jc w:val="center"/>
              <w:outlineLvl w:val="9"/>
              <w:rPr>
                <w:color w:val="auto"/>
                <w:szCs w:val="21"/>
              </w:rPr>
            </w:pPr>
            <w:bookmarkStart w:id="1092" w:name="_Toc24479"/>
            <w:bookmarkStart w:id="1093" w:name="_Toc24923"/>
            <w:bookmarkStart w:id="1094" w:name="_Toc16148"/>
            <w:r>
              <w:rPr>
                <w:rFonts w:hint="eastAsia"/>
                <w:color w:val="auto"/>
              </w:rPr>
              <w:t>0.00</w:t>
            </w:r>
            <w:bookmarkEnd w:id="1092"/>
            <w:bookmarkEnd w:id="1093"/>
            <w:bookmarkEnd w:id="1094"/>
          </w:p>
        </w:tc>
        <w:tc>
          <w:tcPr>
            <w:tcW w:w="994" w:type="dxa"/>
            <w:vAlign w:val="center"/>
          </w:tcPr>
          <w:p>
            <w:pPr>
              <w:jc w:val="center"/>
              <w:outlineLvl w:val="9"/>
              <w:rPr>
                <w:color w:val="auto"/>
              </w:rPr>
            </w:pPr>
            <w:bookmarkStart w:id="1095" w:name="_Toc31648"/>
            <w:bookmarkStart w:id="1096" w:name="_Toc12111"/>
            <w:bookmarkStart w:id="1097" w:name="_Toc11013"/>
            <w:r>
              <w:rPr>
                <w:rFonts w:hint="eastAsia"/>
                <w:color w:val="auto"/>
              </w:rPr>
              <w:t>1.60E-07</w:t>
            </w:r>
            <w:bookmarkEnd w:id="1095"/>
            <w:bookmarkEnd w:id="1096"/>
            <w:bookmarkEnd w:id="1097"/>
          </w:p>
        </w:tc>
        <w:tc>
          <w:tcPr>
            <w:tcW w:w="994" w:type="dxa"/>
            <w:vAlign w:val="center"/>
          </w:tcPr>
          <w:p>
            <w:pPr>
              <w:jc w:val="center"/>
              <w:outlineLvl w:val="9"/>
              <w:rPr>
                <w:color w:val="auto"/>
              </w:rPr>
            </w:pPr>
            <w:bookmarkStart w:id="1098" w:name="_Toc28758"/>
            <w:bookmarkStart w:id="1099" w:name="_Toc5753"/>
            <w:bookmarkStart w:id="1100" w:name="_Toc13985"/>
            <w:r>
              <w:rPr>
                <w:rFonts w:hint="eastAsia"/>
                <w:color w:val="auto"/>
              </w:rPr>
              <w:t>2.13</w:t>
            </w:r>
            <w:bookmarkEnd w:id="1098"/>
            <w:bookmarkEnd w:id="1099"/>
            <w:bookmarkEnd w:id="1100"/>
          </w:p>
        </w:tc>
        <w:tc>
          <w:tcPr>
            <w:tcW w:w="994" w:type="dxa"/>
            <w:vAlign w:val="center"/>
          </w:tcPr>
          <w:p>
            <w:pPr>
              <w:jc w:val="center"/>
              <w:outlineLvl w:val="9"/>
              <w:rPr>
                <w:color w:val="auto"/>
              </w:rPr>
            </w:pPr>
            <w:bookmarkStart w:id="1101" w:name="_Toc24621"/>
            <w:bookmarkStart w:id="1102" w:name="_Toc27680"/>
            <w:bookmarkStart w:id="1103" w:name="_Toc27510"/>
            <w:r>
              <w:rPr>
                <w:rFonts w:hint="eastAsia"/>
                <w:color w:val="auto"/>
              </w:rPr>
              <w:t>9.04E-04</w:t>
            </w:r>
            <w:bookmarkEnd w:id="1101"/>
            <w:bookmarkEnd w:id="1102"/>
            <w:bookmarkEnd w:id="1103"/>
          </w:p>
        </w:tc>
        <w:tc>
          <w:tcPr>
            <w:tcW w:w="996" w:type="dxa"/>
            <w:vAlign w:val="center"/>
          </w:tcPr>
          <w:p>
            <w:pPr>
              <w:jc w:val="center"/>
              <w:outlineLvl w:val="9"/>
              <w:rPr>
                <w:color w:val="auto"/>
              </w:rPr>
            </w:pPr>
            <w:bookmarkStart w:id="1104" w:name="_Toc19541"/>
            <w:bookmarkStart w:id="1105" w:name="_Toc28247"/>
            <w:bookmarkStart w:id="1106" w:name="_Toc30434"/>
            <w:r>
              <w:rPr>
                <w:rFonts w:hint="eastAsia"/>
                <w:color w:val="auto"/>
              </w:rPr>
              <w:t>0.45</w:t>
            </w:r>
            <w:bookmarkEnd w:id="1104"/>
            <w:bookmarkEnd w:id="1105"/>
            <w:bookmarkEnd w:id="1106"/>
          </w:p>
        </w:tc>
        <w:tc>
          <w:tcPr>
            <w:tcW w:w="994" w:type="dxa"/>
            <w:vAlign w:val="center"/>
          </w:tcPr>
          <w:p>
            <w:pPr>
              <w:jc w:val="center"/>
              <w:outlineLvl w:val="9"/>
              <w:rPr>
                <w:color w:val="auto"/>
              </w:rPr>
            </w:pPr>
            <w:bookmarkStart w:id="1107" w:name="_Toc1913"/>
            <w:bookmarkStart w:id="1108" w:name="_Toc1060"/>
            <w:bookmarkStart w:id="1109" w:name="_Toc19727"/>
            <w:r>
              <w:rPr>
                <w:rFonts w:hint="eastAsia"/>
                <w:color w:val="auto"/>
              </w:rPr>
              <w:t>2.31E-03</w:t>
            </w:r>
            <w:bookmarkEnd w:id="1107"/>
            <w:bookmarkEnd w:id="1108"/>
            <w:bookmarkEnd w:id="1109"/>
          </w:p>
        </w:tc>
        <w:tc>
          <w:tcPr>
            <w:tcW w:w="994" w:type="dxa"/>
            <w:tcBorders>
              <w:right w:val="single" w:color="auto" w:sz="4" w:space="0"/>
            </w:tcBorders>
            <w:vAlign w:val="center"/>
          </w:tcPr>
          <w:p>
            <w:pPr>
              <w:jc w:val="center"/>
              <w:outlineLvl w:val="9"/>
              <w:rPr>
                <w:color w:val="auto"/>
              </w:rPr>
            </w:pPr>
            <w:bookmarkStart w:id="1110" w:name="_Toc15492"/>
            <w:bookmarkStart w:id="1111" w:name="_Toc8640"/>
            <w:bookmarkStart w:id="1112" w:name="_Toc6943"/>
            <w:r>
              <w:rPr>
                <w:rFonts w:hint="eastAsia"/>
                <w:color w:val="auto"/>
              </w:rPr>
              <w:t>0.00</w:t>
            </w:r>
            <w:bookmarkEnd w:id="1110"/>
            <w:bookmarkEnd w:id="1111"/>
            <w:bookmarkEnd w:id="1112"/>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113" w:name="_Toc15603"/>
            <w:bookmarkStart w:id="1114" w:name="_Toc22570"/>
            <w:bookmarkStart w:id="1115" w:name="_Toc1342"/>
            <w:r>
              <w:rPr>
                <w:color w:val="auto"/>
                <w:szCs w:val="21"/>
              </w:rPr>
              <w:t>350</w:t>
            </w:r>
            <w:bookmarkEnd w:id="1113"/>
            <w:bookmarkEnd w:id="1114"/>
            <w:bookmarkEnd w:id="1115"/>
          </w:p>
        </w:tc>
        <w:tc>
          <w:tcPr>
            <w:tcW w:w="994" w:type="dxa"/>
            <w:vAlign w:val="center"/>
          </w:tcPr>
          <w:p>
            <w:pPr>
              <w:jc w:val="center"/>
              <w:outlineLvl w:val="9"/>
              <w:rPr>
                <w:color w:val="auto"/>
                <w:szCs w:val="21"/>
              </w:rPr>
            </w:pPr>
            <w:bookmarkStart w:id="1116" w:name="_Toc695"/>
            <w:bookmarkStart w:id="1117" w:name="_Toc20769"/>
            <w:bookmarkStart w:id="1118" w:name="_Toc19028"/>
            <w:r>
              <w:rPr>
                <w:rFonts w:hint="eastAsia"/>
                <w:color w:val="auto"/>
              </w:rPr>
              <w:t>9.28E-04</w:t>
            </w:r>
            <w:bookmarkEnd w:id="1116"/>
            <w:bookmarkEnd w:id="1117"/>
            <w:bookmarkEnd w:id="1118"/>
          </w:p>
        </w:tc>
        <w:tc>
          <w:tcPr>
            <w:tcW w:w="994" w:type="dxa"/>
            <w:vAlign w:val="center"/>
          </w:tcPr>
          <w:p>
            <w:pPr>
              <w:jc w:val="center"/>
              <w:outlineLvl w:val="9"/>
              <w:rPr>
                <w:color w:val="auto"/>
                <w:szCs w:val="21"/>
              </w:rPr>
            </w:pPr>
            <w:bookmarkStart w:id="1119" w:name="_Toc23284"/>
            <w:bookmarkStart w:id="1120" w:name="_Toc8804"/>
            <w:bookmarkStart w:id="1121" w:name="_Toc20737"/>
            <w:r>
              <w:rPr>
                <w:rFonts w:hint="eastAsia"/>
                <w:color w:val="auto"/>
              </w:rPr>
              <w:t>0.00</w:t>
            </w:r>
            <w:bookmarkEnd w:id="1119"/>
            <w:bookmarkEnd w:id="1120"/>
            <w:bookmarkEnd w:id="1121"/>
          </w:p>
        </w:tc>
        <w:tc>
          <w:tcPr>
            <w:tcW w:w="994" w:type="dxa"/>
            <w:vAlign w:val="center"/>
          </w:tcPr>
          <w:p>
            <w:pPr>
              <w:jc w:val="center"/>
              <w:outlineLvl w:val="9"/>
              <w:rPr>
                <w:color w:val="auto"/>
              </w:rPr>
            </w:pPr>
            <w:bookmarkStart w:id="1122" w:name="_Toc5712"/>
            <w:bookmarkStart w:id="1123" w:name="_Toc4198"/>
            <w:bookmarkStart w:id="1124" w:name="_Toc21700"/>
            <w:r>
              <w:rPr>
                <w:rFonts w:hint="eastAsia"/>
                <w:color w:val="auto"/>
              </w:rPr>
              <w:t>1.56E-07</w:t>
            </w:r>
            <w:bookmarkEnd w:id="1122"/>
            <w:bookmarkEnd w:id="1123"/>
            <w:bookmarkEnd w:id="1124"/>
          </w:p>
        </w:tc>
        <w:tc>
          <w:tcPr>
            <w:tcW w:w="994" w:type="dxa"/>
            <w:vAlign w:val="center"/>
          </w:tcPr>
          <w:p>
            <w:pPr>
              <w:jc w:val="center"/>
              <w:outlineLvl w:val="9"/>
              <w:rPr>
                <w:color w:val="auto"/>
              </w:rPr>
            </w:pPr>
            <w:bookmarkStart w:id="1125" w:name="_Toc15445"/>
            <w:bookmarkStart w:id="1126" w:name="_Toc18704"/>
            <w:bookmarkStart w:id="1127" w:name="_Toc9226"/>
            <w:r>
              <w:rPr>
                <w:rFonts w:hint="eastAsia"/>
                <w:color w:val="auto"/>
              </w:rPr>
              <w:t>2.08</w:t>
            </w:r>
            <w:bookmarkEnd w:id="1125"/>
            <w:bookmarkEnd w:id="1126"/>
            <w:bookmarkEnd w:id="1127"/>
          </w:p>
        </w:tc>
        <w:tc>
          <w:tcPr>
            <w:tcW w:w="994" w:type="dxa"/>
            <w:vAlign w:val="center"/>
          </w:tcPr>
          <w:p>
            <w:pPr>
              <w:jc w:val="center"/>
              <w:outlineLvl w:val="9"/>
              <w:rPr>
                <w:color w:val="auto"/>
              </w:rPr>
            </w:pPr>
            <w:bookmarkStart w:id="1128" w:name="_Toc20318"/>
            <w:bookmarkStart w:id="1129" w:name="_Toc12085"/>
            <w:bookmarkStart w:id="1130" w:name="_Toc30210"/>
            <w:r>
              <w:rPr>
                <w:rFonts w:hint="eastAsia"/>
                <w:color w:val="auto"/>
              </w:rPr>
              <w:t>8.81E-04</w:t>
            </w:r>
            <w:bookmarkEnd w:id="1128"/>
            <w:bookmarkEnd w:id="1129"/>
            <w:bookmarkEnd w:id="1130"/>
          </w:p>
        </w:tc>
        <w:tc>
          <w:tcPr>
            <w:tcW w:w="996" w:type="dxa"/>
            <w:vAlign w:val="center"/>
          </w:tcPr>
          <w:p>
            <w:pPr>
              <w:jc w:val="center"/>
              <w:outlineLvl w:val="9"/>
              <w:rPr>
                <w:color w:val="auto"/>
              </w:rPr>
            </w:pPr>
            <w:bookmarkStart w:id="1131" w:name="_Toc21524"/>
            <w:bookmarkStart w:id="1132" w:name="_Toc29327"/>
            <w:bookmarkStart w:id="1133" w:name="_Toc22117"/>
            <w:r>
              <w:rPr>
                <w:rFonts w:hint="eastAsia"/>
                <w:color w:val="auto"/>
              </w:rPr>
              <w:t>0.44</w:t>
            </w:r>
            <w:bookmarkEnd w:id="1131"/>
            <w:bookmarkEnd w:id="1132"/>
            <w:bookmarkEnd w:id="1133"/>
          </w:p>
        </w:tc>
        <w:tc>
          <w:tcPr>
            <w:tcW w:w="994" w:type="dxa"/>
            <w:vAlign w:val="center"/>
          </w:tcPr>
          <w:p>
            <w:pPr>
              <w:jc w:val="center"/>
              <w:outlineLvl w:val="9"/>
              <w:rPr>
                <w:color w:val="auto"/>
              </w:rPr>
            </w:pPr>
            <w:bookmarkStart w:id="1134" w:name="_Toc20508"/>
            <w:bookmarkStart w:id="1135" w:name="_Toc17807"/>
            <w:bookmarkStart w:id="1136" w:name="_Toc46"/>
            <w:r>
              <w:rPr>
                <w:rFonts w:hint="eastAsia"/>
                <w:color w:val="auto"/>
              </w:rPr>
              <w:t>2.11E-03</w:t>
            </w:r>
            <w:bookmarkEnd w:id="1134"/>
            <w:bookmarkEnd w:id="1135"/>
            <w:bookmarkEnd w:id="1136"/>
          </w:p>
        </w:tc>
        <w:tc>
          <w:tcPr>
            <w:tcW w:w="994" w:type="dxa"/>
            <w:tcBorders>
              <w:right w:val="single" w:color="auto" w:sz="4" w:space="0"/>
            </w:tcBorders>
            <w:vAlign w:val="center"/>
          </w:tcPr>
          <w:p>
            <w:pPr>
              <w:jc w:val="center"/>
              <w:outlineLvl w:val="9"/>
              <w:rPr>
                <w:color w:val="auto"/>
              </w:rPr>
            </w:pPr>
            <w:bookmarkStart w:id="1137" w:name="_Toc3587"/>
            <w:bookmarkStart w:id="1138" w:name="_Toc30521"/>
            <w:bookmarkStart w:id="1139" w:name="_Toc9736"/>
            <w:r>
              <w:rPr>
                <w:rFonts w:hint="eastAsia"/>
                <w:color w:val="auto"/>
              </w:rPr>
              <w:t>0.00</w:t>
            </w:r>
            <w:bookmarkEnd w:id="1137"/>
            <w:bookmarkEnd w:id="1138"/>
            <w:bookmarkEnd w:id="1139"/>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140" w:name="_Toc8215"/>
            <w:bookmarkStart w:id="1141" w:name="_Toc283"/>
            <w:bookmarkStart w:id="1142" w:name="_Toc28299"/>
            <w:r>
              <w:rPr>
                <w:color w:val="auto"/>
                <w:szCs w:val="21"/>
              </w:rPr>
              <w:t>375</w:t>
            </w:r>
            <w:bookmarkEnd w:id="1140"/>
            <w:bookmarkEnd w:id="1141"/>
            <w:bookmarkEnd w:id="1142"/>
          </w:p>
        </w:tc>
        <w:tc>
          <w:tcPr>
            <w:tcW w:w="994" w:type="dxa"/>
            <w:vAlign w:val="center"/>
          </w:tcPr>
          <w:p>
            <w:pPr>
              <w:jc w:val="center"/>
              <w:outlineLvl w:val="9"/>
              <w:rPr>
                <w:color w:val="auto"/>
                <w:szCs w:val="21"/>
              </w:rPr>
            </w:pPr>
            <w:bookmarkStart w:id="1143" w:name="_Toc22579"/>
            <w:bookmarkStart w:id="1144" w:name="_Toc13124"/>
            <w:bookmarkStart w:id="1145" w:name="_Toc15297"/>
            <w:r>
              <w:rPr>
                <w:rFonts w:hint="eastAsia"/>
                <w:color w:val="auto"/>
              </w:rPr>
              <w:t>8.98E-04</w:t>
            </w:r>
            <w:bookmarkEnd w:id="1143"/>
            <w:bookmarkEnd w:id="1144"/>
            <w:bookmarkEnd w:id="1145"/>
          </w:p>
        </w:tc>
        <w:tc>
          <w:tcPr>
            <w:tcW w:w="994" w:type="dxa"/>
            <w:vAlign w:val="center"/>
          </w:tcPr>
          <w:p>
            <w:pPr>
              <w:jc w:val="center"/>
              <w:outlineLvl w:val="9"/>
              <w:rPr>
                <w:color w:val="auto"/>
                <w:szCs w:val="21"/>
              </w:rPr>
            </w:pPr>
            <w:bookmarkStart w:id="1146" w:name="_Toc26636"/>
            <w:bookmarkStart w:id="1147" w:name="_Toc1715"/>
            <w:bookmarkStart w:id="1148" w:name="_Toc12236"/>
            <w:r>
              <w:rPr>
                <w:rFonts w:hint="eastAsia"/>
                <w:color w:val="auto"/>
              </w:rPr>
              <w:t>0.00</w:t>
            </w:r>
            <w:bookmarkEnd w:id="1146"/>
            <w:bookmarkEnd w:id="1147"/>
            <w:bookmarkEnd w:id="1148"/>
          </w:p>
        </w:tc>
        <w:tc>
          <w:tcPr>
            <w:tcW w:w="994" w:type="dxa"/>
            <w:vAlign w:val="center"/>
          </w:tcPr>
          <w:p>
            <w:pPr>
              <w:jc w:val="center"/>
              <w:outlineLvl w:val="9"/>
              <w:rPr>
                <w:color w:val="auto"/>
              </w:rPr>
            </w:pPr>
            <w:bookmarkStart w:id="1149" w:name="_Toc24518"/>
            <w:bookmarkStart w:id="1150" w:name="_Toc20012"/>
            <w:bookmarkStart w:id="1151" w:name="_Toc2150"/>
            <w:r>
              <w:rPr>
                <w:rFonts w:hint="eastAsia"/>
                <w:color w:val="auto"/>
              </w:rPr>
              <w:t>1.51E-07</w:t>
            </w:r>
            <w:bookmarkEnd w:id="1149"/>
            <w:bookmarkEnd w:id="1150"/>
            <w:bookmarkEnd w:id="1151"/>
          </w:p>
        </w:tc>
        <w:tc>
          <w:tcPr>
            <w:tcW w:w="994" w:type="dxa"/>
            <w:vAlign w:val="center"/>
          </w:tcPr>
          <w:p>
            <w:pPr>
              <w:jc w:val="center"/>
              <w:outlineLvl w:val="9"/>
              <w:rPr>
                <w:color w:val="auto"/>
              </w:rPr>
            </w:pPr>
            <w:bookmarkStart w:id="1152" w:name="_Toc5782"/>
            <w:bookmarkStart w:id="1153" w:name="_Toc28326"/>
            <w:bookmarkStart w:id="1154" w:name="_Toc728"/>
            <w:r>
              <w:rPr>
                <w:rFonts w:hint="eastAsia"/>
                <w:color w:val="auto"/>
              </w:rPr>
              <w:t>2.01</w:t>
            </w:r>
            <w:bookmarkEnd w:id="1152"/>
            <w:bookmarkEnd w:id="1153"/>
            <w:bookmarkEnd w:id="1154"/>
          </w:p>
        </w:tc>
        <w:tc>
          <w:tcPr>
            <w:tcW w:w="994" w:type="dxa"/>
            <w:vAlign w:val="center"/>
          </w:tcPr>
          <w:p>
            <w:pPr>
              <w:jc w:val="center"/>
              <w:outlineLvl w:val="9"/>
              <w:rPr>
                <w:color w:val="auto"/>
              </w:rPr>
            </w:pPr>
            <w:bookmarkStart w:id="1155" w:name="_Toc19512"/>
            <w:bookmarkStart w:id="1156" w:name="_Toc24437"/>
            <w:bookmarkStart w:id="1157" w:name="_Toc17638"/>
            <w:r>
              <w:rPr>
                <w:rFonts w:hint="eastAsia"/>
                <w:color w:val="auto"/>
              </w:rPr>
              <w:t>8.52E-04</w:t>
            </w:r>
            <w:bookmarkEnd w:id="1155"/>
            <w:bookmarkEnd w:id="1156"/>
            <w:bookmarkEnd w:id="1157"/>
          </w:p>
        </w:tc>
        <w:tc>
          <w:tcPr>
            <w:tcW w:w="996" w:type="dxa"/>
            <w:vAlign w:val="center"/>
          </w:tcPr>
          <w:p>
            <w:pPr>
              <w:jc w:val="center"/>
              <w:outlineLvl w:val="9"/>
              <w:rPr>
                <w:color w:val="auto"/>
              </w:rPr>
            </w:pPr>
            <w:bookmarkStart w:id="1158" w:name="_Toc31887"/>
            <w:bookmarkStart w:id="1159" w:name="_Toc7088"/>
            <w:bookmarkStart w:id="1160" w:name="_Toc4029"/>
            <w:r>
              <w:rPr>
                <w:rFonts w:hint="eastAsia"/>
                <w:color w:val="auto"/>
              </w:rPr>
              <w:t>0.43</w:t>
            </w:r>
            <w:bookmarkEnd w:id="1158"/>
            <w:bookmarkEnd w:id="1159"/>
            <w:bookmarkEnd w:id="1160"/>
          </w:p>
        </w:tc>
        <w:tc>
          <w:tcPr>
            <w:tcW w:w="994" w:type="dxa"/>
            <w:vAlign w:val="center"/>
          </w:tcPr>
          <w:p>
            <w:pPr>
              <w:jc w:val="center"/>
              <w:outlineLvl w:val="9"/>
              <w:rPr>
                <w:color w:val="auto"/>
              </w:rPr>
            </w:pPr>
            <w:bookmarkStart w:id="1161" w:name="_Toc10468"/>
            <w:bookmarkStart w:id="1162" w:name="_Toc3833"/>
            <w:bookmarkStart w:id="1163" w:name="_Toc6532"/>
            <w:r>
              <w:rPr>
                <w:rFonts w:hint="eastAsia"/>
                <w:color w:val="auto"/>
              </w:rPr>
              <w:t>1.99E-03</w:t>
            </w:r>
            <w:bookmarkEnd w:id="1161"/>
            <w:bookmarkEnd w:id="1162"/>
            <w:bookmarkEnd w:id="1163"/>
          </w:p>
        </w:tc>
        <w:tc>
          <w:tcPr>
            <w:tcW w:w="994" w:type="dxa"/>
            <w:tcBorders>
              <w:right w:val="single" w:color="auto" w:sz="4" w:space="0"/>
            </w:tcBorders>
            <w:vAlign w:val="center"/>
          </w:tcPr>
          <w:p>
            <w:pPr>
              <w:jc w:val="center"/>
              <w:outlineLvl w:val="9"/>
              <w:rPr>
                <w:color w:val="auto"/>
              </w:rPr>
            </w:pPr>
            <w:bookmarkStart w:id="1164" w:name="_Toc2325"/>
            <w:bookmarkStart w:id="1165" w:name="_Toc5030"/>
            <w:bookmarkStart w:id="1166" w:name="_Toc8862"/>
            <w:r>
              <w:rPr>
                <w:rFonts w:hint="eastAsia"/>
                <w:color w:val="auto"/>
              </w:rPr>
              <w:t>0.00</w:t>
            </w:r>
            <w:bookmarkEnd w:id="1164"/>
            <w:bookmarkEnd w:id="1165"/>
            <w:bookmarkEnd w:id="1166"/>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167" w:name="_Toc24938"/>
            <w:bookmarkStart w:id="1168" w:name="_Toc11999"/>
            <w:bookmarkStart w:id="1169" w:name="_Toc23429"/>
            <w:r>
              <w:rPr>
                <w:color w:val="auto"/>
                <w:szCs w:val="21"/>
              </w:rPr>
              <w:t>400</w:t>
            </w:r>
            <w:bookmarkEnd w:id="1167"/>
            <w:bookmarkEnd w:id="1168"/>
            <w:bookmarkEnd w:id="1169"/>
          </w:p>
        </w:tc>
        <w:tc>
          <w:tcPr>
            <w:tcW w:w="994" w:type="dxa"/>
            <w:vAlign w:val="center"/>
          </w:tcPr>
          <w:p>
            <w:pPr>
              <w:jc w:val="center"/>
              <w:outlineLvl w:val="9"/>
              <w:rPr>
                <w:color w:val="auto"/>
                <w:szCs w:val="21"/>
              </w:rPr>
            </w:pPr>
            <w:bookmarkStart w:id="1170" w:name="_Toc30224"/>
            <w:bookmarkStart w:id="1171" w:name="_Toc26974"/>
            <w:bookmarkStart w:id="1172" w:name="_Toc17789"/>
            <w:r>
              <w:rPr>
                <w:rFonts w:hint="eastAsia"/>
                <w:color w:val="auto"/>
              </w:rPr>
              <w:t>8.63E-04</w:t>
            </w:r>
            <w:bookmarkEnd w:id="1170"/>
            <w:bookmarkEnd w:id="1171"/>
            <w:bookmarkEnd w:id="1172"/>
          </w:p>
        </w:tc>
        <w:tc>
          <w:tcPr>
            <w:tcW w:w="994" w:type="dxa"/>
            <w:vAlign w:val="center"/>
          </w:tcPr>
          <w:p>
            <w:pPr>
              <w:jc w:val="center"/>
              <w:outlineLvl w:val="9"/>
              <w:rPr>
                <w:color w:val="auto"/>
                <w:szCs w:val="21"/>
              </w:rPr>
            </w:pPr>
            <w:bookmarkStart w:id="1173" w:name="_Toc21956"/>
            <w:bookmarkStart w:id="1174" w:name="_Toc23728"/>
            <w:bookmarkStart w:id="1175" w:name="_Toc26359"/>
            <w:r>
              <w:rPr>
                <w:rFonts w:hint="eastAsia"/>
                <w:color w:val="auto"/>
              </w:rPr>
              <w:t>0.00</w:t>
            </w:r>
            <w:bookmarkEnd w:id="1173"/>
            <w:bookmarkEnd w:id="1174"/>
            <w:bookmarkEnd w:id="1175"/>
          </w:p>
        </w:tc>
        <w:tc>
          <w:tcPr>
            <w:tcW w:w="994" w:type="dxa"/>
            <w:vAlign w:val="center"/>
          </w:tcPr>
          <w:p>
            <w:pPr>
              <w:jc w:val="center"/>
              <w:outlineLvl w:val="9"/>
              <w:rPr>
                <w:color w:val="auto"/>
              </w:rPr>
            </w:pPr>
            <w:bookmarkStart w:id="1176" w:name="_Toc7779"/>
            <w:bookmarkStart w:id="1177" w:name="_Toc7792"/>
            <w:bookmarkStart w:id="1178" w:name="_Toc19881"/>
            <w:r>
              <w:rPr>
                <w:rFonts w:hint="eastAsia"/>
                <w:color w:val="auto"/>
              </w:rPr>
              <w:t>1.45E-07</w:t>
            </w:r>
            <w:bookmarkEnd w:id="1176"/>
            <w:bookmarkEnd w:id="1177"/>
            <w:bookmarkEnd w:id="1178"/>
          </w:p>
        </w:tc>
        <w:tc>
          <w:tcPr>
            <w:tcW w:w="994" w:type="dxa"/>
            <w:vAlign w:val="center"/>
          </w:tcPr>
          <w:p>
            <w:pPr>
              <w:jc w:val="center"/>
              <w:outlineLvl w:val="9"/>
              <w:rPr>
                <w:color w:val="auto"/>
              </w:rPr>
            </w:pPr>
            <w:bookmarkStart w:id="1179" w:name="_Toc14865"/>
            <w:bookmarkStart w:id="1180" w:name="_Toc23442"/>
            <w:bookmarkStart w:id="1181" w:name="_Toc27583"/>
            <w:r>
              <w:rPr>
                <w:rFonts w:hint="eastAsia"/>
                <w:color w:val="auto"/>
              </w:rPr>
              <w:t>1.93</w:t>
            </w:r>
            <w:bookmarkEnd w:id="1179"/>
            <w:bookmarkEnd w:id="1180"/>
            <w:bookmarkEnd w:id="1181"/>
          </w:p>
        </w:tc>
        <w:tc>
          <w:tcPr>
            <w:tcW w:w="994" w:type="dxa"/>
            <w:vAlign w:val="center"/>
          </w:tcPr>
          <w:p>
            <w:pPr>
              <w:jc w:val="center"/>
              <w:outlineLvl w:val="9"/>
              <w:rPr>
                <w:color w:val="auto"/>
              </w:rPr>
            </w:pPr>
            <w:bookmarkStart w:id="1182" w:name="_Toc8356"/>
            <w:bookmarkStart w:id="1183" w:name="_Toc24907"/>
            <w:bookmarkStart w:id="1184" w:name="_Toc23310"/>
            <w:r>
              <w:rPr>
                <w:rFonts w:hint="eastAsia"/>
                <w:color w:val="auto"/>
              </w:rPr>
              <w:t>8.19E-04</w:t>
            </w:r>
            <w:bookmarkEnd w:id="1182"/>
            <w:bookmarkEnd w:id="1183"/>
            <w:bookmarkEnd w:id="1184"/>
          </w:p>
        </w:tc>
        <w:tc>
          <w:tcPr>
            <w:tcW w:w="996" w:type="dxa"/>
            <w:vAlign w:val="center"/>
          </w:tcPr>
          <w:p>
            <w:pPr>
              <w:jc w:val="center"/>
              <w:outlineLvl w:val="9"/>
              <w:rPr>
                <w:color w:val="auto"/>
              </w:rPr>
            </w:pPr>
            <w:bookmarkStart w:id="1185" w:name="_Toc8564"/>
            <w:bookmarkStart w:id="1186" w:name="_Toc24541"/>
            <w:bookmarkStart w:id="1187" w:name="_Toc27717"/>
            <w:r>
              <w:rPr>
                <w:rFonts w:hint="eastAsia"/>
                <w:color w:val="auto"/>
              </w:rPr>
              <w:t>0.41</w:t>
            </w:r>
            <w:bookmarkEnd w:id="1185"/>
            <w:bookmarkEnd w:id="1186"/>
            <w:bookmarkEnd w:id="1187"/>
          </w:p>
        </w:tc>
        <w:tc>
          <w:tcPr>
            <w:tcW w:w="994" w:type="dxa"/>
            <w:vAlign w:val="center"/>
          </w:tcPr>
          <w:p>
            <w:pPr>
              <w:jc w:val="center"/>
              <w:outlineLvl w:val="9"/>
              <w:rPr>
                <w:color w:val="auto"/>
              </w:rPr>
            </w:pPr>
            <w:bookmarkStart w:id="1188" w:name="_Toc18121"/>
            <w:bookmarkStart w:id="1189" w:name="_Toc3567"/>
            <w:bookmarkStart w:id="1190" w:name="_Toc4072"/>
            <w:r>
              <w:rPr>
                <w:rFonts w:hint="eastAsia"/>
                <w:color w:val="auto"/>
              </w:rPr>
              <w:t>1.92E-03</w:t>
            </w:r>
            <w:bookmarkEnd w:id="1188"/>
            <w:bookmarkEnd w:id="1189"/>
            <w:bookmarkEnd w:id="1190"/>
          </w:p>
        </w:tc>
        <w:tc>
          <w:tcPr>
            <w:tcW w:w="994" w:type="dxa"/>
            <w:tcBorders>
              <w:right w:val="single" w:color="auto" w:sz="4" w:space="0"/>
            </w:tcBorders>
            <w:vAlign w:val="center"/>
          </w:tcPr>
          <w:p>
            <w:pPr>
              <w:jc w:val="center"/>
              <w:outlineLvl w:val="9"/>
              <w:rPr>
                <w:color w:val="auto"/>
              </w:rPr>
            </w:pPr>
            <w:bookmarkStart w:id="1191" w:name="_Toc24660"/>
            <w:bookmarkStart w:id="1192" w:name="_Toc3252"/>
            <w:bookmarkStart w:id="1193" w:name="_Toc7885"/>
            <w:r>
              <w:rPr>
                <w:rFonts w:hint="eastAsia"/>
                <w:color w:val="auto"/>
              </w:rPr>
              <w:t>0.00</w:t>
            </w:r>
            <w:bookmarkEnd w:id="1191"/>
            <w:bookmarkEnd w:id="1192"/>
            <w:bookmarkEnd w:id="119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194" w:name="_Toc14745"/>
            <w:bookmarkStart w:id="1195" w:name="_Toc20857"/>
            <w:bookmarkStart w:id="1196" w:name="_Toc4533"/>
            <w:r>
              <w:rPr>
                <w:color w:val="auto"/>
                <w:szCs w:val="21"/>
              </w:rPr>
              <w:t>425</w:t>
            </w:r>
            <w:bookmarkEnd w:id="1194"/>
            <w:bookmarkEnd w:id="1195"/>
            <w:bookmarkEnd w:id="1196"/>
          </w:p>
        </w:tc>
        <w:tc>
          <w:tcPr>
            <w:tcW w:w="994" w:type="dxa"/>
            <w:vAlign w:val="center"/>
          </w:tcPr>
          <w:p>
            <w:pPr>
              <w:jc w:val="center"/>
              <w:outlineLvl w:val="9"/>
              <w:rPr>
                <w:color w:val="auto"/>
                <w:szCs w:val="21"/>
              </w:rPr>
            </w:pPr>
            <w:bookmarkStart w:id="1197" w:name="_Toc3878"/>
            <w:bookmarkStart w:id="1198" w:name="_Toc18847"/>
            <w:bookmarkStart w:id="1199" w:name="_Toc9822"/>
            <w:r>
              <w:rPr>
                <w:rFonts w:hint="eastAsia"/>
                <w:color w:val="auto"/>
              </w:rPr>
              <w:t>8.30E-04</w:t>
            </w:r>
            <w:bookmarkEnd w:id="1197"/>
            <w:bookmarkEnd w:id="1198"/>
            <w:bookmarkEnd w:id="1199"/>
          </w:p>
        </w:tc>
        <w:tc>
          <w:tcPr>
            <w:tcW w:w="994" w:type="dxa"/>
            <w:vAlign w:val="center"/>
          </w:tcPr>
          <w:p>
            <w:pPr>
              <w:jc w:val="center"/>
              <w:outlineLvl w:val="9"/>
              <w:rPr>
                <w:color w:val="auto"/>
                <w:szCs w:val="21"/>
              </w:rPr>
            </w:pPr>
            <w:bookmarkStart w:id="1200" w:name="_Toc70"/>
            <w:bookmarkStart w:id="1201" w:name="_Toc6036"/>
            <w:bookmarkStart w:id="1202" w:name="_Toc5046"/>
            <w:r>
              <w:rPr>
                <w:rFonts w:hint="eastAsia"/>
                <w:color w:val="auto"/>
              </w:rPr>
              <w:t>0.00</w:t>
            </w:r>
            <w:bookmarkEnd w:id="1200"/>
            <w:bookmarkEnd w:id="1201"/>
            <w:bookmarkEnd w:id="1202"/>
          </w:p>
        </w:tc>
        <w:tc>
          <w:tcPr>
            <w:tcW w:w="994" w:type="dxa"/>
            <w:vAlign w:val="center"/>
          </w:tcPr>
          <w:p>
            <w:pPr>
              <w:jc w:val="center"/>
              <w:outlineLvl w:val="9"/>
              <w:rPr>
                <w:color w:val="auto"/>
              </w:rPr>
            </w:pPr>
            <w:bookmarkStart w:id="1203" w:name="_Toc27840"/>
            <w:bookmarkStart w:id="1204" w:name="_Toc6286"/>
            <w:bookmarkStart w:id="1205" w:name="_Toc7655"/>
            <w:r>
              <w:rPr>
                <w:rFonts w:hint="eastAsia"/>
                <w:color w:val="auto"/>
              </w:rPr>
              <w:t>1.39E-07</w:t>
            </w:r>
            <w:bookmarkEnd w:id="1203"/>
            <w:bookmarkEnd w:id="1204"/>
            <w:bookmarkEnd w:id="1205"/>
          </w:p>
        </w:tc>
        <w:tc>
          <w:tcPr>
            <w:tcW w:w="994" w:type="dxa"/>
            <w:vAlign w:val="center"/>
          </w:tcPr>
          <w:p>
            <w:pPr>
              <w:jc w:val="center"/>
              <w:outlineLvl w:val="9"/>
              <w:rPr>
                <w:color w:val="auto"/>
              </w:rPr>
            </w:pPr>
            <w:bookmarkStart w:id="1206" w:name="_Toc24351"/>
            <w:bookmarkStart w:id="1207" w:name="_Toc13102"/>
            <w:bookmarkStart w:id="1208" w:name="_Toc293"/>
            <w:r>
              <w:rPr>
                <w:rFonts w:hint="eastAsia"/>
                <w:color w:val="auto"/>
              </w:rPr>
              <w:t>1.86</w:t>
            </w:r>
            <w:bookmarkEnd w:id="1206"/>
            <w:bookmarkEnd w:id="1207"/>
            <w:bookmarkEnd w:id="1208"/>
          </w:p>
        </w:tc>
        <w:tc>
          <w:tcPr>
            <w:tcW w:w="994" w:type="dxa"/>
            <w:vAlign w:val="center"/>
          </w:tcPr>
          <w:p>
            <w:pPr>
              <w:jc w:val="center"/>
              <w:outlineLvl w:val="9"/>
              <w:rPr>
                <w:color w:val="auto"/>
              </w:rPr>
            </w:pPr>
            <w:bookmarkStart w:id="1209" w:name="_Toc24682"/>
            <w:bookmarkStart w:id="1210" w:name="_Toc31391"/>
            <w:bookmarkStart w:id="1211" w:name="_Toc6658"/>
            <w:r>
              <w:rPr>
                <w:rFonts w:hint="eastAsia"/>
                <w:color w:val="auto"/>
              </w:rPr>
              <w:t>7.88E-04</w:t>
            </w:r>
            <w:bookmarkEnd w:id="1209"/>
            <w:bookmarkEnd w:id="1210"/>
            <w:bookmarkEnd w:id="1211"/>
          </w:p>
        </w:tc>
        <w:tc>
          <w:tcPr>
            <w:tcW w:w="996" w:type="dxa"/>
            <w:vAlign w:val="center"/>
          </w:tcPr>
          <w:p>
            <w:pPr>
              <w:jc w:val="center"/>
              <w:outlineLvl w:val="9"/>
              <w:rPr>
                <w:color w:val="auto"/>
              </w:rPr>
            </w:pPr>
            <w:bookmarkStart w:id="1212" w:name="_Toc14199"/>
            <w:bookmarkStart w:id="1213" w:name="_Toc15442"/>
            <w:bookmarkStart w:id="1214" w:name="_Toc24094"/>
            <w:r>
              <w:rPr>
                <w:rFonts w:hint="eastAsia"/>
                <w:color w:val="auto"/>
              </w:rPr>
              <w:t>0.39</w:t>
            </w:r>
            <w:bookmarkEnd w:id="1212"/>
            <w:bookmarkEnd w:id="1213"/>
            <w:bookmarkEnd w:id="1214"/>
          </w:p>
        </w:tc>
        <w:tc>
          <w:tcPr>
            <w:tcW w:w="994" w:type="dxa"/>
            <w:vAlign w:val="center"/>
          </w:tcPr>
          <w:p>
            <w:pPr>
              <w:jc w:val="center"/>
              <w:outlineLvl w:val="9"/>
              <w:rPr>
                <w:color w:val="auto"/>
              </w:rPr>
            </w:pPr>
            <w:bookmarkStart w:id="1215" w:name="_Toc15714"/>
            <w:bookmarkStart w:id="1216" w:name="_Toc29487"/>
            <w:bookmarkStart w:id="1217" w:name="_Toc31764"/>
            <w:r>
              <w:rPr>
                <w:rFonts w:hint="eastAsia"/>
                <w:color w:val="auto"/>
              </w:rPr>
              <w:t>1.84E-03</w:t>
            </w:r>
            <w:bookmarkEnd w:id="1215"/>
            <w:bookmarkEnd w:id="1216"/>
            <w:bookmarkEnd w:id="1217"/>
          </w:p>
        </w:tc>
        <w:tc>
          <w:tcPr>
            <w:tcW w:w="994" w:type="dxa"/>
            <w:tcBorders>
              <w:right w:val="single" w:color="auto" w:sz="4" w:space="0"/>
            </w:tcBorders>
            <w:vAlign w:val="center"/>
          </w:tcPr>
          <w:p>
            <w:pPr>
              <w:jc w:val="center"/>
              <w:outlineLvl w:val="9"/>
              <w:rPr>
                <w:color w:val="auto"/>
              </w:rPr>
            </w:pPr>
            <w:bookmarkStart w:id="1218" w:name="_Toc28222"/>
            <w:bookmarkStart w:id="1219" w:name="_Toc315"/>
            <w:bookmarkStart w:id="1220" w:name="_Toc27145"/>
            <w:r>
              <w:rPr>
                <w:rFonts w:hint="eastAsia"/>
                <w:color w:val="auto"/>
              </w:rPr>
              <w:t>0.00</w:t>
            </w:r>
            <w:bookmarkEnd w:id="1218"/>
            <w:bookmarkEnd w:id="1219"/>
            <w:bookmarkEnd w:id="122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221" w:name="_Toc32742"/>
            <w:bookmarkStart w:id="1222" w:name="_Toc10098"/>
            <w:bookmarkStart w:id="1223" w:name="_Toc29437"/>
            <w:r>
              <w:rPr>
                <w:color w:val="auto"/>
                <w:szCs w:val="21"/>
              </w:rPr>
              <w:t>450</w:t>
            </w:r>
            <w:bookmarkEnd w:id="1221"/>
            <w:bookmarkEnd w:id="1222"/>
            <w:bookmarkEnd w:id="1223"/>
          </w:p>
        </w:tc>
        <w:tc>
          <w:tcPr>
            <w:tcW w:w="994" w:type="dxa"/>
            <w:vAlign w:val="center"/>
          </w:tcPr>
          <w:p>
            <w:pPr>
              <w:jc w:val="center"/>
              <w:outlineLvl w:val="9"/>
              <w:rPr>
                <w:color w:val="auto"/>
                <w:szCs w:val="21"/>
              </w:rPr>
            </w:pPr>
            <w:bookmarkStart w:id="1224" w:name="_Toc2946"/>
            <w:bookmarkStart w:id="1225" w:name="_Toc17815"/>
            <w:bookmarkStart w:id="1226" w:name="_Toc21739"/>
            <w:r>
              <w:rPr>
                <w:rFonts w:hint="eastAsia"/>
                <w:color w:val="auto"/>
              </w:rPr>
              <w:t>7.99E-04</w:t>
            </w:r>
            <w:bookmarkEnd w:id="1224"/>
            <w:bookmarkEnd w:id="1225"/>
            <w:bookmarkEnd w:id="1226"/>
          </w:p>
        </w:tc>
        <w:tc>
          <w:tcPr>
            <w:tcW w:w="994" w:type="dxa"/>
            <w:vAlign w:val="center"/>
          </w:tcPr>
          <w:p>
            <w:pPr>
              <w:jc w:val="center"/>
              <w:outlineLvl w:val="9"/>
              <w:rPr>
                <w:color w:val="auto"/>
                <w:szCs w:val="21"/>
              </w:rPr>
            </w:pPr>
            <w:bookmarkStart w:id="1227" w:name="_Toc18395"/>
            <w:bookmarkStart w:id="1228" w:name="_Toc16153"/>
            <w:bookmarkStart w:id="1229" w:name="_Toc10443"/>
            <w:r>
              <w:rPr>
                <w:rFonts w:hint="eastAsia"/>
                <w:color w:val="auto"/>
              </w:rPr>
              <w:t>0.00</w:t>
            </w:r>
            <w:bookmarkEnd w:id="1227"/>
            <w:bookmarkEnd w:id="1228"/>
            <w:bookmarkEnd w:id="1229"/>
          </w:p>
        </w:tc>
        <w:tc>
          <w:tcPr>
            <w:tcW w:w="994" w:type="dxa"/>
            <w:vAlign w:val="center"/>
          </w:tcPr>
          <w:p>
            <w:pPr>
              <w:jc w:val="center"/>
              <w:outlineLvl w:val="9"/>
              <w:rPr>
                <w:color w:val="auto"/>
              </w:rPr>
            </w:pPr>
            <w:bookmarkStart w:id="1230" w:name="_Toc8606"/>
            <w:bookmarkStart w:id="1231" w:name="_Toc964"/>
            <w:bookmarkStart w:id="1232" w:name="_Toc19324"/>
            <w:r>
              <w:rPr>
                <w:rFonts w:hint="eastAsia"/>
                <w:color w:val="auto"/>
              </w:rPr>
              <w:t>1.34E-07</w:t>
            </w:r>
            <w:bookmarkEnd w:id="1230"/>
            <w:bookmarkEnd w:id="1231"/>
            <w:bookmarkEnd w:id="1232"/>
          </w:p>
        </w:tc>
        <w:tc>
          <w:tcPr>
            <w:tcW w:w="994" w:type="dxa"/>
            <w:vAlign w:val="center"/>
          </w:tcPr>
          <w:p>
            <w:pPr>
              <w:jc w:val="center"/>
              <w:outlineLvl w:val="9"/>
              <w:rPr>
                <w:color w:val="auto"/>
              </w:rPr>
            </w:pPr>
            <w:bookmarkStart w:id="1233" w:name="_Toc30077"/>
            <w:bookmarkStart w:id="1234" w:name="_Toc21506"/>
            <w:bookmarkStart w:id="1235" w:name="_Toc20519"/>
            <w:r>
              <w:rPr>
                <w:rFonts w:hint="eastAsia"/>
                <w:color w:val="auto"/>
              </w:rPr>
              <w:t>1.79</w:t>
            </w:r>
            <w:bookmarkEnd w:id="1233"/>
            <w:bookmarkEnd w:id="1234"/>
            <w:bookmarkEnd w:id="1235"/>
          </w:p>
        </w:tc>
        <w:tc>
          <w:tcPr>
            <w:tcW w:w="994" w:type="dxa"/>
            <w:vAlign w:val="center"/>
          </w:tcPr>
          <w:p>
            <w:pPr>
              <w:jc w:val="center"/>
              <w:outlineLvl w:val="9"/>
              <w:rPr>
                <w:color w:val="auto"/>
              </w:rPr>
            </w:pPr>
            <w:bookmarkStart w:id="1236" w:name="_Toc10275"/>
            <w:bookmarkStart w:id="1237" w:name="_Toc11211"/>
            <w:bookmarkStart w:id="1238" w:name="_Toc8859"/>
            <w:r>
              <w:rPr>
                <w:rFonts w:hint="eastAsia"/>
                <w:color w:val="auto"/>
              </w:rPr>
              <w:t>7.59E-04</w:t>
            </w:r>
            <w:bookmarkEnd w:id="1236"/>
            <w:bookmarkEnd w:id="1237"/>
            <w:bookmarkEnd w:id="1238"/>
          </w:p>
        </w:tc>
        <w:tc>
          <w:tcPr>
            <w:tcW w:w="996" w:type="dxa"/>
            <w:vAlign w:val="center"/>
          </w:tcPr>
          <w:p>
            <w:pPr>
              <w:jc w:val="center"/>
              <w:outlineLvl w:val="9"/>
              <w:rPr>
                <w:color w:val="auto"/>
              </w:rPr>
            </w:pPr>
            <w:bookmarkStart w:id="1239" w:name="_Toc27724"/>
            <w:bookmarkStart w:id="1240" w:name="_Toc21784"/>
            <w:bookmarkStart w:id="1241" w:name="_Toc10963"/>
            <w:r>
              <w:rPr>
                <w:rFonts w:hint="eastAsia"/>
                <w:color w:val="auto"/>
              </w:rPr>
              <w:t>0.38</w:t>
            </w:r>
            <w:bookmarkEnd w:id="1239"/>
            <w:bookmarkEnd w:id="1240"/>
            <w:bookmarkEnd w:id="1241"/>
          </w:p>
        </w:tc>
        <w:tc>
          <w:tcPr>
            <w:tcW w:w="994" w:type="dxa"/>
            <w:vAlign w:val="center"/>
          </w:tcPr>
          <w:p>
            <w:pPr>
              <w:jc w:val="center"/>
              <w:outlineLvl w:val="9"/>
              <w:rPr>
                <w:color w:val="auto"/>
              </w:rPr>
            </w:pPr>
            <w:bookmarkStart w:id="1242" w:name="_Toc18513"/>
            <w:bookmarkStart w:id="1243" w:name="_Toc3322"/>
            <w:bookmarkStart w:id="1244" w:name="_Toc21754"/>
            <w:r>
              <w:rPr>
                <w:rFonts w:hint="eastAsia"/>
                <w:color w:val="auto"/>
              </w:rPr>
              <w:t>1.77E-03</w:t>
            </w:r>
            <w:bookmarkEnd w:id="1242"/>
            <w:bookmarkEnd w:id="1243"/>
            <w:bookmarkEnd w:id="1244"/>
          </w:p>
        </w:tc>
        <w:tc>
          <w:tcPr>
            <w:tcW w:w="994" w:type="dxa"/>
            <w:tcBorders>
              <w:right w:val="single" w:color="auto" w:sz="4" w:space="0"/>
            </w:tcBorders>
            <w:vAlign w:val="center"/>
          </w:tcPr>
          <w:p>
            <w:pPr>
              <w:jc w:val="center"/>
              <w:outlineLvl w:val="9"/>
              <w:rPr>
                <w:color w:val="auto"/>
              </w:rPr>
            </w:pPr>
            <w:bookmarkStart w:id="1245" w:name="_Toc12689"/>
            <w:bookmarkStart w:id="1246" w:name="_Toc24334"/>
            <w:bookmarkStart w:id="1247" w:name="_Toc10149"/>
            <w:r>
              <w:rPr>
                <w:rFonts w:hint="eastAsia"/>
                <w:color w:val="auto"/>
              </w:rPr>
              <w:t>0.00</w:t>
            </w:r>
            <w:bookmarkEnd w:id="1245"/>
            <w:bookmarkEnd w:id="1246"/>
            <w:bookmarkEnd w:id="124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248" w:name="_Toc26272"/>
            <w:bookmarkStart w:id="1249" w:name="_Toc1432"/>
            <w:bookmarkStart w:id="1250" w:name="_Toc27753"/>
            <w:r>
              <w:rPr>
                <w:color w:val="auto"/>
                <w:szCs w:val="21"/>
              </w:rPr>
              <w:t>475</w:t>
            </w:r>
            <w:bookmarkEnd w:id="1248"/>
            <w:bookmarkEnd w:id="1249"/>
            <w:bookmarkEnd w:id="1250"/>
          </w:p>
        </w:tc>
        <w:tc>
          <w:tcPr>
            <w:tcW w:w="994" w:type="dxa"/>
            <w:vAlign w:val="center"/>
          </w:tcPr>
          <w:p>
            <w:pPr>
              <w:jc w:val="center"/>
              <w:outlineLvl w:val="9"/>
              <w:rPr>
                <w:color w:val="auto"/>
                <w:szCs w:val="21"/>
              </w:rPr>
            </w:pPr>
            <w:bookmarkStart w:id="1251" w:name="_Toc15294"/>
            <w:bookmarkStart w:id="1252" w:name="_Toc6991"/>
            <w:bookmarkStart w:id="1253" w:name="_Toc6592"/>
            <w:r>
              <w:rPr>
                <w:rFonts w:hint="eastAsia"/>
                <w:color w:val="auto"/>
              </w:rPr>
              <w:t>7.71E-04</w:t>
            </w:r>
            <w:bookmarkEnd w:id="1251"/>
            <w:bookmarkEnd w:id="1252"/>
            <w:bookmarkEnd w:id="1253"/>
          </w:p>
        </w:tc>
        <w:tc>
          <w:tcPr>
            <w:tcW w:w="994" w:type="dxa"/>
            <w:vAlign w:val="center"/>
          </w:tcPr>
          <w:p>
            <w:pPr>
              <w:jc w:val="center"/>
              <w:outlineLvl w:val="9"/>
              <w:rPr>
                <w:color w:val="auto"/>
                <w:szCs w:val="21"/>
              </w:rPr>
            </w:pPr>
            <w:bookmarkStart w:id="1254" w:name="_Toc19302"/>
            <w:bookmarkStart w:id="1255" w:name="_Toc24374"/>
            <w:bookmarkStart w:id="1256" w:name="_Toc18677"/>
            <w:r>
              <w:rPr>
                <w:rFonts w:hint="eastAsia"/>
                <w:color w:val="auto"/>
              </w:rPr>
              <w:t>0.00</w:t>
            </w:r>
            <w:bookmarkEnd w:id="1254"/>
            <w:bookmarkEnd w:id="1255"/>
            <w:bookmarkEnd w:id="1256"/>
          </w:p>
        </w:tc>
        <w:tc>
          <w:tcPr>
            <w:tcW w:w="994" w:type="dxa"/>
            <w:vAlign w:val="center"/>
          </w:tcPr>
          <w:p>
            <w:pPr>
              <w:jc w:val="center"/>
              <w:outlineLvl w:val="9"/>
              <w:rPr>
                <w:color w:val="auto"/>
              </w:rPr>
            </w:pPr>
            <w:bookmarkStart w:id="1257" w:name="_Toc5388"/>
            <w:bookmarkStart w:id="1258" w:name="_Toc24537"/>
            <w:bookmarkStart w:id="1259" w:name="_Toc12119"/>
            <w:r>
              <w:rPr>
                <w:rFonts w:hint="eastAsia"/>
                <w:color w:val="auto"/>
              </w:rPr>
              <w:t>1.29E-07</w:t>
            </w:r>
            <w:bookmarkEnd w:id="1257"/>
            <w:bookmarkEnd w:id="1258"/>
            <w:bookmarkEnd w:id="1259"/>
          </w:p>
        </w:tc>
        <w:tc>
          <w:tcPr>
            <w:tcW w:w="994" w:type="dxa"/>
            <w:vAlign w:val="center"/>
          </w:tcPr>
          <w:p>
            <w:pPr>
              <w:jc w:val="center"/>
              <w:outlineLvl w:val="9"/>
              <w:rPr>
                <w:color w:val="auto"/>
              </w:rPr>
            </w:pPr>
            <w:bookmarkStart w:id="1260" w:name="_Toc18155"/>
            <w:bookmarkStart w:id="1261" w:name="_Toc4897"/>
            <w:bookmarkStart w:id="1262" w:name="_Toc31963"/>
            <w:r>
              <w:rPr>
                <w:rFonts w:hint="eastAsia"/>
                <w:color w:val="auto"/>
              </w:rPr>
              <w:t>1.72</w:t>
            </w:r>
            <w:bookmarkEnd w:id="1260"/>
            <w:bookmarkEnd w:id="1261"/>
            <w:bookmarkEnd w:id="1262"/>
          </w:p>
        </w:tc>
        <w:tc>
          <w:tcPr>
            <w:tcW w:w="994" w:type="dxa"/>
            <w:vAlign w:val="center"/>
          </w:tcPr>
          <w:p>
            <w:pPr>
              <w:jc w:val="center"/>
              <w:outlineLvl w:val="9"/>
              <w:rPr>
                <w:color w:val="auto"/>
              </w:rPr>
            </w:pPr>
            <w:bookmarkStart w:id="1263" w:name="_Toc6240"/>
            <w:bookmarkStart w:id="1264" w:name="_Toc16302"/>
            <w:bookmarkStart w:id="1265" w:name="_Toc2595"/>
            <w:r>
              <w:rPr>
                <w:rFonts w:hint="eastAsia"/>
                <w:color w:val="auto"/>
              </w:rPr>
              <w:t>7.31E-04</w:t>
            </w:r>
            <w:bookmarkEnd w:id="1263"/>
            <w:bookmarkEnd w:id="1264"/>
            <w:bookmarkEnd w:id="1265"/>
          </w:p>
        </w:tc>
        <w:tc>
          <w:tcPr>
            <w:tcW w:w="996" w:type="dxa"/>
            <w:vAlign w:val="center"/>
          </w:tcPr>
          <w:p>
            <w:pPr>
              <w:jc w:val="center"/>
              <w:outlineLvl w:val="9"/>
              <w:rPr>
                <w:color w:val="auto"/>
              </w:rPr>
            </w:pPr>
            <w:bookmarkStart w:id="1266" w:name="_Toc1506"/>
            <w:bookmarkStart w:id="1267" w:name="_Toc29744"/>
            <w:bookmarkStart w:id="1268" w:name="_Toc18542"/>
            <w:r>
              <w:rPr>
                <w:rFonts w:hint="eastAsia"/>
                <w:color w:val="auto"/>
              </w:rPr>
              <w:t>0.37</w:t>
            </w:r>
            <w:bookmarkEnd w:id="1266"/>
            <w:bookmarkEnd w:id="1267"/>
            <w:bookmarkEnd w:id="1268"/>
          </w:p>
        </w:tc>
        <w:tc>
          <w:tcPr>
            <w:tcW w:w="994" w:type="dxa"/>
            <w:vAlign w:val="center"/>
          </w:tcPr>
          <w:p>
            <w:pPr>
              <w:jc w:val="center"/>
              <w:outlineLvl w:val="9"/>
              <w:rPr>
                <w:color w:val="auto"/>
              </w:rPr>
            </w:pPr>
            <w:bookmarkStart w:id="1269" w:name="_Toc933"/>
            <w:bookmarkStart w:id="1270" w:name="_Toc17484"/>
            <w:bookmarkStart w:id="1271" w:name="_Toc2506"/>
            <w:r>
              <w:rPr>
                <w:rFonts w:hint="eastAsia"/>
                <w:color w:val="auto"/>
              </w:rPr>
              <w:t>1.66E-03</w:t>
            </w:r>
            <w:bookmarkEnd w:id="1269"/>
            <w:bookmarkEnd w:id="1270"/>
            <w:bookmarkEnd w:id="1271"/>
          </w:p>
        </w:tc>
        <w:tc>
          <w:tcPr>
            <w:tcW w:w="994" w:type="dxa"/>
            <w:tcBorders>
              <w:right w:val="single" w:color="auto" w:sz="4" w:space="0"/>
            </w:tcBorders>
            <w:vAlign w:val="center"/>
          </w:tcPr>
          <w:p>
            <w:pPr>
              <w:jc w:val="center"/>
              <w:outlineLvl w:val="9"/>
              <w:rPr>
                <w:color w:val="auto"/>
              </w:rPr>
            </w:pPr>
            <w:bookmarkStart w:id="1272" w:name="_Toc2661"/>
            <w:bookmarkStart w:id="1273" w:name="_Toc29254"/>
            <w:bookmarkStart w:id="1274" w:name="_Toc7268"/>
            <w:r>
              <w:rPr>
                <w:rFonts w:hint="eastAsia"/>
                <w:color w:val="auto"/>
              </w:rPr>
              <w:t>0.00</w:t>
            </w:r>
            <w:bookmarkEnd w:id="1272"/>
            <w:bookmarkEnd w:id="1273"/>
            <w:bookmarkEnd w:id="127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275" w:name="_Toc19313"/>
            <w:bookmarkStart w:id="1276" w:name="_Toc32343"/>
            <w:bookmarkStart w:id="1277" w:name="_Toc12591"/>
            <w:r>
              <w:rPr>
                <w:color w:val="auto"/>
                <w:szCs w:val="21"/>
              </w:rPr>
              <w:t>500</w:t>
            </w:r>
            <w:bookmarkEnd w:id="1275"/>
            <w:bookmarkEnd w:id="1276"/>
            <w:bookmarkEnd w:id="1277"/>
          </w:p>
        </w:tc>
        <w:tc>
          <w:tcPr>
            <w:tcW w:w="994" w:type="dxa"/>
            <w:vAlign w:val="center"/>
          </w:tcPr>
          <w:p>
            <w:pPr>
              <w:jc w:val="center"/>
              <w:outlineLvl w:val="9"/>
              <w:rPr>
                <w:color w:val="auto"/>
                <w:szCs w:val="21"/>
              </w:rPr>
            </w:pPr>
            <w:bookmarkStart w:id="1278" w:name="_Toc1401"/>
            <w:bookmarkStart w:id="1279" w:name="_Toc7937"/>
            <w:bookmarkStart w:id="1280" w:name="_Toc14439"/>
            <w:r>
              <w:rPr>
                <w:rFonts w:hint="eastAsia"/>
                <w:color w:val="auto"/>
              </w:rPr>
              <w:t>5.23E-11</w:t>
            </w:r>
            <w:bookmarkEnd w:id="1278"/>
            <w:bookmarkEnd w:id="1279"/>
            <w:bookmarkEnd w:id="1280"/>
          </w:p>
        </w:tc>
        <w:tc>
          <w:tcPr>
            <w:tcW w:w="994" w:type="dxa"/>
            <w:vAlign w:val="center"/>
          </w:tcPr>
          <w:p>
            <w:pPr>
              <w:jc w:val="center"/>
              <w:outlineLvl w:val="9"/>
              <w:rPr>
                <w:color w:val="auto"/>
                <w:szCs w:val="21"/>
              </w:rPr>
            </w:pPr>
            <w:bookmarkStart w:id="1281" w:name="_Toc14114"/>
            <w:bookmarkStart w:id="1282" w:name="_Toc5248"/>
            <w:bookmarkStart w:id="1283" w:name="_Toc1701"/>
            <w:r>
              <w:rPr>
                <w:rFonts w:hint="eastAsia"/>
                <w:color w:val="auto"/>
              </w:rPr>
              <w:t>0.00</w:t>
            </w:r>
            <w:bookmarkEnd w:id="1281"/>
            <w:bookmarkEnd w:id="1282"/>
            <w:bookmarkEnd w:id="1283"/>
          </w:p>
        </w:tc>
        <w:tc>
          <w:tcPr>
            <w:tcW w:w="994" w:type="dxa"/>
            <w:vAlign w:val="center"/>
          </w:tcPr>
          <w:p>
            <w:pPr>
              <w:jc w:val="center"/>
              <w:outlineLvl w:val="9"/>
              <w:rPr>
                <w:color w:val="auto"/>
              </w:rPr>
            </w:pPr>
            <w:bookmarkStart w:id="1284" w:name="_Toc3661"/>
            <w:bookmarkStart w:id="1285" w:name="_Toc30047"/>
            <w:bookmarkStart w:id="1286" w:name="_Toc18136"/>
            <w:r>
              <w:rPr>
                <w:rFonts w:hint="eastAsia"/>
                <w:color w:val="auto"/>
              </w:rPr>
              <w:t>8.78E-15</w:t>
            </w:r>
            <w:bookmarkEnd w:id="1284"/>
            <w:bookmarkEnd w:id="1285"/>
            <w:bookmarkEnd w:id="1286"/>
          </w:p>
        </w:tc>
        <w:tc>
          <w:tcPr>
            <w:tcW w:w="994" w:type="dxa"/>
            <w:vAlign w:val="center"/>
          </w:tcPr>
          <w:p>
            <w:pPr>
              <w:jc w:val="center"/>
              <w:outlineLvl w:val="9"/>
              <w:rPr>
                <w:color w:val="auto"/>
              </w:rPr>
            </w:pPr>
            <w:bookmarkStart w:id="1287" w:name="_Toc31960"/>
            <w:bookmarkStart w:id="1288" w:name="_Toc19829"/>
            <w:bookmarkStart w:id="1289" w:name="_Toc10144"/>
            <w:r>
              <w:rPr>
                <w:rFonts w:hint="eastAsia"/>
                <w:color w:val="auto"/>
              </w:rPr>
              <w:t>0.00</w:t>
            </w:r>
            <w:bookmarkEnd w:id="1287"/>
            <w:bookmarkEnd w:id="1288"/>
            <w:bookmarkEnd w:id="1289"/>
          </w:p>
        </w:tc>
        <w:tc>
          <w:tcPr>
            <w:tcW w:w="994" w:type="dxa"/>
            <w:vAlign w:val="center"/>
          </w:tcPr>
          <w:p>
            <w:pPr>
              <w:jc w:val="center"/>
              <w:outlineLvl w:val="9"/>
              <w:rPr>
                <w:color w:val="auto"/>
              </w:rPr>
            </w:pPr>
            <w:bookmarkStart w:id="1290" w:name="_Toc29808"/>
            <w:bookmarkStart w:id="1291" w:name="_Toc22737"/>
            <w:bookmarkStart w:id="1292" w:name="_Toc16194"/>
            <w:r>
              <w:rPr>
                <w:rFonts w:hint="eastAsia"/>
                <w:color w:val="auto"/>
              </w:rPr>
              <w:t>4.97E-11</w:t>
            </w:r>
            <w:bookmarkEnd w:id="1290"/>
            <w:bookmarkEnd w:id="1291"/>
            <w:bookmarkEnd w:id="1292"/>
          </w:p>
        </w:tc>
        <w:tc>
          <w:tcPr>
            <w:tcW w:w="996" w:type="dxa"/>
            <w:vAlign w:val="center"/>
          </w:tcPr>
          <w:p>
            <w:pPr>
              <w:jc w:val="center"/>
              <w:outlineLvl w:val="9"/>
              <w:rPr>
                <w:color w:val="auto"/>
              </w:rPr>
            </w:pPr>
            <w:bookmarkStart w:id="1293" w:name="_Toc22074"/>
            <w:bookmarkStart w:id="1294" w:name="_Toc14990"/>
            <w:bookmarkStart w:id="1295" w:name="_Toc19999"/>
            <w:r>
              <w:rPr>
                <w:rFonts w:hint="eastAsia"/>
                <w:color w:val="auto"/>
              </w:rPr>
              <w:t>0.00</w:t>
            </w:r>
            <w:bookmarkEnd w:id="1293"/>
            <w:bookmarkEnd w:id="1294"/>
            <w:bookmarkEnd w:id="1295"/>
          </w:p>
        </w:tc>
        <w:tc>
          <w:tcPr>
            <w:tcW w:w="994" w:type="dxa"/>
            <w:vAlign w:val="center"/>
          </w:tcPr>
          <w:p>
            <w:pPr>
              <w:jc w:val="center"/>
              <w:outlineLvl w:val="9"/>
              <w:rPr>
                <w:color w:val="auto"/>
              </w:rPr>
            </w:pPr>
            <w:bookmarkStart w:id="1296" w:name="_Toc1135"/>
            <w:bookmarkStart w:id="1297" w:name="_Toc29848"/>
            <w:bookmarkStart w:id="1298" w:name="_Toc3543"/>
            <w:r>
              <w:rPr>
                <w:rFonts w:hint="eastAsia"/>
                <w:color w:val="auto"/>
              </w:rPr>
              <w:t>1.37E-14</w:t>
            </w:r>
            <w:bookmarkEnd w:id="1296"/>
            <w:bookmarkEnd w:id="1297"/>
            <w:bookmarkEnd w:id="1298"/>
          </w:p>
        </w:tc>
        <w:tc>
          <w:tcPr>
            <w:tcW w:w="994" w:type="dxa"/>
            <w:tcBorders>
              <w:right w:val="single" w:color="auto" w:sz="4" w:space="0"/>
            </w:tcBorders>
            <w:vAlign w:val="center"/>
          </w:tcPr>
          <w:p>
            <w:pPr>
              <w:jc w:val="center"/>
              <w:outlineLvl w:val="9"/>
              <w:rPr>
                <w:color w:val="auto"/>
              </w:rPr>
            </w:pPr>
            <w:bookmarkStart w:id="1299" w:name="_Toc24237"/>
            <w:bookmarkStart w:id="1300" w:name="_Toc14951"/>
            <w:bookmarkStart w:id="1301" w:name="_Toc18378"/>
            <w:r>
              <w:rPr>
                <w:rFonts w:hint="eastAsia"/>
                <w:color w:val="auto"/>
              </w:rPr>
              <w:t>0.00</w:t>
            </w:r>
            <w:bookmarkEnd w:id="1299"/>
            <w:bookmarkEnd w:id="1300"/>
            <w:bookmarkEnd w:id="1301"/>
          </w:p>
        </w:tc>
      </w:tr>
    </w:tbl>
    <w:p>
      <w:pPr>
        <w:tabs>
          <w:tab w:val="left" w:pos="1081"/>
        </w:tabs>
        <w:adjustRightInd w:val="0"/>
        <w:spacing w:line="480" w:lineRule="exact"/>
        <w:jc w:val="center"/>
        <w:outlineLvl w:val="9"/>
        <w:rPr>
          <w:b/>
          <w:color w:val="auto"/>
          <w:sz w:val="24"/>
        </w:rPr>
      </w:pPr>
    </w:p>
    <w:p>
      <w:pPr>
        <w:pStyle w:val="2"/>
        <w:ind w:firstLine="400"/>
        <w:outlineLvl w:val="9"/>
        <w:rPr>
          <w:color w:val="auto"/>
        </w:rPr>
      </w:pPr>
    </w:p>
    <w:p>
      <w:pPr>
        <w:tabs>
          <w:tab w:val="left" w:pos="1081"/>
        </w:tabs>
        <w:adjustRightInd w:val="0"/>
        <w:spacing w:line="360" w:lineRule="auto"/>
        <w:jc w:val="center"/>
        <w:outlineLvl w:val="9"/>
        <w:rPr>
          <w:b/>
          <w:bCs/>
          <w:color w:val="auto"/>
          <w:szCs w:val="21"/>
        </w:rPr>
      </w:pPr>
      <w:r>
        <w:rPr>
          <w:b/>
          <w:color w:val="auto"/>
          <w:szCs w:val="21"/>
        </w:rPr>
        <w:t>表</w:t>
      </w:r>
      <w:r>
        <w:rPr>
          <w:rFonts w:hint="eastAsia"/>
          <w:b/>
          <w:color w:val="auto"/>
          <w:szCs w:val="21"/>
        </w:rPr>
        <w:t>6</w:t>
      </w:r>
      <w:r>
        <w:rPr>
          <w:b/>
          <w:color w:val="auto"/>
          <w:szCs w:val="21"/>
        </w:rPr>
        <w:t>.4-</w:t>
      </w:r>
      <w:r>
        <w:rPr>
          <w:rFonts w:hint="eastAsia"/>
          <w:b/>
          <w:color w:val="auto"/>
          <w:szCs w:val="21"/>
        </w:rPr>
        <w:t>10</w:t>
      </w:r>
      <w:r>
        <w:rPr>
          <w:b/>
          <w:color w:val="auto"/>
          <w:szCs w:val="21"/>
        </w:rPr>
        <w:t xml:space="preserve"> </w:t>
      </w:r>
      <w:r>
        <w:rPr>
          <w:rFonts w:hint="eastAsia"/>
          <w:b/>
          <w:color w:val="auto"/>
          <w:szCs w:val="21"/>
        </w:rPr>
        <w:t xml:space="preserve"> </w:t>
      </w:r>
      <w:r>
        <w:rPr>
          <w:b/>
          <w:bCs/>
          <w:color w:val="auto"/>
          <w:szCs w:val="21"/>
        </w:rPr>
        <w:t>点源预测结果（非正常工况）</w:t>
      </w:r>
    </w:p>
    <w:tbl>
      <w:tblPr>
        <w:tblStyle w:val="24"/>
        <w:tblW w:w="8948" w:type="dxa"/>
        <w:tblInd w:w="0" w:type="dxa"/>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994"/>
        <w:gridCol w:w="994"/>
        <w:gridCol w:w="994"/>
        <w:gridCol w:w="994"/>
        <w:gridCol w:w="994"/>
        <w:gridCol w:w="996"/>
        <w:gridCol w:w="994"/>
        <w:gridCol w:w="994"/>
      </w:tblGrid>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restart"/>
            <w:tcBorders>
              <w:top w:val="single" w:color="auto" w:sz="4" w:space="0"/>
              <w:left w:val="single" w:color="auto" w:sz="4" w:space="0"/>
            </w:tcBorders>
            <w:vAlign w:val="center"/>
          </w:tcPr>
          <w:p>
            <w:pPr>
              <w:jc w:val="center"/>
              <w:outlineLvl w:val="9"/>
              <w:rPr>
                <w:color w:val="auto"/>
                <w:szCs w:val="21"/>
              </w:rPr>
            </w:pPr>
            <w:bookmarkStart w:id="1302" w:name="_Toc5840"/>
            <w:bookmarkStart w:id="1303" w:name="_Toc18665"/>
            <w:bookmarkStart w:id="1304" w:name="_Toc12165"/>
            <w:r>
              <w:rPr>
                <w:color w:val="auto"/>
                <w:szCs w:val="21"/>
              </w:rPr>
              <w:t>下风向距离/m</w:t>
            </w:r>
            <w:bookmarkEnd w:id="1302"/>
            <w:bookmarkEnd w:id="1303"/>
            <w:bookmarkEnd w:id="1304"/>
          </w:p>
        </w:tc>
        <w:tc>
          <w:tcPr>
            <w:tcW w:w="5966" w:type="dxa"/>
            <w:gridSpan w:val="6"/>
            <w:tcBorders>
              <w:top w:val="single" w:color="auto" w:sz="4" w:space="0"/>
            </w:tcBorders>
            <w:vAlign w:val="center"/>
          </w:tcPr>
          <w:p>
            <w:pPr>
              <w:jc w:val="center"/>
              <w:outlineLvl w:val="9"/>
              <w:rPr>
                <w:color w:val="auto"/>
                <w:szCs w:val="21"/>
              </w:rPr>
            </w:pPr>
            <w:bookmarkStart w:id="1305" w:name="_Toc18592"/>
            <w:bookmarkStart w:id="1306" w:name="_Toc30096"/>
            <w:bookmarkStart w:id="1307" w:name="_Toc15006"/>
            <w:r>
              <w:rPr>
                <w:color w:val="auto"/>
                <w:szCs w:val="21"/>
              </w:rPr>
              <w:t>点源（排气筒G1）</w:t>
            </w:r>
            <w:bookmarkEnd w:id="1305"/>
            <w:bookmarkEnd w:id="1306"/>
            <w:bookmarkEnd w:id="1307"/>
          </w:p>
        </w:tc>
        <w:tc>
          <w:tcPr>
            <w:tcW w:w="1988" w:type="dxa"/>
            <w:gridSpan w:val="2"/>
            <w:tcBorders>
              <w:top w:val="single" w:color="auto" w:sz="4" w:space="0"/>
              <w:right w:val="single" w:color="auto" w:sz="4" w:space="0"/>
            </w:tcBorders>
            <w:vAlign w:val="center"/>
          </w:tcPr>
          <w:p>
            <w:pPr>
              <w:jc w:val="center"/>
              <w:outlineLvl w:val="9"/>
              <w:rPr>
                <w:color w:val="auto"/>
                <w:szCs w:val="21"/>
              </w:rPr>
            </w:pPr>
            <w:bookmarkStart w:id="1308" w:name="_Toc20130"/>
            <w:bookmarkStart w:id="1309" w:name="_Toc6488"/>
            <w:bookmarkStart w:id="1310" w:name="_Toc7303"/>
            <w:r>
              <w:rPr>
                <w:color w:val="auto"/>
                <w:szCs w:val="21"/>
              </w:rPr>
              <w:t>点源（排气筒G</w:t>
            </w:r>
            <w:r>
              <w:rPr>
                <w:rFonts w:hint="eastAsia"/>
                <w:color w:val="auto"/>
                <w:szCs w:val="21"/>
              </w:rPr>
              <w:t>2</w:t>
            </w:r>
            <w:r>
              <w:rPr>
                <w:color w:val="auto"/>
                <w:szCs w:val="21"/>
              </w:rPr>
              <w:t>）</w:t>
            </w:r>
            <w:bookmarkEnd w:id="1308"/>
            <w:bookmarkEnd w:id="1309"/>
            <w:bookmarkEnd w:id="131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continue"/>
            <w:tcBorders>
              <w:left w:val="single" w:color="auto" w:sz="4" w:space="0"/>
            </w:tcBorders>
            <w:vAlign w:val="center"/>
          </w:tcPr>
          <w:p>
            <w:pPr>
              <w:jc w:val="center"/>
              <w:outlineLvl w:val="9"/>
              <w:rPr>
                <w:color w:val="auto"/>
                <w:szCs w:val="21"/>
              </w:rPr>
            </w:pPr>
          </w:p>
        </w:tc>
        <w:tc>
          <w:tcPr>
            <w:tcW w:w="1988" w:type="dxa"/>
            <w:gridSpan w:val="2"/>
            <w:vAlign w:val="center"/>
          </w:tcPr>
          <w:p>
            <w:pPr>
              <w:adjustRightInd w:val="0"/>
              <w:snapToGrid w:val="0"/>
              <w:jc w:val="center"/>
              <w:outlineLvl w:val="9"/>
              <w:rPr>
                <w:color w:val="auto"/>
                <w:szCs w:val="21"/>
              </w:rPr>
            </w:pPr>
            <w:r>
              <w:rPr>
                <w:rFonts w:hint="eastAsia"/>
                <w:color w:val="auto"/>
                <w:szCs w:val="21"/>
              </w:rPr>
              <w:t>颗粒物</w:t>
            </w:r>
          </w:p>
        </w:tc>
        <w:tc>
          <w:tcPr>
            <w:tcW w:w="1988" w:type="dxa"/>
            <w:gridSpan w:val="2"/>
            <w:vAlign w:val="center"/>
          </w:tcPr>
          <w:p>
            <w:pPr>
              <w:jc w:val="center"/>
              <w:outlineLvl w:val="9"/>
              <w:rPr>
                <w:color w:val="auto"/>
                <w:szCs w:val="21"/>
              </w:rPr>
            </w:pPr>
            <w:bookmarkStart w:id="1311" w:name="_Toc20228"/>
            <w:bookmarkStart w:id="1312" w:name="_Toc22091"/>
            <w:bookmarkStart w:id="1313" w:name="_Toc31185"/>
            <w:r>
              <w:rPr>
                <w:rFonts w:hint="eastAsia"/>
                <w:color w:val="auto"/>
                <w:szCs w:val="21"/>
              </w:rPr>
              <w:t>苯并[a]芘</w:t>
            </w:r>
            <w:bookmarkEnd w:id="1311"/>
            <w:bookmarkEnd w:id="1312"/>
            <w:bookmarkEnd w:id="1313"/>
          </w:p>
        </w:tc>
        <w:tc>
          <w:tcPr>
            <w:tcW w:w="1990" w:type="dxa"/>
            <w:gridSpan w:val="2"/>
            <w:vAlign w:val="center"/>
          </w:tcPr>
          <w:p>
            <w:pPr>
              <w:jc w:val="center"/>
              <w:outlineLvl w:val="9"/>
              <w:rPr>
                <w:color w:val="auto"/>
                <w:szCs w:val="21"/>
              </w:rPr>
            </w:pPr>
            <w:bookmarkStart w:id="1314" w:name="_Toc18577"/>
            <w:bookmarkStart w:id="1315" w:name="_Toc20559"/>
            <w:bookmarkStart w:id="1316" w:name="_Toc11856"/>
            <w:r>
              <w:rPr>
                <w:color w:val="auto"/>
                <w:szCs w:val="21"/>
              </w:rPr>
              <w:t>非甲烷总烃</w:t>
            </w:r>
            <w:bookmarkEnd w:id="1314"/>
            <w:bookmarkEnd w:id="1315"/>
            <w:bookmarkEnd w:id="1316"/>
          </w:p>
        </w:tc>
        <w:tc>
          <w:tcPr>
            <w:tcW w:w="1988" w:type="dxa"/>
            <w:gridSpan w:val="2"/>
            <w:tcBorders>
              <w:right w:val="single" w:color="auto" w:sz="4" w:space="0"/>
            </w:tcBorders>
            <w:vAlign w:val="center"/>
          </w:tcPr>
          <w:p>
            <w:pPr>
              <w:jc w:val="center"/>
              <w:outlineLvl w:val="9"/>
              <w:rPr>
                <w:color w:val="auto"/>
                <w:szCs w:val="21"/>
              </w:rPr>
            </w:pPr>
            <w:bookmarkStart w:id="1317" w:name="_Toc28111"/>
            <w:bookmarkStart w:id="1318" w:name="_Toc4880"/>
            <w:bookmarkStart w:id="1319" w:name="_Toc27242"/>
            <w:r>
              <w:rPr>
                <w:rFonts w:hint="eastAsia"/>
                <w:color w:val="auto"/>
                <w:szCs w:val="21"/>
              </w:rPr>
              <w:t>颗粒物</w:t>
            </w:r>
            <w:bookmarkEnd w:id="1317"/>
            <w:bookmarkEnd w:id="1318"/>
            <w:bookmarkEnd w:id="1319"/>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vMerge w:val="continue"/>
            <w:tcBorders>
              <w:left w:val="single" w:color="auto" w:sz="4" w:space="0"/>
            </w:tcBorders>
            <w:vAlign w:val="center"/>
          </w:tcPr>
          <w:p>
            <w:pPr>
              <w:jc w:val="center"/>
              <w:outlineLvl w:val="9"/>
              <w:rPr>
                <w:color w:val="auto"/>
                <w:szCs w:val="21"/>
              </w:rPr>
            </w:pPr>
          </w:p>
        </w:tc>
        <w:tc>
          <w:tcPr>
            <w:tcW w:w="994" w:type="dxa"/>
            <w:vAlign w:val="center"/>
          </w:tcPr>
          <w:p>
            <w:pPr>
              <w:jc w:val="center"/>
              <w:outlineLvl w:val="9"/>
              <w:rPr>
                <w:color w:val="auto"/>
                <w:szCs w:val="21"/>
              </w:rPr>
            </w:pPr>
            <w:bookmarkStart w:id="1320" w:name="_Toc28862"/>
            <w:bookmarkStart w:id="1321" w:name="_Toc19464"/>
            <w:bookmarkStart w:id="1322" w:name="_Toc14734"/>
            <w:r>
              <w:rPr>
                <w:color w:val="auto"/>
                <w:szCs w:val="21"/>
              </w:rPr>
              <w:t>预测质量浓度/μg/m</w:t>
            </w:r>
            <w:r>
              <w:rPr>
                <w:color w:val="auto"/>
                <w:szCs w:val="21"/>
                <w:vertAlign w:val="superscript"/>
              </w:rPr>
              <w:t>3</w:t>
            </w:r>
            <w:bookmarkEnd w:id="1320"/>
            <w:bookmarkEnd w:id="1321"/>
            <w:bookmarkEnd w:id="1322"/>
          </w:p>
        </w:tc>
        <w:tc>
          <w:tcPr>
            <w:tcW w:w="994" w:type="dxa"/>
            <w:vAlign w:val="center"/>
          </w:tcPr>
          <w:p>
            <w:pPr>
              <w:jc w:val="center"/>
              <w:outlineLvl w:val="9"/>
              <w:rPr>
                <w:color w:val="auto"/>
                <w:szCs w:val="21"/>
              </w:rPr>
            </w:pPr>
            <w:bookmarkStart w:id="1323" w:name="_Toc31805"/>
            <w:bookmarkStart w:id="1324" w:name="_Toc14072"/>
            <w:bookmarkStart w:id="1325" w:name="_Toc13907"/>
            <w:r>
              <w:rPr>
                <w:color w:val="auto"/>
                <w:szCs w:val="21"/>
              </w:rPr>
              <w:t>占标率/%</w:t>
            </w:r>
            <w:bookmarkEnd w:id="1323"/>
            <w:bookmarkEnd w:id="1324"/>
            <w:bookmarkEnd w:id="1325"/>
          </w:p>
        </w:tc>
        <w:tc>
          <w:tcPr>
            <w:tcW w:w="994" w:type="dxa"/>
            <w:vAlign w:val="center"/>
          </w:tcPr>
          <w:p>
            <w:pPr>
              <w:jc w:val="center"/>
              <w:outlineLvl w:val="9"/>
              <w:rPr>
                <w:color w:val="auto"/>
                <w:szCs w:val="21"/>
              </w:rPr>
            </w:pPr>
            <w:bookmarkStart w:id="1326" w:name="_Toc6751"/>
            <w:bookmarkStart w:id="1327" w:name="_Toc10423"/>
            <w:bookmarkStart w:id="1328" w:name="_Toc23132"/>
            <w:r>
              <w:rPr>
                <w:color w:val="auto"/>
                <w:szCs w:val="21"/>
              </w:rPr>
              <w:t>预测质量浓度/μg/m</w:t>
            </w:r>
            <w:r>
              <w:rPr>
                <w:color w:val="auto"/>
                <w:szCs w:val="21"/>
                <w:vertAlign w:val="superscript"/>
              </w:rPr>
              <w:t>3</w:t>
            </w:r>
            <w:bookmarkEnd w:id="1326"/>
            <w:bookmarkEnd w:id="1327"/>
            <w:bookmarkEnd w:id="1328"/>
          </w:p>
        </w:tc>
        <w:tc>
          <w:tcPr>
            <w:tcW w:w="994" w:type="dxa"/>
            <w:vAlign w:val="center"/>
          </w:tcPr>
          <w:p>
            <w:pPr>
              <w:jc w:val="center"/>
              <w:outlineLvl w:val="9"/>
              <w:rPr>
                <w:color w:val="auto"/>
                <w:szCs w:val="21"/>
              </w:rPr>
            </w:pPr>
            <w:bookmarkStart w:id="1329" w:name="_Toc18666"/>
            <w:bookmarkStart w:id="1330" w:name="_Toc11046"/>
            <w:bookmarkStart w:id="1331" w:name="_Toc6567"/>
            <w:r>
              <w:rPr>
                <w:color w:val="auto"/>
                <w:szCs w:val="21"/>
              </w:rPr>
              <w:t>占标率/%</w:t>
            </w:r>
            <w:bookmarkEnd w:id="1329"/>
            <w:bookmarkEnd w:id="1330"/>
            <w:bookmarkEnd w:id="1331"/>
          </w:p>
        </w:tc>
        <w:tc>
          <w:tcPr>
            <w:tcW w:w="994" w:type="dxa"/>
            <w:vAlign w:val="center"/>
          </w:tcPr>
          <w:p>
            <w:pPr>
              <w:jc w:val="center"/>
              <w:outlineLvl w:val="9"/>
              <w:rPr>
                <w:color w:val="auto"/>
                <w:szCs w:val="21"/>
              </w:rPr>
            </w:pPr>
            <w:bookmarkStart w:id="1332" w:name="_Toc7155"/>
            <w:bookmarkStart w:id="1333" w:name="_Toc577"/>
            <w:bookmarkStart w:id="1334" w:name="_Toc7415"/>
            <w:r>
              <w:rPr>
                <w:color w:val="auto"/>
                <w:szCs w:val="21"/>
              </w:rPr>
              <w:t>预测质量浓度/μg/m</w:t>
            </w:r>
            <w:r>
              <w:rPr>
                <w:color w:val="auto"/>
                <w:szCs w:val="21"/>
                <w:vertAlign w:val="superscript"/>
              </w:rPr>
              <w:t>3</w:t>
            </w:r>
            <w:bookmarkEnd w:id="1332"/>
            <w:bookmarkEnd w:id="1333"/>
            <w:bookmarkEnd w:id="1334"/>
          </w:p>
        </w:tc>
        <w:tc>
          <w:tcPr>
            <w:tcW w:w="996" w:type="dxa"/>
            <w:vAlign w:val="center"/>
          </w:tcPr>
          <w:p>
            <w:pPr>
              <w:jc w:val="center"/>
              <w:outlineLvl w:val="9"/>
              <w:rPr>
                <w:color w:val="auto"/>
                <w:szCs w:val="21"/>
              </w:rPr>
            </w:pPr>
            <w:bookmarkStart w:id="1335" w:name="_Toc22950"/>
            <w:bookmarkStart w:id="1336" w:name="_Toc4717"/>
            <w:bookmarkStart w:id="1337" w:name="_Toc9475"/>
            <w:r>
              <w:rPr>
                <w:color w:val="auto"/>
                <w:szCs w:val="21"/>
              </w:rPr>
              <w:t>占标率/%</w:t>
            </w:r>
            <w:bookmarkEnd w:id="1335"/>
            <w:bookmarkEnd w:id="1336"/>
            <w:bookmarkEnd w:id="1337"/>
          </w:p>
        </w:tc>
        <w:tc>
          <w:tcPr>
            <w:tcW w:w="994" w:type="dxa"/>
            <w:vAlign w:val="center"/>
          </w:tcPr>
          <w:p>
            <w:pPr>
              <w:jc w:val="center"/>
              <w:outlineLvl w:val="9"/>
              <w:rPr>
                <w:color w:val="auto"/>
                <w:szCs w:val="21"/>
              </w:rPr>
            </w:pPr>
            <w:bookmarkStart w:id="1338" w:name="_Toc205"/>
            <w:bookmarkStart w:id="1339" w:name="_Toc20968"/>
            <w:bookmarkStart w:id="1340" w:name="_Toc22170"/>
            <w:r>
              <w:rPr>
                <w:color w:val="auto"/>
                <w:szCs w:val="21"/>
              </w:rPr>
              <w:t>预测质量浓度/μg/m</w:t>
            </w:r>
            <w:r>
              <w:rPr>
                <w:color w:val="auto"/>
                <w:szCs w:val="21"/>
                <w:vertAlign w:val="superscript"/>
              </w:rPr>
              <w:t>3</w:t>
            </w:r>
            <w:bookmarkEnd w:id="1338"/>
            <w:bookmarkEnd w:id="1339"/>
            <w:bookmarkEnd w:id="1340"/>
          </w:p>
        </w:tc>
        <w:tc>
          <w:tcPr>
            <w:tcW w:w="994" w:type="dxa"/>
            <w:tcBorders>
              <w:right w:val="single" w:color="auto" w:sz="4" w:space="0"/>
            </w:tcBorders>
            <w:vAlign w:val="center"/>
          </w:tcPr>
          <w:p>
            <w:pPr>
              <w:jc w:val="center"/>
              <w:outlineLvl w:val="9"/>
              <w:rPr>
                <w:color w:val="auto"/>
                <w:szCs w:val="21"/>
              </w:rPr>
            </w:pPr>
            <w:bookmarkStart w:id="1341" w:name="_Toc9616"/>
            <w:bookmarkStart w:id="1342" w:name="_Toc31473"/>
            <w:bookmarkStart w:id="1343" w:name="_Toc5057"/>
            <w:r>
              <w:rPr>
                <w:color w:val="auto"/>
                <w:szCs w:val="21"/>
              </w:rPr>
              <w:t>占标率/%</w:t>
            </w:r>
            <w:bookmarkEnd w:id="1341"/>
            <w:bookmarkEnd w:id="1342"/>
            <w:bookmarkEnd w:id="134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344" w:name="_Toc7308"/>
            <w:bookmarkStart w:id="1345" w:name="_Toc2726"/>
            <w:bookmarkStart w:id="1346" w:name="_Toc19627"/>
            <w:r>
              <w:rPr>
                <w:rFonts w:hint="eastAsia"/>
                <w:color w:val="auto"/>
                <w:szCs w:val="21"/>
              </w:rPr>
              <w:t>1</w:t>
            </w:r>
            <w:bookmarkEnd w:id="1344"/>
            <w:bookmarkEnd w:id="1345"/>
            <w:bookmarkEnd w:id="1346"/>
          </w:p>
        </w:tc>
        <w:tc>
          <w:tcPr>
            <w:tcW w:w="994" w:type="dxa"/>
            <w:vAlign w:val="center"/>
          </w:tcPr>
          <w:p>
            <w:pPr>
              <w:jc w:val="center"/>
              <w:outlineLvl w:val="9"/>
              <w:rPr>
                <w:color w:val="auto"/>
                <w:szCs w:val="21"/>
              </w:rPr>
            </w:pPr>
            <w:bookmarkStart w:id="1347" w:name="_Toc11760"/>
            <w:bookmarkStart w:id="1348" w:name="_Toc10044"/>
            <w:bookmarkStart w:id="1349" w:name="_Toc27798"/>
            <w:r>
              <w:rPr>
                <w:rFonts w:hint="eastAsia"/>
                <w:color w:val="auto"/>
              </w:rPr>
              <w:t>1.47E-04</w:t>
            </w:r>
            <w:bookmarkEnd w:id="1347"/>
            <w:bookmarkEnd w:id="1348"/>
            <w:bookmarkEnd w:id="1349"/>
          </w:p>
        </w:tc>
        <w:tc>
          <w:tcPr>
            <w:tcW w:w="994" w:type="dxa"/>
            <w:vAlign w:val="center"/>
          </w:tcPr>
          <w:p>
            <w:pPr>
              <w:jc w:val="center"/>
              <w:outlineLvl w:val="9"/>
              <w:rPr>
                <w:color w:val="auto"/>
                <w:szCs w:val="21"/>
              </w:rPr>
            </w:pPr>
            <w:bookmarkStart w:id="1350" w:name="_Toc31972"/>
            <w:bookmarkStart w:id="1351" w:name="_Toc13093"/>
            <w:bookmarkStart w:id="1352" w:name="_Toc14272"/>
            <w:r>
              <w:rPr>
                <w:rFonts w:hint="eastAsia"/>
                <w:color w:val="auto"/>
              </w:rPr>
              <w:t>0.00</w:t>
            </w:r>
            <w:bookmarkEnd w:id="1350"/>
            <w:bookmarkEnd w:id="1351"/>
            <w:bookmarkEnd w:id="1352"/>
          </w:p>
        </w:tc>
        <w:tc>
          <w:tcPr>
            <w:tcW w:w="994" w:type="dxa"/>
            <w:vAlign w:val="center"/>
          </w:tcPr>
          <w:p>
            <w:pPr>
              <w:jc w:val="center"/>
              <w:outlineLvl w:val="9"/>
              <w:rPr>
                <w:color w:val="auto"/>
              </w:rPr>
            </w:pPr>
            <w:bookmarkStart w:id="1353" w:name="_Toc19367"/>
            <w:bookmarkStart w:id="1354" w:name="_Toc14138"/>
            <w:bookmarkStart w:id="1355" w:name="_Toc25151"/>
            <w:r>
              <w:rPr>
                <w:rFonts w:hint="eastAsia"/>
                <w:color w:val="auto"/>
              </w:rPr>
              <w:t>1.23E-08</w:t>
            </w:r>
            <w:bookmarkEnd w:id="1353"/>
            <w:bookmarkEnd w:id="1354"/>
            <w:bookmarkEnd w:id="1355"/>
          </w:p>
        </w:tc>
        <w:tc>
          <w:tcPr>
            <w:tcW w:w="994" w:type="dxa"/>
            <w:vAlign w:val="center"/>
          </w:tcPr>
          <w:p>
            <w:pPr>
              <w:jc w:val="center"/>
              <w:outlineLvl w:val="9"/>
              <w:rPr>
                <w:color w:val="auto"/>
              </w:rPr>
            </w:pPr>
            <w:bookmarkStart w:id="1356" w:name="_Toc7557"/>
            <w:bookmarkStart w:id="1357" w:name="_Toc12459"/>
            <w:bookmarkStart w:id="1358" w:name="_Toc13555"/>
            <w:r>
              <w:rPr>
                <w:rFonts w:hint="eastAsia"/>
                <w:color w:val="auto"/>
              </w:rPr>
              <w:t>0.16</w:t>
            </w:r>
            <w:bookmarkEnd w:id="1356"/>
            <w:bookmarkEnd w:id="1357"/>
            <w:bookmarkEnd w:id="1358"/>
          </w:p>
        </w:tc>
        <w:tc>
          <w:tcPr>
            <w:tcW w:w="994" w:type="dxa"/>
            <w:vAlign w:val="center"/>
          </w:tcPr>
          <w:p>
            <w:pPr>
              <w:jc w:val="center"/>
              <w:outlineLvl w:val="9"/>
              <w:rPr>
                <w:color w:val="auto"/>
              </w:rPr>
            </w:pPr>
            <w:bookmarkStart w:id="1359" w:name="_Toc2106"/>
            <w:bookmarkStart w:id="1360" w:name="_Toc30182"/>
            <w:bookmarkStart w:id="1361" w:name="_Toc31724"/>
            <w:r>
              <w:rPr>
                <w:rFonts w:hint="eastAsia"/>
                <w:color w:val="auto"/>
              </w:rPr>
              <w:t>6.90E-05</w:t>
            </w:r>
            <w:bookmarkEnd w:id="1359"/>
            <w:bookmarkEnd w:id="1360"/>
            <w:bookmarkEnd w:id="1361"/>
          </w:p>
        </w:tc>
        <w:tc>
          <w:tcPr>
            <w:tcW w:w="996" w:type="dxa"/>
            <w:vAlign w:val="center"/>
          </w:tcPr>
          <w:p>
            <w:pPr>
              <w:jc w:val="center"/>
              <w:outlineLvl w:val="9"/>
              <w:rPr>
                <w:color w:val="auto"/>
              </w:rPr>
            </w:pPr>
            <w:bookmarkStart w:id="1362" w:name="_Toc10731"/>
            <w:bookmarkStart w:id="1363" w:name="_Toc21977"/>
            <w:bookmarkStart w:id="1364" w:name="_Toc10628"/>
            <w:r>
              <w:rPr>
                <w:rFonts w:hint="eastAsia"/>
                <w:color w:val="auto"/>
              </w:rPr>
              <w:t>0.03</w:t>
            </w:r>
            <w:bookmarkEnd w:id="1362"/>
            <w:bookmarkEnd w:id="1363"/>
            <w:bookmarkEnd w:id="1364"/>
          </w:p>
        </w:tc>
        <w:tc>
          <w:tcPr>
            <w:tcW w:w="994" w:type="dxa"/>
            <w:vAlign w:val="center"/>
          </w:tcPr>
          <w:p>
            <w:pPr>
              <w:jc w:val="center"/>
              <w:outlineLvl w:val="9"/>
              <w:rPr>
                <w:color w:val="auto"/>
              </w:rPr>
            </w:pPr>
            <w:bookmarkStart w:id="1365" w:name="_Toc6490"/>
            <w:bookmarkStart w:id="1366" w:name="_Toc9300"/>
            <w:bookmarkStart w:id="1367" w:name="_Toc11702"/>
            <w:r>
              <w:rPr>
                <w:rFonts w:hint="eastAsia"/>
                <w:color w:val="auto"/>
              </w:rPr>
              <w:t>2.28E-06</w:t>
            </w:r>
            <w:bookmarkEnd w:id="1365"/>
            <w:bookmarkEnd w:id="1366"/>
            <w:bookmarkEnd w:id="1367"/>
          </w:p>
        </w:tc>
        <w:tc>
          <w:tcPr>
            <w:tcW w:w="994" w:type="dxa"/>
            <w:tcBorders>
              <w:right w:val="single" w:color="auto" w:sz="4" w:space="0"/>
            </w:tcBorders>
            <w:vAlign w:val="center"/>
          </w:tcPr>
          <w:p>
            <w:pPr>
              <w:jc w:val="center"/>
              <w:outlineLvl w:val="9"/>
              <w:rPr>
                <w:color w:val="auto"/>
              </w:rPr>
            </w:pPr>
            <w:bookmarkStart w:id="1368" w:name="_Toc20249"/>
            <w:bookmarkStart w:id="1369" w:name="_Toc27425"/>
            <w:bookmarkStart w:id="1370" w:name="_Toc19780"/>
            <w:r>
              <w:rPr>
                <w:rFonts w:hint="eastAsia"/>
                <w:color w:val="auto"/>
              </w:rPr>
              <w:t>0.00</w:t>
            </w:r>
            <w:bookmarkEnd w:id="1368"/>
            <w:bookmarkEnd w:id="1369"/>
            <w:bookmarkEnd w:id="137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371" w:name="_Toc31065"/>
            <w:bookmarkStart w:id="1372" w:name="_Toc19526"/>
            <w:bookmarkStart w:id="1373" w:name="_Toc16906"/>
            <w:r>
              <w:rPr>
                <w:rFonts w:hint="eastAsia"/>
                <w:color w:val="auto"/>
                <w:szCs w:val="21"/>
              </w:rPr>
              <w:t>21</w:t>
            </w:r>
            <w:bookmarkEnd w:id="1371"/>
            <w:bookmarkEnd w:id="1372"/>
            <w:bookmarkEnd w:id="1373"/>
          </w:p>
        </w:tc>
        <w:tc>
          <w:tcPr>
            <w:tcW w:w="994" w:type="dxa"/>
            <w:vAlign w:val="center"/>
          </w:tcPr>
          <w:p>
            <w:pPr>
              <w:jc w:val="center"/>
              <w:outlineLvl w:val="9"/>
              <w:rPr>
                <w:color w:val="auto"/>
                <w:szCs w:val="21"/>
              </w:rPr>
            </w:pPr>
            <w:bookmarkStart w:id="1374" w:name="_Toc3981"/>
            <w:bookmarkStart w:id="1375" w:name="_Toc22430"/>
            <w:bookmarkStart w:id="1376" w:name="_Toc13631"/>
            <w:r>
              <w:rPr>
                <w:rFonts w:hint="eastAsia"/>
                <w:color w:val="auto"/>
              </w:rPr>
              <w:t>5.33E-02</w:t>
            </w:r>
            <w:bookmarkEnd w:id="1374"/>
            <w:bookmarkEnd w:id="1375"/>
            <w:bookmarkEnd w:id="1376"/>
          </w:p>
        </w:tc>
        <w:tc>
          <w:tcPr>
            <w:tcW w:w="994" w:type="dxa"/>
            <w:vAlign w:val="center"/>
          </w:tcPr>
          <w:p>
            <w:pPr>
              <w:jc w:val="center"/>
              <w:outlineLvl w:val="9"/>
              <w:rPr>
                <w:color w:val="auto"/>
                <w:szCs w:val="21"/>
              </w:rPr>
            </w:pPr>
            <w:bookmarkStart w:id="1377" w:name="_Toc17279"/>
            <w:bookmarkStart w:id="1378" w:name="_Toc32211"/>
            <w:bookmarkStart w:id="1379" w:name="_Toc26563"/>
            <w:r>
              <w:rPr>
                <w:rFonts w:hint="eastAsia"/>
                <w:color w:val="auto"/>
              </w:rPr>
              <w:t>0.01</w:t>
            </w:r>
            <w:bookmarkEnd w:id="1377"/>
            <w:bookmarkEnd w:id="1378"/>
            <w:bookmarkEnd w:id="1379"/>
          </w:p>
        </w:tc>
        <w:tc>
          <w:tcPr>
            <w:tcW w:w="994" w:type="dxa"/>
            <w:vAlign w:val="center"/>
          </w:tcPr>
          <w:p>
            <w:pPr>
              <w:jc w:val="center"/>
              <w:outlineLvl w:val="9"/>
              <w:rPr>
                <w:color w:val="auto"/>
              </w:rPr>
            </w:pPr>
            <w:bookmarkStart w:id="1380" w:name="_Toc4125"/>
            <w:bookmarkStart w:id="1381" w:name="_Toc12816"/>
            <w:bookmarkStart w:id="1382" w:name="_Toc28908"/>
            <w:r>
              <w:rPr>
                <w:rFonts w:hint="eastAsia"/>
                <w:color w:val="auto"/>
              </w:rPr>
              <w:t>4.46E-06</w:t>
            </w:r>
            <w:bookmarkEnd w:id="1380"/>
            <w:bookmarkEnd w:id="1381"/>
            <w:bookmarkEnd w:id="1382"/>
          </w:p>
        </w:tc>
        <w:tc>
          <w:tcPr>
            <w:tcW w:w="994" w:type="dxa"/>
            <w:vAlign w:val="center"/>
          </w:tcPr>
          <w:p>
            <w:pPr>
              <w:jc w:val="center"/>
              <w:outlineLvl w:val="9"/>
              <w:rPr>
                <w:color w:val="auto"/>
              </w:rPr>
            </w:pPr>
            <w:bookmarkStart w:id="1383" w:name="_Toc16334"/>
            <w:bookmarkStart w:id="1384" w:name="_Toc26521"/>
            <w:bookmarkStart w:id="1385" w:name="_Toc27428"/>
            <w:r>
              <w:rPr>
                <w:rFonts w:hint="eastAsia"/>
                <w:color w:val="auto"/>
              </w:rPr>
              <w:t>59.53</w:t>
            </w:r>
            <w:bookmarkEnd w:id="1383"/>
            <w:bookmarkEnd w:id="1384"/>
            <w:bookmarkEnd w:id="1385"/>
          </w:p>
        </w:tc>
        <w:tc>
          <w:tcPr>
            <w:tcW w:w="994" w:type="dxa"/>
            <w:vAlign w:val="center"/>
          </w:tcPr>
          <w:p>
            <w:pPr>
              <w:jc w:val="center"/>
              <w:outlineLvl w:val="9"/>
              <w:rPr>
                <w:color w:val="auto"/>
              </w:rPr>
            </w:pPr>
            <w:bookmarkStart w:id="1386" w:name="_Toc13281"/>
            <w:bookmarkStart w:id="1387" w:name="_Toc17263"/>
            <w:bookmarkStart w:id="1388" w:name="_Toc7102"/>
            <w:r>
              <w:rPr>
                <w:rFonts w:hint="eastAsia"/>
                <w:color w:val="auto"/>
              </w:rPr>
              <w:t>2.51E-02</w:t>
            </w:r>
            <w:bookmarkEnd w:id="1386"/>
            <w:bookmarkEnd w:id="1387"/>
            <w:bookmarkEnd w:id="1388"/>
          </w:p>
        </w:tc>
        <w:tc>
          <w:tcPr>
            <w:tcW w:w="996" w:type="dxa"/>
            <w:vAlign w:val="center"/>
          </w:tcPr>
          <w:p>
            <w:pPr>
              <w:jc w:val="center"/>
              <w:outlineLvl w:val="9"/>
              <w:rPr>
                <w:color w:val="auto"/>
              </w:rPr>
            </w:pPr>
            <w:bookmarkStart w:id="1389" w:name="_Toc6558"/>
            <w:bookmarkStart w:id="1390" w:name="_Toc23981"/>
            <w:bookmarkStart w:id="1391" w:name="_Toc14277"/>
            <w:r>
              <w:rPr>
                <w:rFonts w:hint="eastAsia"/>
                <w:color w:val="auto"/>
              </w:rPr>
              <w:t>12.53</w:t>
            </w:r>
            <w:bookmarkEnd w:id="1389"/>
            <w:bookmarkEnd w:id="1390"/>
            <w:bookmarkEnd w:id="1391"/>
          </w:p>
        </w:tc>
        <w:tc>
          <w:tcPr>
            <w:tcW w:w="994" w:type="dxa"/>
            <w:vAlign w:val="center"/>
          </w:tcPr>
          <w:p>
            <w:pPr>
              <w:jc w:val="center"/>
              <w:outlineLvl w:val="9"/>
              <w:rPr>
                <w:color w:val="auto"/>
              </w:rPr>
            </w:pPr>
            <w:bookmarkStart w:id="1392" w:name="_Toc18702"/>
            <w:bookmarkStart w:id="1393" w:name="_Toc22075"/>
            <w:bookmarkStart w:id="1394" w:name="_Toc26697"/>
            <w:r>
              <w:rPr>
                <w:rFonts w:hint="eastAsia"/>
                <w:color w:val="auto"/>
              </w:rPr>
              <w:t>4.94E-01</w:t>
            </w:r>
            <w:bookmarkEnd w:id="1392"/>
            <w:bookmarkEnd w:id="1393"/>
            <w:bookmarkEnd w:id="1394"/>
          </w:p>
        </w:tc>
        <w:tc>
          <w:tcPr>
            <w:tcW w:w="994" w:type="dxa"/>
            <w:tcBorders>
              <w:right w:val="single" w:color="auto" w:sz="4" w:space="0"/>
            </w:tcBorders>
            <w:vAlign w:val="center"/>
          </w:tcPr>
          <w:p>
            <w:pPr>
              <w:jc w:val="center"/>
              <w:outlineLvl w:val="9"/>
              <w:rPr>
                <w:color w:val="auto"/>
              </w:rPr>
            </w:pPr>
            <w:bookmarkStart w:id="1395" w:name="_Toc3938"/>
            <w:bookmarkStart w:id="1396" w:name="_Toc27469"/>
            <w:bookmarkStart w:id="1397" w:name="_Toc27043"/>
            <w:r>
              <w:rPr>
                <w:rFonts w:hint="eastAsia"/>
                <w:color w:val="auto"/>
              </w:rPr>
              <w:t>0.05</w:t>
            </w:r>
            <w:bookmarkEnd w:id="1395"/>
            <w:bookmarkEnd w:id="1396"/>
            <w:bookmarkEnd w:id="139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398" w:name="_Toc8646"/>
            <w:bookmarkStart w:id="1399" w:name="_Toc11554"/>
            <w:bookmarkStart w:id="1400" w:name="_Toc12582"/>
            <w:r>
              <w:rPr>
                <w:color w:val="auto"/>
                <w:szCs w:val="21"/>
              </w:rPr>
              <w:t>50</w:t>
            </w:r>
            <w:bookmarkEnd w:id="1398"/>
            <w:bookmarkEnd w:id="1399"/>
            <w:bookmarkEnd w:id="1400"/>
          </w:p>
        </w:tc>
        <w:tc>
          <w:tcPr>
            <w:tcW w:w="994" w:type="dxa"/>
            <w:vAlign w:val="center"/>
          </w:tcPr>
          <w:p>
            <w:pPr>
              <w:jc w:val="center"/>
              <w:outlineLvl w:val="9"/>
              <w:rPr>
                <w:color w:val="auto"/>
                <w:szCs w:val="21"/>
              </w:rPr>
            </w:pPr>
            <w:bookmarkStart w:id="1401" w:name="_Toc32562"/>
            <w:bookmarkStart w:id="1402" w:name="_Toc32449"/>
            <w:bookmarkStart w:id="1403" w:name="_Toc4935"/>
            <w:r>
              <w:rPr>
                <w:rFonts w:hint="eastAsia"/>
                <w:color w:val="auto"/>
              </w:rPr>
              <w:t>6.49E-02</w:t>
            </w:r>
            <w:bookmarkEnd w:id="1401"/>
            <w:bookmarkEnd w:id="1402"/>
            <w:bookmarkEnd w:id="1403"/>
          </w:p>
        </w:tc>
        <w:tc>
          <w:tcPr>
            <w:tcW w:w="994" w:type="dxa"/>
            <w:vAlign w:val="center"/>
          </w:tcPr>
          <w:p>
            <w:pPr>
              <w:jc w:val="center"/>
              <w:outlineLvl w:val="9"/>
              <w:rPr>
                <w:color w:val="auto"/>
                <w:szCs w:val="21"/>
              </w:rPr>
            </w:pPr>
            <w:bookmarkStart w:id="1404" w:name="_Toc581"/>
            <w:bookmarkStart w:id="1405" w:name="_Toc6597"/>
            <w:bookmarkStart w:id="1406" w:name="_Toc23672"/>
            <w:r>
              <w:rPr>
                <w:rFonts w:hint="eastAsia"/>
                <w:color w:val="auto"/>
              </w:rPr>
              <w:t>0.01</w:t>
            </w:r>
            <w:bookmarkEnd w:id="1404"/>
            <w:bookmarkEnd w:id="1405"/>
            <w:bookmarkEnd w:id="1406"/>
          </w:p>
        </w:tc>
        <w:tc>
          <w:tcPr>
            <w:tcW w:w="994" w:type="dxa"/>
            <w:vAlign w:val="center"/>
          </w:tcPr>
          <w:p>
            <w:pPr>
              <w:jc w:val="center"/>
              <w:outlineLvl w:val="9"/>
              <w:rPr>
                <w:color w:val="auto"/>
              </w:rPr>
            </w:pPr>
            <w:bookmarkStart w:id="1407" w:name="_Toc20854"/>
            <w:bookmarkStart w:id="1408" w:name="_Toc26260"/>
            <w:bookmarkStart w:id="1409" w:name="_Toc25483"/>
            <w:r>
              <w:rPr>
                <w:rFonts w:hint="eastAsia"/>
                <w:color w:val="auto"/>
              </w:rPr>
              <w:t>5.43E-06</w:t>
            </w:r>
            <w:bookmarkEnd w:id="1407"/>
            <w:bookmarkEnd w:id="1408"/>
            <w:bookmarkEnd w:id="1409"/>
          </w:p>
        </w:tc>
        <w:tc>
          <w:tcPr>
            <w:tcW w:w="994" w:type="dxa"/>
            <w:vAlign w:val="center"/>
          </w:tcPr>
          <w:p>
            <w:pPr>
              <w:jc w:val="center"/>
              <w:outlineLvl w:val="9"/>
              <w:rPr>
                <w:color w:val="auto"/>
              </w:rPr>
            </w:pPr>
            <w:bookmarkStart w:id="1410" w:name="_Toc4979"/>
            <w:bookmarkStart w:id="1411" w:name="_Toc10011"/>
            <w:bookmarkStart w:id="1412" w:name="_Toc2743"/>
            <w:r>
              <w:rPr>
                <w:rFonts w:hint="eastAsia"/>
                <w:color w:val="auto"/>
              </w:rPr>
              <w:t>72.42</w:t>
            </w:r>
            <w:bookmarkEnd w:id="1410"/>
            <w:bookmarkEnd w:id="1411"/>
            <w:bookmarkEnd w:id="1412"/>
          </w:p>
        </w:tc>
        <w:tc>
          <w:tcPr>
            <w:tcW w:w="994" w:type="dxa"/>
            <w:vAlign w:val="center"/>
          </w:tcPr>
          <w:p>
            <w:pPr>
              <w:jc w:val="center"/>
              <w:outlineLvl w:val="9"/>
              <w:rPr>
                <w:color w:val="auto"/>
              </w:rPr>
            </w:pPr>
            <w:bookmarkStart w:id="1413" w:name="_Toc9455"/>
            <w:bookmarkStart w:id="1414" w:name="_Toc14130"/>
            <w:bookmarkStart w:id="1415" w:name="_Toc18667"/>
            <w:r>
              <w:rPr>
                <w:rFonts w:hint="eastAsia"/>
                <w:color w:val="auto"/>
              </w:rPr>
              <w:t>3.05E-02</w:t>
            </w:r>
            <w:bookmarkEnd w:id="1413"/>
            <w:bookmarkEnd w:id="1414"/>
            <w:bookmarkEnd w:id="1415"/>
          </w:p>
        </w:tc>
        <w:tc>
          <w:tcPr>
            <w:tcW w:w="996" w:type="dxa"/>
            <w:vAlign w:val="center"/>
          </w:tcPr>
          <w:p>
            <w:pPr>
              <w:jc w:val="center"/>
              <w:outlineLvl w:val="9"/>
              <w:rPr>
                <w:color w:val="auto"/>
              </w:rPr>
            </w:pPr>
            <w:bookmarkStart w:id="1416" w:name="_Toc29974"/>
            <w:bookmarkStart w:id="1417" w:name="_Toc32325"/>
            <w:bookmarkStart w:id="1418" w:name="_Toc31524"/>
            <w:r>
              <w:rPr>
                <w:rFonts w:hint="eastAsia"/>
                <w:color w:val="auto"/>
              </w:rPr>
              <w:t>15.24</w:t>
            </w:r>
            <w:bookmarkEnd w:id="1416"/>
            <w:bookmarkEnd w:id="1417"/>
            <w:bookmarkEnd w:id="1418"/>
          </w:p>
        </w:tc>
        <w:tc>
          <w:tcPr>
            <w:tcW w:w="994" w:type="dxa"/>
            <w:vAlign w:val="center"/>
          </w:tcPr>
          <w:p>
            <w:pPr>
              <w:jc w:val="center"/>
              <w:outlineLvl w:val="9"/>
              <w:rPr>
                <w:color w:val="auto"/>
              </w:rPr>
            </w:pPr>
            <w:bookmarkStart w:id="1419" w:name="_Toc30315"/>
            <w:bookmarkStart w:id="1420" w:name="_Toc948"/>
            <w:bookmarkStart w:id="1421" w:name="_Toc8124"/>
            <w:r>
              <w:rPr>
                <w:rFonts w:hint="eastAsia"/>
                <w:color w:val="auto"/>
              </w:rPr>
              <w:t>4.72E-01</w:t>
            </w:r>
            <w:bookmarkEnd w:id="1419"/>
            <w:bookmarkEnd w:id="1420"/>
            <w:bookmarkEnd w:id="1421"/>
          </w:p>
        </w:tc>
        <w:tc>
          <w:tcPr>
            <w:tcW w:w="994" w:type="dxa"/>
            <w:tcBorders>
              <w:right w:val="single" w:color="auto" w:sz="4" w:space="0"/>
            </w:tcBorders>
            <w:vAlign w:val="center"/>
          </w:tcPr>
          <w:p>
            <w:pPr>
              <w:jc w:val="center"/>
              <w:outlineLvl w:val="9"/>
              <w:rPr>
                <w:color w:val="auto"/>
              </w:rPr>
            </w:pPr>
            <w:bookmarkStart w:id="1422" w:name="_Toc24931"/>
            <w:bookmarkStart w:id="1423" w:name="_Toc9917"/>
            <w:bookmarkStart w:id="1424" w:name="_Toc29275"/>
            <w:r>
              <w:rPr>
                <w:rFonts w:hint="eastAsia"/>
                <w:color w:val="auto"/>
              </w:rPr>
              <w:t>0.05</w:t>
            </w:r>
            <w:bookmarkEnd w:id="1422"/>
            <w:bookmarkEnd w:id="1423"/>
            <w:bookmarkEnd w:id="142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425" w:name="_Toc13329"/>
            <w:bookmarkStart w:id="1426" w:name="_Toc17554"/>
            <w:bookmarkStart w:id="1427" w:name="_Toc2669"/>
            <w:r>
              <w:rPr>
                <w:rFonts w:hint="eastAsia"/>
                <w:color w:val="auto"/>
                <w:szCs w:val="21"/>
              </w:rPr>
              <w:t>67</w:t>
            </w:r>
            <w:bookmarkEnd w:id="1425"/>
            <w:bookmarkEnd w:id="1426"/>
            <w:bookmarkEnd w:id="1427"/>
          </w:p>
        </w:tc>
        <w:tc>
          <w:tcPr>
            <w:tcW w:w="994" w:type="dxa"/>
            <w:vAlign w:val="center"/>
          </w:tcPr>
          <w:p>
            <w:pPr>
              <w:jc w:val="center"/>
              <w:outlineLvl w:val="9"/>
              <w:rPr>
                <w:color w:val="auto"/>
              </w:rPr>
            </w:pPr>
            <w:bookmarkStart w:id="1428" w:name="_Toc25344"/>
            <w:bookmarkStart w:id="1429" w:name="_Toc15233"/>
            <w:bookmarkStart w:id="1430" w:name="_Toc5056"/>
            <w:r>
              <w:rPr>
                <w:rFonts w:hint="eastAsia"/>
                <w:color w:val="auto"/>
              </w:rPr>
              <w:t>6.01E-02</w:t>
            </w:r>
            <w:bookmarkEnd w:id="1428"/>
            <w:bookmarkEnd w:id="1429"/>
            <w:bookmarkEnd w:id="1430"/>
          </w:p>
        </w:tc>
        <w:tc>
          <w:tcPr>
            <w:tcW w:w="994" w:type="dxa"/>
            <w:vAlign w:val="center"/>
          </w:tcPr>
          <w:p>
            <w:pPr>
              <w:jc w:val="center"/>
              <w:outlineLvl w:val="9"/>
              <w:rPr>
                <w:color w:val="auto"/>
              </w:rPr>
            </w:pPr>
            <w:bookmarkStart w:id="1431" w:name="_Toc22432"/>
            <w:bookmarkStart w:id="1432" w:name="_Toc13239"/>
            <w:bookmarkStart w:id="1433" w:name="_Toc9629"/>
            <w:r>
              <w:rPr>
                <w:rFonts w:hint="eastAsia"/>
                <w:color w:val="auto"/>
              </w:rPr>
              <w:t>0.01</w:t>
            </w:r>
            <w:bookmarkEnd w:id="1431"/>
            <w:bookmarkEnd w:id="1432"/>
            <w:bookmarkEnd w:id="1433"/>
          </w:p>
        </w:tc>
        <w:tc>
          <w:tcPr>
            <w:tcW w:w="994" w:type="dxa"/>
            <w:vAlign w:val="center"/>
          </w:tcPr>
          <w:p>
            <w:pPr>
              <w:jc w:val="center"/>
              <w:outlineLvl w:val="9"/>
              <w:rPr>
                <w:color w:val="auto"/>
              </w:rPr>
            </w:pPr>
            <w:bookmarkStart w:id="1434" w:name="_Toc29620"/>
            <w:bookmarkStart w:id="1435" w:name="_Toc8938"/>
            <w:bookmarkStart w:id="1436" w:name="_Toc1085"/>
            <w:r>
              <w:rPr>
                <w:rFonts w:hint="eastAsia"/>
                <w:color w:val="auto"/>
              </w:rPr>
              <w:t>5.03E-06</w:t>
            </w:r>
            <w:bookmarkEnd w:id="1434"/>
            <w:bookmarkEnd w:id="1435"/>
            <w:bookmarkEnd w:id="1436"/>
          </w:p>
        </w:tc>
        <w:tc>
          <w:tcPr>
            <w:tcW w:w="994" w:type="dxa"/>
            <w:vAlign w:val="center"/>
          </w:tcPr>
          <w:p>
            <w:pPr>
              <w:jc w:val="center"/>
              <w:outlineLvl w:val="9"/>
              <w:rPr>
                <w:color w:val="auto"/>
              </w:rPr>
            </w:pPr>
            <w:bookmarkStart w:id="1437" w:name="_Toc5847"/>
            <w:bookmarkStart w:id="1438" w:name="_Toc32061"/>
            <w:bookmarkStart w:id="1439" w:name="_Toc13976"/>
            <w:r>
              <w:rPr>
                <w:rFonts w:hint="eastAsia"/>
                <w:color w:val="auto"/>
              </w:rPr>
              <w:t>67.06</w:t>
            </w:r>
            <w:bookmarkEnd w:id="1437"/>
            <w:bookmarkEnd w:id="1438"/>
            <w:bookmarkEnd w:id="1439"/>
          </w:p>
        </w:tc>
        <w:tc>
          <w:tcPr>
            <w:tcW w:w="994" w:type="dxa"/>
            <w:vAlign w:val="center"/>
          </w:tcPr>
          <w:p>
            <w:pPr>
              <w:jc w:val="center"/>
              <w:outlineLvl w:val="9"/>
              <w:rPr>
                <w:color w:val="auto"/>
              </w:rPr>
            </w:pPr>
            <w:bookmarkStart w:id="1440" w:name="_Toc21151"/>
            <w:bookmarkStart w:id="1441" w:name="_Toc21550"/>
            <w:bookmarkStart w:id="1442" w:name="_Toc11555"/>
            <w:r>
              <w:rPr>
                <w:rFonts w:hint="eastAsia"/>
                <w:color w:val="auto"/>
              </w:rPr>
              <w:t>2.82E-02</w:t>
            </w:r>
            <w:bookmarkEnd w:id="1440"/>
            <w:bookmarkEnd w:id="1441"/>
            <w:bookmarkEnd w:id="1442"/>
          </w:p>
        </w:tc>
        <w:tc>
          <w:tcPr>
            <w:tcW w:w="996" w:type="dxa"/>
            <w:vAlign w:val="center"/>
          </w:tcPr>
          <w:p>
            <w:pPr>
              <w:jc w:val="center"/>
              <w:outlineLvl w:val="9"/>
              <w:rPr>
                <w:color w:val="auto"/>
              </w:rPr>
            </w:pPr>
            <w:bookmarkStart w:id="1443" w:name="_Toc13139"/>
            <w:bookmarkStart w:id="1444" w:name="_Toc6808"/>
            <w:bookmarkStart w:id="1445" w:name="_Toc15397"/>
            <w:r>
              <w:rPr>
                <w:rFonts w:hint="eastAsia"/>
                <w:color w:val="auto"/>
              </w:rPr>
              <w:t>14.11</w:t>
            </w:r>
            <w:bookmarkEnd w:id="1443"/>
            <w:bookmarkEnd w:id="1444"/>
            <w:bookmarkEnd w:id="1445"/>
          </w:p>
        </w:tc>
        <w:tc>
          <w:tcPr>
            <w:tcW w:w="994" w:type="dxa"/>
            <w:vAlign w:val="center"/>
          </w:tcPr>
          <w:p>
            <w:pPr>
              <w:jc w:val="center"/>
              <w:outlineLvl w:val="9"/>
              <w:rPr>
                <w:color w:val="auto"/>
              </w:rPr>
            </w:pPr>
            <w:bookmarkStart w:id="1446" w:name="_Toc19140"/>
            <w:bookmarkStart w:id="1447" w:name="_Toc26121"/>
            <w:bookmarkStart w:id="1448" w:name="_Toc11513"/>
            <w:r>
              <w:rPr>
                <w:rFonts w:hint="eastAsia"/>
                <w:color w:val="auto"/>
              </w:rPr>
              <w:t>2.76E-01</w:t>
            </w:r>
            <w:bookmarkEnd w:id="1446"/>
            <w:bookmarkEnd w:id="1447"/>
            <w:bookmarkEnd w:id="1448"/>
          </w:p>
        </w:tc>
        <w:tc>
          <w:tcPr>
            <w:tcW w:w="994" w:type="dxa"/>
            <w:tcBorders>
              <w:right w:val="single" w:color="auto" w:sz="4" w:space="0"/>
            </w:tcBorders>
            <w:vAlign w:val="center"/>
          </w:tcPr>
          <w:p>
            <w:pPr>
              <w:jc w:val="center"/>
              <w:outlineLvl w:val="9"/>
              <w:rPr>
                <w:color w:val="auto"/>
              </w:rPr>
            </w:pPr>
            <w:bookmarkStart w:id="1449" w:name="_Toc9492"/>
            <w:bookmarkStart w:id="1450" w:name="_Toc16553"/>
            <w:bookmarkStart w:id="1451" w:name="_Toc5942"/>
            <w:r>
              <w:rPr>
                <w:rFonts w:hint="eastAsia"/>
                <w:color w:val="auto"/>
              </w:rPr>
              <w:t>0.03</w:t>
            </w:r>
            <w:bookmarkEnd w:id="1449"/>
            <w:bookmarkEnd w:id="1450"/>
            <w:bookmarkEnd w:id="1451"/>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452" w:name="_Toc14993"/>
            <w:bookmarkStart w:id="1453" w:name="_Toc12208"/>
            <w:bookmarkStart w:id="1454" w:name="_Toc12430"/>
            <w:r>
              <w:rPr>
                <w:color w:val="auto"/>
                <w:szCs w:val="21"/>
              </w:rPr>
              <w:t>75</w:t>
            </w:r>
            <w:bookmarkEnd w:id="1452"/>
            <w:bookmarkEnd w:id="1453"/>
            <w:bookmarkEnd w:id="1454"/>
          </w:p>
        </w:tc>
        <w:tc>
          <w:tcPr>
            <w:tcW w:w="994" w:type="dxa"/>
            <w:vAlign w:val="center"/>
          </w:tcPr>
          <w:p>
            <w:pPr>
              <w:jc w:val="center"/>
              <w:outlineLvl w:val="9"/>
              <w:rPr>
                <w:color w:val="auto"/>
                <w:szCs w:val="21"/>
              </w:rPr>
            </w:pPr>
            <w:bookmarkStart w:id="1455" w:name="_Toc1188"/>
            <w:bookmarkStart w:id="1456" w:name="_Toc8588"/>
            <w:bookmarkStart w:id="1457" w:name="_Toc2541"/>
            <w:r>
              <w:rPr>
                <w:rFonts w:hint="eastAsia"/>
                <w:color w:val="auto"/>
              </w:rPr>
              <w:t>7.72E-02</w:t>
            </w:r>
            <w:bookmarkEnd w:id="1455"/>
            <w:bookmarkEnd w:id="1456"/>
            <w:bookmarkEnd w:id="1457"/>
          </w:p>
        </w:tc>
        <w:tc>
          <w:tcPr>
            <w:tcW w:w="994" w:type="dxa"/>
            <w:vAlign w:val="center"/>
          </w:tcPr>
          <w:p>
            <w:pPr>
              <w:jc w:val="center"/>
              <w:outlineLvl w:val="9"/>
              <w:rPr>
                <w:color w:val="auto"/>
                <w:szCs w:val="21"/>
              </w:rPr>
            </w:pPr>
            <w:bookmarkStart w:id="1458" w:name="_Toc17627"/>
            <w:bookmarkStart w:id="1459" w:name="_Toc22632"/>
            <w:bookmarkStart w:id="1460" w:name="_Toc8986"/>
            <w:r>
              <w:rPr>
                <w:rFonts w:hint="eastAsia"/>
                <w:color w:val="auto"/>
              </w:rPr>
              <w:t>0.01</w:t>
            </w:r>
            <w:bookmarkEnd w:id="1458"/>
            <w:bookmarkEnd w:id="1459"/>
            <w:bookmarkEnd w:id="1460"/>
          </w:p>
        </w:tc>
        <w:tc>
          <w:tcPr>
            <w:tcW w:w="994" w:type="dxa"/>
            <w:vAlign w:val="center"/>
          </w:tcPr>
          <w:p>
            <w:pPr>
              <w:jc w:val="center"/>
              <w:outlineLvl w:val="9"/>
              <w:rPr>
                <w:color w:val="auto"/>
              </w:rPr>
            </w:pPr>
            <w:bookmarkStart w:id="1461" w:name="_Toc20381"/>
            <w:bookmarkStart w:id="1462" w:name="_Toc9588"/>
            <w:bookmarkStart w:id="1463" w:name="_Toc5015"/>
            <w:r>
              <w:rPr>
                <w:rFonts w:hint="eastAsia"/>
                <w:color w:val="auto"/>
              </w:rPr>
              <w:t>6.46E-06</w:t>
            </w:r>
            <w:bookmarkEnd w:id="1461"/>
            <w:bookmarkEnd w:id="1462"/>
            <w:bookmarkEnd w:id="1463"/>
          </w:p>
        </w:tc>
        <w:tc>
          <w:tcPr>
            <w:tcW w:w="994" w:type="dxa"/>
            <w:vAlign w:val="center"/>
          </w:tcPr>
          <w:p>
            <w:pPr>
              <w:jc w:val="center"/>
              <w:outlineLvl w:val="9"/>
              <w:rPr>
                <w:color w:val="auto"/>
              </w:rPr>
            </w:pPr>
            <w:bookmarkStart w:id="1464" w:name="_Toc2727"/>
            <w:bookmarkStart w:id="1465" w:name="_Toc6450"/>
            <w:bookmarkStart w:id="1466" w:name="_Toc9254"/>
            <w:r>
              <w:rPr>
                <w:rFonts w:hint="eastAsia"/>
                <w:color w:val="auto"/>
              </w:rPr>
              <w:t>86.19</w:t>
            </w:r>
            <w:bookmarkEnd w:id="1464"/>
            <w:bookmarkEnd w:id="1465"/>
            <w:bookmarkEnd w:id="1466"/>
          </w:p>
        </w:tc>
        <w:tc>
          <w:tcPr>
            <w:tcW w:w="994" w:type="dxa"/>
            <w:vAlign w:val="center"/>
          </w:tcPr>
          <w:p>
            <w:pPr>
              <w:jc w:val="center"/>
              <w:outlineLvl w:val="9"/>
              <w:rPr>
                <w:color w:val="auto"/>
              </w:rPr>
            </w:pPr>
            <w:bookmarkStart w:id="1467" w:name="_Toc8092"/>
            <w:bookmarkStart w:id="1468" w:name="_Toc24011"/>
            <w:bookmarkStart w:id="1469" w:name="_Toc31233"/>
            <w:r>
              <w:rPr>
                <w:rFonts w:hint="eastAsia"/>
                <w:color w:val="auto"/>
              </w:rPr>
              <w:t>3.63E-02</w:t>
            </w:r>
            <w:bookmarkEnd w:id="1467"/>
            <w:bookmarkEnd w:id="1468"/>
            <w:bookmarkEnd w:id="1469"/>
          </w:p>
        </w:tc>
        <w:tc>
          <w:tcPr>
            <w:tcW w:w="996" w:type="dxa"/>
            <w:vAlign w:val="center"/>
          </w:tcPr>
          <w:p>
            <w:pPr>
              <w:jc w:val="center"/>
              <w:outlineLvl w:val="9"/>
              <w:rPr>
                <w:color w:val="auto"/>
              </w:rPr>
            </w:pPr>
            <w:bookmarkStart w:id="1470" w:name="_Toc6409"/>
            <w:bookmarkStart w:id="1471" w:name="_Toc21772"/>
            <w:bookmarkStart w:id="1472" w:name="_Toc20641"/>
            <w:r>
              <w:rPr>
                <w:rFonts w:hint="eastAsia"/>
                <w:color w:val="auto"/>
              </w:rPr>
              <w:t>18.14</w:t>
            </w:r>
            <w:bookmarkEnd w:id="1470"/>
            <w:bookmarkEnd w:id="1471"/>
            <w:bookmarkEnd w:id="1472"/>
          </w:p>
        </w:tc>
        <w:tc>
          <w:tcPr>
            <w:tcW w:w="994" w:type="dxa"/>
            <w:vAlign w:val="center"/>
          </w:tcPr>
          <w:p>
            <w:pPr>
              <w:jc w:val="center"/>
              <w:outlineLvl w:val="9"/>
              <w:rPr>
                <w:color w:val="auto"/>
              </w:rPr>
            </w:pPr>
            <w:bookmarkStart w:id="1473" w:name="_Toc22235"/>
            <w:bookmarkStart w:id="1474" w:name="_Toc25836"/>
            <w:bookmarkStart w:id="1475" w:name="_Toc4856"/>
            <w:r>
              <w:rPr>
                <w:rFonts w:hint="eastAsia"/>
                <w:color w:val="auto"/>
              </w:rPr>
              <w:t>2.04E-01</w:t>
            </w:r>
            <w:bookmarkEnd w:id="1473"/>
            <w:bookmarkEnd w:id="1474"/>
            <w:bookmarkEnd w:id="1475"/>
          </w:p>
        </w:tc>
        <w:tc>
          <w:tcPr>
            <w:tcW w:w="994" w:type="dxa"/>
            <w:tcBorders>
              <w:right w:val="single" w:color="auto" w:sz="4" w:space="0"/>
            </w:tcBorders>
            <w:vAlign w:val="center"/>
          </w:tcPr>
          <w:p>
            <w:pPr>
              <w:jc w:val="center"/>
              <w:outlineLvl w:val="9"/>
              <w:rPr>
                <w:color w:val="auto"/>
              </w:rPr>
            </w:pPr>
            <w:bookmarkStart w:id="1476" w:name="_Toc15692"/>
            <w:bookmarkStart w:id="1477" w:name="_Toc9517"/>
            <w:bookmarkStart w:id="1478" w:name="_Toc5783"/>
            <w:r>
              <w:rPr>
                <w:rFonts w:hint="eastAsia"/>
                <w:color w:val="auto"/>
              </w:rPr>
              <w:t>0.02</w:t>
            </w:r>
            <w:bookmarkEnd w:id="1476"/>
            <w:bookmarkEnd w:id="1477"/>
            <w:bookmarkEnd w:id="147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479" w:name="_Toc8543"/>
            <w:bookmarkStart w:id="1480" w:name="_Toc5779"/>
            <w:bookmarkStart w:id="1481" w:name="_Toc19962"/>
            <w:r>
              <w:rPr>
                <w:rFonts w:hint="eastAsia"/>
                <w:color w:val="auto"/>
                <w:szCs w:val="21"/>
              </w:rPr>
              <w:t>89</w:t>
            </w:r>
            <w:bookmarkEnd w:id="1479"/>
            <w:bookmarkEnd w:id="1480"/>
            <w:bookmarkEnd w:id="1481"/>
          </w:p>
        </w:tc>
        <w:tc>
          <w:tcPr>
            <w:tcW w:w="994" w:type="dxa"/>
            <w:vAlign w:val="center"/>
          </w:tcPr>
          <w:p>
            <w:pPr>
              <w:jc w:val="center"/>
              <w:outlineLvl w:val="9"/>
              <w:rPr>
                <w:color w:val="auto"/>
                <w:szCs w:val="21"/>
              </w:rPr>
            </w:pPr>
            <w:bookmarkStart w:id="1482" w:name="_Toc28484"/>
            <w:bookmarkStart w:id="1483" w:name="_Toc24066"/>
            <w:bookmarkStart w:id="1484" w:name="_Toc23930"/>
            <w:r>
              <w:rPr>
                <w:rFonts w:hint="eastAsia"/>
                <w:color w:val="auto"/>
              </w:rPr>
              <w:t>8.17E-02</w:t>
            </w:r>
            <w:bookmarkEnd w:id="1482"/>
            <w:bookmarkEnd w:id="1483"/>
            <w:bookmarkEnd w:id="1484"/>
          </w:p>
        </w:tc>
        <w:tc>
          <w:tcPr>
            <w:tcW w:w="994" w:type="dxa"/>
            <w:vAlign w:val="center"/>
          </w:tcPr>
          <w:p>
            <w:pPr>
              <w:jc w:val="center"/>
              <w:outlineLvl w:val="9"/>
              <w:rPr>
                <w:color w:val="auto"/>
                <w:szCs w:val="21"/>
              </w:rPr>
            </w:pPr>
            <w:bookmarkStart w:id="1485" w:name="_Toc431"/>
            <w:bookmarkStart w:id="1486" w:name="_Toc7220"/>
            <w:bookmarkStart w:id="1487" w:name="_Toc12217"/>
            <w:r>
              <w:rPr>
                <w:rFonts w:hint="eastAsia"/>
                <w:color w:val="auto"/>
              </w:rPr>
              <w:t>0.01</w:t>
            </w:r>
            <w:bookmarkEnd w:id="1485"/>
            <w:bookmarkEnd w:id="1486"/>
            <w:bookmarkEnd w:id="1487"/>
          </w:p>
        </w:tc>
        <w:tc>
          <w:tcPr>
            <w:tcW w:w="994" w:type="dxa"/>
            <w:vAlign w:val="center"/>
          </w:tcPr>
          <w:p>
            <w:pPr>
              <w:jc w:val="center"/>
              <w:outlineLvl w:val="9"/>
              <w:rPr>
                <w:color w:val="auto"/>
              </w:rPr>
            </w:pPr>
            <w:bookmarkStart w:id="1488" w:name="_Toc23343"/>
            <w:bookmarkStart w:id="1489" w:name="_Toc482"/>
            <w:bookmarkStart w:id="1490" w:name="_Toc14650"/>
            <w:r>
              <w:rPr>
                <w:rFonts w:hint="eastAsia"/>
                <w:color w:val="auto"/>
              </w:rPr>
              <w:t>6.84E-06</w:t>
            </w:r>
            <w:bookmarkEnd w:id="1488"/>
            <w:bookmarkEnd w:id="1489"/>
            <w:bookmarkEnd w:id="1490"/>
          </w:p>
        </w:tc>
        <w:tc>
          <w:tcPr>
            <w:tcW w:w="994" w:type="dxa"/>
            <w:vAlign w:val="center"/>
          </w:tcPr>
          <w:p>
            <w:pPr>
              <w:jc w:val="center"/>
              <w:outlineLvl w:val="9"/>
              <w:rPr>
                <w:color w:val="auto"/>
              </w:rPr>
            </w:pPr>
            <w:bookmarkStart w:id="1491" w:name="_Toc32646"/>
            <w:bookmarkStart w:id="1492" w:name="_Toc19457"/>
            <w:bookmarkStart w:id="1493" w:name="_Toc27896"/>
            <w:r>
              <w:rPr>
                <w:rFonts w:hint="eastAsia"/>
                <w:color w:val="auto"/>
              </w:rPr>
              <w:t>91.27</w:t>
            </w:r>
            <w:bookmarkEnd w:id="1491"/>
            <w:bookmarkEnd w:id="1492"/>
            <w:bookmarkEnd w:id="1493"/>
          </w:p>
        </w:tc>
        <w:tc>
          <w:tcPr>
            <w:tcW w:w="994" w:type="dxa"/>
            <w:vAlign w:val="center"/>
          </w:tcPr>
          <w:p>
            <w:pPr>
              <w:jc w:val="center"/>
              <w:outlineLvl w:val="9"/>
              <w:rPr>
                <w:color w:val="auto"/>
              </w:rPr>
            </w:pPr>
            <w:bookmarkStart w:id="1494" w:name="_Toc11021"/>
            <w:bookmarkStart w:id="1495" w:name="_Toc10233"/>
            <w:bookmarkStart w:id="1496" w:name="_Toc6636"/>
            <w:r>
              <w:rPr>
                <w:rFonts w:hint="eastAsia"/>
                <w:color w:val="auto"/>
              </w:rPr>
              <w:t>3.84E-02</w:t>
            </w:r>
            <w:bookmarkEnd w:id="1494"/>
            <w:bookmarkEnd w:id="1495"/>
            <w:bookmarkEnd w:id="1496"/>
          </w:p>
        </w:tc>
        <w:tc>
          <w:tcPr>
            <w:tcW w:w="996" w:type="dxa"/>
            <w:vAlign w:val="center"/>
          </w:tcPr>
          <w:p>
            <w:pPr>
              <w:jc w:val="center"/>
              <w:outlineLvl w:val="9"/>
              <w:rPr>
                <w:color w:val="auto"/>
              </w:rPr>
            </w:pPr>
            <w:bookmarkStart w:id="1497" w:name="_Toc591"/>
            <w:bookmarkStart w:id="1498" w:name="_Toc18100"/>
            <w:bookmarkStart w:id="1499" w:name="_Toc17926"/>
            <w:r>
              <w:rPr>
                <w:rFonts w:hint="eastAsia"/>
                <w:color w:val="auto"/>
              </w:rPr>
              <w:t>19.21</w:t>
            </w:r>
            <w:bookmarkEnd w:id="1497"/>
            <w:bookmarkEnd w:id="1498"/>
            <w:bookmarkEnd w:id="1499"/>
          </w:p>
        </w:tc>
        <w:tc>
          <w:tcPr>
            <w:tcW w:w="994" w:type="dxa"/>
            <w:vAlign w:val="center"/>
          </w:tcPr>
          <w:p>
            <w:pPr>
              <w:jc w:val="center"/>
              <w:outlineLvl w:val="9"/>
              <w:rPr>
                <w:color w:val="auto"/>
              </w:rPr>
            </w:pPr>
            <w:bookmarkStart w:id="1500" w:name="_Toc26414"/>
            <w:bookmarkStart w:id="1501" w:name="_Toc28693"/>
            <w:bookmarkStart w:id="1502" w:name="_Toc8575"/>
            <w:r>
              <w:rPr>
                <w:rFonts w:hint="eastAsia"/>
                <w:color w:val="auto"/>
              </w:rPr>
              <w:t>1.79E-01</w:t>
            </w:r>
            <w:bookmarkEnd w:id="1500"/>
            <w:bookmarkEnd w:id="1501"/>
            <w:bookmarkEnd w:id="1502"/>
          </w:p>
        </w:tc>
        <w:tc>
          <w:tcPr>
            <w:tcW w:w="994" w:type="dxa"/>
            <w:tcBorders>
              <w:right w:val="single" w:color="auto" w:sz="4" w:space="0"/>
            </w:tcBorders>
            <w:vAlign w:val="center"/>
          </w:tcPr>
          <w:p>
            <w:pPr>
              <w:jc w:val="center"/>
              <w:outlineLvl w:val="9"/>
              <w:rPr>
                <w:color w:val="auto"/>
              </w:rPr>
            </w:pPr>
            <w:bookmarkStart w:id="1503" w:name="_Toc20504"/>
            <w:bookmarkStart w:id="1504" w:name="_Toc14732"/>
            <w:bookmarkStart w:id="1505" w:name="_Toc22270"/>
            <w:r>
              <w:rPr>
                <w:rFonts w:hint="eastAsia"/>
                <w:color w:val="auto"/>
              </w:rPr>
              <w:t>0.02</w:t>
            </w:r>
            <w:bookmarkEnd w:id="1503"/>
            <w:bookmarkEnd w:id="1504"/>
            <w:bookmarkEnd w:id="1505"/>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506" w:name="_Toc25204"/>
            <w:bookmarkStart w:id="1507" w:name="_Toc13623"/>
            <w:bookmarkStart w:id="1508" w:name="_Toc8970"/>
            <w:r>
              <w:rPr>
                <w:color w:val="auto"/>
                <w:szCs w:val="21"/>
              </w:rPr>
              <w:t>100</w:t>
            </w:r>
            <w:bookmarkEnd w:id="1506"/>
            <w:bookmarkEnd w:id="1507"/>
            <w:bookmarkEnd w:id="1508"/>
          </w:p>
        </w:tc>
        <w:tc>
          <w:tcPr>
            <w:tcW w:w="994" w:type="dxa"/>
            <w:vAlign w:val="center"/>
          </w:tcPr>
          <w:p>
            <w:pPr>
              <w:jc w:val="center"/>
              <w:outlineLvl w:val="9"/>
              <w:rPr>
                <w:color w:val="auto"/>
                <w:szCs w:val="21"/>
              </w:rPr>
            </w:pPr>
            <w:bookmarkStart w:id="1509" w:name="_Toc13048"/>
            <w:bookmarkStart w:id="1510" w:name="_Toc4301"/>
            <w:bookmarkStart w:id="1511" w:name="_Toc28978"/>
            <w:r>
              <w:rPr>
                <w:rFonts w:hint="eastAsia"/>
                <w:color w:val="auto"/>
              </w:rPr>
              <w:t>7.96E-02</w:t>
            </w:r>
            <w:bookmarkEnd w:id="1509"/>
            <w:bookmarkEnd w:id="1510"/>
            <w:bookmarkEnd w:id="1511"/>
          </w:p>
        </w:tc>
        <w:tc>
          <w:tcPr>
            <w:tcW w:w="994" w:type="dxa"/>
            <w:vAlign w:val="center"/>
          </w:tcPr>
          <w:p>
            <w:pPr>
              <w:jc w:val="center"/>
              <w:outlineLvl w:val="9"/>
              <w:rPr>
                <w:color w:val="auto"/>
                <w:szCs w:val="21"/>
              </w:rPr>
            </w:pPr>
            <w:bookmarkStart w:id="1512" w:name="_Toc19259"/>
            <w:bookmarkStart w:id="1513" w:name="_Toc7310"/>
            <w:bookmarkStart w:id="1514" w:name="_Toc19531"/>
            <w:r>
              <w:rPr>
                <w:rFonts w:hint="eastAsia"/>
                <w:color w:val="auto"/>
              </w:rPr>
              <w:t>0.01</w:t>
            </w:r>
            <w:bookmarkEnd w:id="1512"/>
            <w:bookmarkEnd w:id="1513"/>
            <w:bookmarkEnd w:id="1514"/>
          </w:p>
        </w:tc>
        <w:tc>
          <w:tcPr>
            <w:tcW w:w="994" w:type="dxa"/>
            <w:vAlign w:val="center"/>
          </w:tcPr>
          <w:p>
            <w:pPr>
              <w:jc w:val="center"/>
              <w:outlineLvl w:val="9"/>
              <w:rPr>
                <w:color w:val="auto"/>
              </w:rPr>
            </w:pPr>
            <w:bookmarkStart w:id="1515" w:name="_Toc18814"/>
            <w:bookmarkStart w:id="1516" w:name="_Toc15037"/>
            <w:bookmarkStart w:id="1517" w:name="_Toc4839"/>
            <w:r>
              <w:rPr>
                <w:rFonts w:hint="eastAsia"/>
                <w:color w:val="auto"/>
              </w:rPr>
              <w:t>6.66E-06</w:t>
            </w:r>
            <w:bookmarkEnd w:id="1515"/>
            <w:bookmarkEnd w:id="1516"/>
            <w:bookmarkEnd w:id="1517"/>
          </w:p>
        </w:tc>
        <w:tc>
          <w:tcPr>
            <w:tcW w:w="994" w:type="dxa"/>
            <w:vAlign w:val="center"/>
          </w:tcPr>
          <w:p>
            <w:pPr>
              <w:jc w:val="center"/>
              <w:outlineLvl w:val="9"/>
              <w:rPr>
                <w:color w:val="auto"/>
              </w:rPr>
            </w:pPr>
            <w:bookmarkStart w:id="1518" w:name="_Toc2305"/>
            <w:bookmarkStart w:id="1519" w:name="_Toc23552"/>
            <w:bookmarkStart w:id="1520" w:name="_Toc10643"/>
            <w:r>
              <w:rPr>
                <w:rFonts w:hint="eastAsia"/>
                <w:color w:val="auto"/>
              </w:rPr>
              <w:t>88.83</w:t>
            </w:r>
            <w:bookmarkEnd w:id="1518"/>
            <w:bookmarkEnd w:id="1519"/>
            <w:bookmarkEnd w:id="1520"/>
          </w:p>
        </w:tc>
        <w:tc>
          <w:tcPr>
            <w:tcW w:w="994" w:type="dxa"/>
            <w:vAlign w:val="center"/>
          </w:tcPr>
          <w:p>
            <w:pPr>
              <w:jc w:val="center"/>
              <w:outlineLvl w:val="9"/>
              <w:rPr>
                <w:color w:val="auto"/>
              </w:rPr>
            </w:pPr>
            <w:bookmarkStart w:id="1521" w:name="_Toc12858"/>
            <w:bookmarkStart w:id="1522" w:name="_Toc31434"/>
            <w:bookmarkStart w:id="1523" w:name="_Toc5103"/>
            <w:r>
              <w:rPr>
                <w:rFonts w:hint="eastAsia"/>
                <w:color w:val="auto"/>
              </w:rPr>
              <w:t>3.74E-02</w:t>
            </w:r>
            <w:bookmarkEnd w:id="1521"/>
            <w:bookmarkEnd w:id="1522"/>
            <w:bookmarkEnd w:id="1523"/>
          </w:p>
        </w:tc>
        <w:tc>
          <w:tcPr>
            <w:tcW w:w="996" w:type="dxa"/>
            <w:vAlign w:val="center"/>
          </w:tcPr>
          <w:p>
            <w:pPr>
              <w:jc w:val="center"/>
              <w:outlineLvl w:val="9"/>
              <w:rPr>
                <w:color w:val="auto"/>
              </w:rPr>
            </w:pPr>
            <w:bookmarkStart w:id="1524" w:name="_Toc352"/>
            <w:bookmarkStart w:id="1525" w:name="_Toc19900"/>
            <w:bookmarkStart w:id="1526" w:name="_Toc24805"/>
            <w:r>
              <w:rPr>
                <w:rFonts w:hint="eastAsia"/>
                <w:color w:val="auto"/>
              </w:rPr>
              <w:t>18.69</w:t>
            </w:r>
            <w:bookmarkEnd w:id="1524"/>
            <w:bookmarkEnd w:id="1525"/>
            <w:bookmarkEnd w:id="1526"/>
          </w:p>
        </w:tc>
        <w:tc>
          <w:tcPr>
            <w:tcW w:w="994" w:type="dxa"/>
            <w:vAlign w:val="center"/>
          </w:tcPr>
          <w:p>
            <w:pPr>
              <w:jc w:val="center"/>
              <w:outlineLvl w:val="9"/>
              <w:rPr>
                <w:color w:val="auto"/>
              </w:rPr>
            </w:pPr>
            <w:bookmarkStart w:id="1527" w:name="_Toc22238"/>
            <w:bookmarkStart w:id="1528" w:name="_Toc31747"/>
            <w:bookmarkStart w:id="1529" w:name="_Toc19601"/>
            <w:r>
              <w:rPr>
                <w:rFonts w:hint="eastAsia"/>
                <w:color w:val="auto"/>
              </w:rPr>
              <w:t>1.63E-01</w:t>
            </w:r>
            <w:bookmarkEnd w:id="1527"/>
            <w:bookmarkEnd w:id="1528"/>
            <w:bookmarkEnd w:id="1529"/>
          </w:p>
        </w:tc>
        <w:tc>
          <w:tcPr>
            <w:tcW w:w="994" w:type="dxa"/>
            <w:tcBorders>
              <w:right w:val="single" w:color="auto" w:sz="4" w:space="0"/>
            </w:tcBorders>
            <w:vAlign w:val="center"/>
          </w:tcPr>
          <w:p>
            <w:pPr>
              <w:jc w:val="center"/>
              <w:outlineLvl w:val="9"/>
              <w:rPr>
                <w:color w:val="auto"/>
              </w:rPr>
            </w:pPr>
            <w:bookmarkStart w:id="1530" w:name="_Toc27916"/>
            <w:bookmarkStart w:id="1531" w:name="_Toc13797"/>
            <w:bookmarkStart w:id="1532" w:name="_Toc19256"/>
            <w:r>
              <w:rPr>
                <w:rFonts w:hint="eastAsia"/>
                <w:color w:val="auto"/>
              </w:rPr>
              <w:t>0.02</w:t>
            </w:r>
            <w:bookmarkEnd w:id="1530"/>
            <w:bookmarkEnd w:id="1531"/>
            <w:bookmarkEnd w:id="1532"/>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533" w:name="_Toc12134"/>
            <w:bookmarkStart w:id="1534" w:name="_Toc31272"/>
            <w:bookmarkStart w:id="1535" w:name="_Toc18656"/>
            <w:r>
              <w:rPr>
                <w:rFonts w:hint="eastAsia"/>
                <w:color w:val="auto"/>
                <w:szCs w:val="21"/>
              </w:rPr>
              <w:t>108</w:t>
            </w:r>
            <w:bookmarkEnd w:id="1533"/>
            <w:bookmarkEnd w:id="1534"/>
            <w:bookmarkEnd w:id="1535"/>
          </w:p>
        </w:tc>
        <w:tc>
          <w:tcPr>
            <w:tcW w:w="994" w:type="dxa"/>
            <w:vAlign w:val="center"/>
          </w:tcPr>
          <w:p>
            <w:pPr>
              <w:jc w:val="center"/>
              <w:outlineLvl w:val="9"/>
              <w:rPr>
                <w:color w:val="auto"/>
              </w:rPr>
            </w:pPr>
            <w:bookmarkStart w:id="1536" w:name="_Toc22426"/>
            <w:bookmarkStart w:id="1537" w:name="_Toc21496"/>
            <w:bookmarkStart w:id="1538" w:name="_Toc21022"/>
            <w:r>
              <w:rPr>
                <w:rFonts w:hint="eastAsia"/>
                <w:color w:val="auto"/>
              </w:rPr>
              <w:t>6.21E-02</w:t>
            </w:r>
            <w:bookmarkEnd w:id="1536"/>
            <w:bookmarkEnd w:id="1537"/>
            <w:bookmarkEnd w:id="1538"/>
          </w:p>
        </w:tc>
        <w:tc>
          <w:tcPr>
            <w:tcW w:w="994" w:type="dxa"/>
            <w:vAlign w:val="center"/>
          </w:tcPr>
          <w:p>
            <w:pPr>
              <w:jc w:val="center"/>
              <w:outlineLvl w:val="9"/>
              <w:rPr>
                <w:color w:val="auto"/>
              </w:rPr>
            </w:pPr>
            <w:bookmarkStart w:id="1539" w:name="_Toc852"/>
            <w:bookmarkStart w:id="1540" w:name="_Toc174"/>
            <w:bookmarkStart w:id="1541" w:name="_Toc27025"/>
            <w:r>
              <w:rPr>
                <w:rFonts w:hint="eastAsia"/>
                <w:color w:val="auto"/>
              </w:rPr>
              <w:t>0.01</w:t>
            </w:r>
            <w:bookmarkEnd w:id="1539"/>
            <w:bookmarkEnd w:id="1540"/>
            <w:bookmarkEnd w:id="1541"/>
          </w:p>
        </w:tc>
        <w:tc>
          <w:tcPr>
            <w:tcW w:w="994" w:type="dxa"/>
            <w:vAlign w:val="center"/>
          </w:tcPr>
          <w:p>
            <w:pPr>
              <w:jc w:val="center"/>
              <w:outlineLvl w:val="9"/>
              <w:rPr>
                <w:color w:val="auto"/>
              </w:rPr>
            </w:pPr>
            <w:bookmarkStart w:id="1542" w:name="_Toc167"/>
            <w:bookmarkStart w:id="1543" w:name="_Toc24454"/>
            <w:bookmarkStart w:id="1544" w:name="_Toc16189"/>
            <w:r>
              <w:rPr>
                <w:rFonts w:hint="eastAsia"/>
                <w:color w:val="auto"/>
              </w:rPr>
              <w:t>5.20E-06</w:t>
            </w:r>
            <w:bookmarkEnd w:id="1542"/>
            <w:bookmarkEnd w:id="1543"/>
            <w:bookmarkEnd w:id="1544"/>
          </w:p>
        </w:tc>
        <w:tc>
          <w:tcPr>
            <w:tcW w:w="994" w:type="dxa"/>
            <w:vAlign w:val="center"/>
          </w:tcPr>
          <w:p>
            <w:pPr>
              <w:jc w:val="center"/>
              <w:outlineLvl w:val="9"/>
              <w:rPr>
                <w:color w:val="auto"/>
              </w:rPr>
            </w:pPr>
            <w:bookmarkStart w:id="1545" w:name="_Toc4303"/>
            <w:bookmarkStart w:id="1546" w:name="_Toc13568"/>
            <w:bookmarkStart w:id="1547" w:name="_Toc1952"/>
            <w:r>
              <w:rPr>
                <w:rFonts w:hint="eastAsia"/>
                <w:color w:val="auto"/>
              </w:rPr>
              <w:t>69.36</w:t>
            </w:r>
            <w:bookmarkEnd w:id="1545"/>
            <w:bookmarkEnd w:id="1546"/>
            <w:bookmarkEnd w:id="1547"/>
          </w:p>
        </w:tc>
        <w:tc>
          <w:tcPr>
            <w:tcW w:w="994" w:type="dxa"/>
            <w:vAlign w:val="center"/>
          </w:tcPr>
          <w:p>
            <w:pPr>
              <w:jc w:val="center"/>
              <w:outlineLvl w:val="9"/>
              <w:rPr>
                <w:color w:val="auto"/>
              </w:rPr>
            </w:pPr>
            <w:bookmarkStart w:id="1548" w:name="_Toc27408"/>
            <w:bookmarkStart w:id="1549" w:name="_Toc15255"/>
            <w:bookmarkStart w:id="1550" w:name="_Toc29872"/>
            <w:r>
              <w:rPr>
                <w:rFonts w:hint="eastAsia"/>
                <w:color w:val="auto"/>
              </w:rPr>
              <w:t>2.92E-02</w:t>
            </w:r>
            <w:bookmarkEnd w:id="1548"/>
            <w:bookmarkEnd w:id="1549"/>
            <w:bookmarkEnd w:id="1550"/>
          </w:p>
        </w:tc>
        <w:tc>
          <w:tcPr>
            <w:tcW w:w="996" w:type="dxa"/>
            <w:vAlign w:val="center"/>
          </w:tcPr>
          <w:p>
            <w:pPr>
              <w:jc w:val="center"/>
              <w:outlineLvl w:val="9"/>
              <w:rPr>
                <w:color w:val="auto"/>
              </w:rPr>
            </w:pPr>
            <w:bookmarkStart w:id="1551" w:name="_Toc27410"/>
            <w:bookmarkStart w:id="1552" w:name="_Toc19280"/>
            <w:bookmarkStart w:id="1553" w:name="_Toc19360"/>
            <w:r>
              <w:rPr>
                <w:rFonts w:hint="eastAsia"/>
                <w:color w:val="auto"/>
              </w:rPr>
              <w:t>14.60</w:t>
            </w:r>
            <w:bookmarkEnd w:id="1551"/>
            <w:bookmarkEnd w:id="1552"/>
            <w:bookmarkEnd w:id="1553"/>
          </w:p>
        </w:tc>
        <w:tc>
          <w:tcPr>
            <w:tcW w:w="994" w:type="dxa"/>
            <w:vAlign w:val="center"/>
          </w:tcPr>
          <w:p>
            <w:pPr>
              <w:jc w:val="center"/>
              <w:outlineLvl w:val="9"/>
              <w:rPr>
                <w:color w:val="auto"/>
              </w:rPr>
            </w:pPr>
            <w:bookmarkStart w:id="1554" w:name="_Toc24006"/>
            <w:bookmarkStart w:id="1555" w:name="_Toc28667"/>
            <w:bookmarkStart w:id="1556" w:name="_Toc17962"/>
            <w:r>
              <w:rPr>
                <w:rFonts w:hint="eastAsia"/>
                <w:color w:val="auto"/>
              </w:rPr>
              <w:t>1.38E-01</w:t>
            </w:r>
            <w:bookmarkEnd w:id="1554"/>
            <w:bookmarkEnd w:id="1555"/>
            <w:bookmarkEnd w:id="1556"/>
          </w:p>
        </w:tc>
        <w:tc>
          <w:tcPr>
            <w:tcW w:w="994" w:type="dxa"/>
            <w:tcBorders>
              <w:right w:val="single" w:color="auto" w:sz="4" w:space="0"/>
            </w:tcBorders>
            <w:vAlign w:val="center"/>
          </w:tcPr>
          <w:p>
            <w:pPr>
              <w:jc w:val="center"/>
              <w:outlineLvl w:val="9"/>
              <w:rPr>
                <w:color w:val="auto"/>
              </w:rPr>
            </w:pPr>
            <w:bookmarkStart w:id="1557" w:name="_Toc6019"/>
            <w:bookmarkStart w:id="1558" w:name="_Toc21849"/>
            <w:bookmarkStart w:id="1559" w:name="_Toc14953"/>
            <w:r>
              <w:rPr>
                <w:rFonts w:hint="eastAsia"/>
                <w:color w:val="auto"/>
              </w:rPr>
              <w:t>0.02</w:t>
            </w:r>
            <w:bookmarkEnd w:id="1557"/>
            <w:bookmarkEnd w:id="1558"/>
            <w:bookmarkEnd w:id="1559"/>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560" w:name="_Toc29906"/>
            <w:bookmarkStart w:id="1561" w:name="_Toc22461"/>
            <w:bookmarkStart w:id="1562" w:name="_Toc9042"/>
            <w:r>
              <w:rPr>
                <w:color w:val="auto"/>
                <w:szCs w:val="21"/>
              </w:rPr>
              <w:t>125</w:t>
            </w:r>
            <w:bookmarkEnd w:id="1560"/>
            <w:bookmarkEnd w:id="1561"/>
            <w:bookmarkEnd w:id="1562"/>
          </w:p>
        </w:tc>
        <w:tc>
          <w:tcPr>
            <w:tcW w:w="994" w:type="dxa"/>
            <w:vAlign w:val="center"/>
          </w:tcPr>
          <w:p>
            <w:pPr>
              <w:jc w:val="center"/>
              <w:outlineLvl w:val="9"/>
              <w:rPr>
                <w:color w:val="auto"/>
                <w:szCs w:val="21"/>
              </w:rPr>
            </w:pPr>
            <w:bookmarkStart w:id="1563" w:name="_Toc25607"/>
            <w:bookmarkStart w:id="1564" w:name="_Toc22553"/>
            <w:bookmarkStart w:id="1565" w:name="_Toc30585"/>
            <w:r>
              <w:rPr>
                <w:rFonts w:hint="eastAsia"/>
                <w:color w:val="auto"/>
              </w:rPr>
              <w:t>4.79E-02</w:t>
            </w:r>
            <w:bookmarkEnd w:id="1563"/>
            <w:bookmarkEnd w:id="1564"/>
            <w:bookmarkEnd w:id="1565"/>
          </w:p>
        </w:tc>
        <w:tc>
          <w:tcPr>
            <w:tcW w:w="994" w:type="dxa"/>
            <w:vAlign w:val="center"/>
          </w:tcPr>
          <w:p>
            <w:pPr>
              <w:jc w:val="center"/>
              <w:outlineLvl w:val="9"/>
              <w:rPr>
                <w:color w:val="auto"/>
                <w:szCs w:val="21"/>
              </w:rPr>
            </w:pPr>
            <w:bookmarkStart w:id="1566" w:name="_Toc21484"/>
            <w:bookmarkStart w:id="1567" w:name="_Toc9073"/>
            <w:bookmarkStart w:id="1568" w:name="_Toc20346"/>
            <w:r>
              <w:rPr>
                <w:rFonts w:hint="eastAsia"/>
                <w:color w:val="auto"/>
              </w:rPr>
              <w:t>0.01</w:t>
            </w:r>
            <w:bookmarkEnd w:id="1566"/>
            <w:bookmarkEnd w:id="1567"/>
            <w:bookmarkEnd w:id="1568"/>
          </w:p>
        </w:tc>
        <w:tc>
          <w:tcPr>
            <w:tcW w:w="994" w:type="dxa"/>
            <w:vAlign w:val="center"/>
          </w:tcPr>
          <w:p>
            <w:pPr>
              <w:jc w:val="center"/>
              <w:outlineLvl w:val="9"/>
              <w:rPr>
                <w:color w:val="auto"/>
              </w:rPr>
            </w:pPr>
            <w:bookmarkStart w:id="1569" w:name="_Toc15390"/>
            <w:bookmarkStart w:id="1570" w:name="_Toc8078"/>
            <w:bookmarkStart w:id="1571" w:name="_Toc7124"/>
            <w:r>
              <w:rPr>
                <w:rFonts w:hint="eastAsia"/>
                <w:color w:val="auto"/>
              </w:rPr>
              <w:t>4.01E-06</w:t>
            </w:r>
            <w:bookmarkEnd w:id="1569"/>
            <w:bookmarkEnd w:id="1570"/>
            <w:bookmarkEnd w:id="1571"/>
          </w:p>
        </w:tc>
        <w:tc>
          <w:tcPr>
            <w:tcW w:w="994" w:type="dxa"/>
            <w:vAlign w:val="center"/>
          </w:tcPr>
          <w:p>
            <w:pPr>
              <w:jc w:val="center"/>
              <w:outlineLvl w:val="9"/>
              <w:rPr>
                <w:color w:val="auto"/>
              </w:rPr>
            </w:pPr>
            <w:bookmarkStart w:id="1572" w:name="_Toc9305"/>
            <w:bookmarkStart w:id="1573" w:name="_Toc6824"/>
            <w:bookmarkStart w:id="1574" w:name="_Toc5799"/>
            <w:r>
              <w:rPr>
                <w:rFonts w:hint="eastAsia"/>
                <w:color w:val="auto"/>
              </w:rPr>
              <w:t>53.49</w:t>
            </w:r>
            <w:bookmarkEnd w:id="1572"/>
            <w:bookmarkEnd w:id="1573"/>
            <w:bookmarkEnd w:id="1574"/>
          </w:p>
        </w:tc>
        <w:tc>
          <w:tcPr>
            <w:tcW w:w="994" w:type="dxa"/>
            <w:vAlign w:val="center"/>
          </w:tcPr>
          <w:p>
            <w:pPr>
              <w:jc w:val="center"/>
              <w:outlineLvl w:val="9"/>
              <w:rPr>
                <w:color w:val="auto"/>
              </w:rPr>
            </w:pPr>
            <w:bookmarkStart w:id="1575" w:name="_Toc15701"/>
            <w:bookmarkStart w:id="1576" w:name="_Toc27787"/>
            <w:bookmarkStart w:id="1577" w:name="_Toc29423"/>
            <w:r>
              <w:rPr>
                <w:rFonts w:hint="eastAsia"/>
                <w:color w:val="auto"/>
              </w:rPr>
              <w:t>2.25E-02</w:t>
            </w:r>
            <w:bookmarkEnd w:id="1575"/>
            <w:bookmarkEnd w:id="1576"/>
            <w:bookmarkEnd w:id="1577"/>
          </w:p>
        </w:tc>
        <w:tc>
          <w:tcPr>
            <w:tcW w:w="996" w:type="dxa"/>
            <w:vAlign w:val="center"/>
          </w:tcPr>
          <w:p>
            <w:pPr>
              <w:jc w:val="center"/>
              <w:outlineLvl w:val="9"/>
              <w:rPr>
                <w:color w:val="auto"/>
              </w:rPr>
            </w:pPr>
            <w:bookmarkStart w:id="1578" w:name="_Toc7621"/>
            <w:bookmarkStart w:id="1579" w:name="_Toc22366"/>
            <w:bookmarkStart w:id="1580" w:name="_Toc22311"/>
            <w:r>
              <w:rPr>
                <w:rFonts w:hint="eastAsia"/>
                <w:color w:val="auto"/>
              </w:rPr>
              <w:t>11.26</w:t>
            </w:r>
            <w:bookmarkEnd w:id="1578"/>
            <w:bookmarkEnd w:id="1579"/>
            <w:bookmarkEnd w:id="1580"/>
          </w:p>
        </w:tc>
        <w:tc>
          <w:tcPr>
            <w:tcW w:w="994" w:type="dxa"/>
            <w:vAlign w:val="center"/>
          </w:tcPr>
          <w:p>
            <w:pPr>
              <w:jc w:val="center"/>
              <w:outlineLvl w:val="9"/>
              <w:rPr>
                <w:color w:val="auto"/>
              </w:rPr>
            </w:pPr>
            <w:bookmarkStart w:id="1581" w:name="_Toc3139"/>
            <w:bookmarkStart w:id="1582" w:name="_Toc1049"/>
            <w:bookmarkStart w:id="1583" w:name="_Toc24898"/>
            <w:r>
              <w:rPr>
                <w:rFonts w:hint="eastAsia"/>
                <w:color w:val="auto"/>
              </w:rPr>
              <w:t>1.18E-01</w:t>
            </w:r>
            <w:bookmarkEnd w:id="1581"/>
            <w:bookmarkEnd w:id="1582"/>
            <w:bookmarkEnd w:id="1583"/>
          </w:p>
        </w:tc>
        <w:tc>
          <w:tcPr>
            <w:tcW w:w="994" w:type="dxa"/>
            <w:tcBorders>
              <w:right w:val="single" w:color="auto" w:sz="4" w:space="0"/>
            </w:tcBorders>
            <w:vAlign w:val="center"/>
          </w:tcPr>
          <w:p>
            <w:pPr>
              <w:jc w:val="center"/>
              <w:outlineLvl w:val="9"/>
              <w:rPr>
                <w:color w:val="auto"/>
              </w:rPr>
            </w:pPr>
            <w:bookmarkStart w:id="1584" w:name="_Toc27292"/>
            <w:bookmarkStart w:id="1585" w:name="_Toc27401"/>
            <w:bookmarkStart w:id="1586" w:name="_Toc2314"/>
            <w:r>
              <w:rPr>
                <w:rFonts w:hint="eastAsia"/>
                <w:color w:val="auto"/>
              </w:rPr>
              <w:t>0.01</w:t>
            </w:r>
            <w:bookmarkEnd w:id="1584"/>
            <w:bookmarkEnd w:id="1585"/>
            <w:bookmarkEnd w:id="1586"/>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587" w:name="_Toc13249"/>
            <w:bookmarkStart w:id="1588" w:name="_Toc4260"/>
            <w:bookmarkStart w:id="1589" w:name="_Toc4870"/>
            <w:r>
              <w:rPr>
                <w:color w:val="auto"/>
                <w:szCs w:val="21"/>
              </w:rPr>
              <w:t>150</w:t>
            </w:r>
            <w:bookmarkEnd w:id="1587"/>
            <w:bookmarkEnd w:id="1588"/>
            <w:bookmarkEnd w:id="1589"/>
          </w:p>
        </w:tc>
        <w:tc>
          <w:tcPr>
            <w:tcW w:w="994" w:type="dxa"/>
            <w:vAlign w:val="center"/>
          </w:tcPr>
          <w:p>
            <w:pPr>
              <w:jc w:val="center"/>
              <w:outlineLvl w:val="9"/>
              <w:rPr>
                <w:color w:val="auto"/>
                <w:szCs w:val="21"/>
              </w:rPr>
            </w:pPr>
            <w:bookmarkStart w:id="1590" w:name="_Toc15374"/>
            <w:bookmarkStart w:id="1591" w:name="_Toc21540"/>
            <w:bookmarkStart w:id="1592" w:name="_Toc22529"/>
            <w:r>
              <w:rPr>
                <w:rFonts w:hint="eastAsia"/>
                <w:color w:val="auto"/>
              </w:rPr>
              <w:t>3.96E-02</w:t>
            </w:r>
            <w:bookmarkEnd w:id="1590"/>
            <w:bookmarkEnd w:id="1591"/>
            <w:bookmarkEnd w:id="1592"/>
          </w:p>
        </w:tc>
        <w:tc>
          <w:tcPr>
            <w:tcW w:w="994" w:type="dxa"/>
            <w:vAlign w:val="center"/>
          </w:tcPr>
          <w:p>
            <w:pPr>
              <w:jc w:val="center"/>
              <w:outlineLvl w:val="9"/>
              <w:rPr>
                <w:color w:val="auto"/>
                <w:szCs w:val="21"/>
              </w:rPr>
            </w:pPr>
            <w:bookmarkStart w:id="1593" w:name="_Toc17165"/>
            <w:bookmarkStart w:id="1594" w:name="_Toc21553"/>
            <w:bookmarkStart w:id="1595" w:name="_Toc15665"/>
            <w:r>
              <w:rPr>
                <w:rFonts w:hint="eastAsia"/>
                <w:color w:val="auto"/>
              </w:rPr>
              <w:t>0.00</w:t>
            </w:r>
            <w:bookmarkEnd w:id="1593"/>
            <w:bookmarkEnd w:id="1594"/>
            <w:bookmarkEnd w:id="1595"/>
          </w:p>
        </w:tc>
        <w:tc>
          <w:tcPr>
            <w:tcW w:w="994" w:type="dxa"/>
            <w:vAlign w:val="center"/>
          </w:tcPr>
          <w:p>
            <w:pPr>
              <w:jc w:val="center"/>
              <w:outlineLvl w:val="9"/>
              <w:rPr>
                <w:color w:val="auto"/>
              </w:rPr>
            </w:pPr>
            <w:bookmarkStart w:id="1596" w:name="_Toc10843"/>
            <w:bookmarkStart w:id="1597" w:name="_Toc22918"/>
            <w:bookmarkStart w:id="1598" w:name="_Toc16751"/>
            <w:r>
              <w:rPr>
                <w:rFonts w:hint="eastAsia"/>
                <w:color w:val="auto"/>
              </w:rPr>
              <w:t>3.31E-06</w:t>
            </w:r>
            <w:bookmarkEnd w:id="1596"/>
            <w:bookmarkEnd w:id="1597"/>
            <w:bookmarkEnd w:id="1598"/>
          </w:p>
        </w:tc>
        <w:tc>
          <w:tcPr>
            <w:tcW w:w="994" w:type="dxa"/>
            <w:vAlign w:val="center"/>
          </w:tcPr>
          <w:p>
            <w:pPr>
              <w:jc w:val="center"/>
              <w:outlineLvl w:val="9"/>
              <w:rPr>
                <w:color w:val="auto"/>
              </w:rPr>
            </w:pPr>
            <w:bookmarkStart w:id="1599" w:name="_Toc16107"/>
            <w:bookmarkStart w:id="1600" w:name="_Toc5401"/>
            <w:bookmarkStart w:id="1601" w:name="_Toc2554"/>
            <w:r>
              <w:rPr>
                <w:rFonts w:hint="eastAsia"/>
                <w:color w:val="auto"/>
              </w:rPr>
              <w:t>44.17</w:t>
            </w:r>
            <w:bookmarkEnd w:id="1599"/>
            <w:bookmarkEnd w:id="1600"/>
            <w:bookmarkEnd w:id="1601"/>
          </w:p>
        </w:tc>
        <w:tc>
          <w:tcPr>
            <w:tcW w:w="994" w:type="dxa"/>
            <w:vAlign w:val="center"/>
          </w:tcPr>
          <w:p>
            <w:pPr>
              <w:jc w:val="center"/>
              <w:outlineLvl w:val="9"/>
              <w:rPr>
                <w:color w:val="auto"/>
              </w:rPr>
            </w:pPr>
            <w:bookmarkStart w:id="1602" w:name="_Toc30460"/>
            <w:bookmarkStart w:id="1603" w:name="_Toc31897"/>
            <w:bookmarkStart w:id="1604" w:name="_Toc31281"/>
            <w:r>
              <w:rPr>
                <w:rFonts w:hint="eastAsia"/>
                <w:color w:val="auto"/>
              </w:rPr>
              <w:t>1.86E-02</w:t>
            </w:r>
            <w:bookmarkEnd w:id="1602"/>
            <w:bookmarkEnd w:id="1603"/>
            <w:bookmarkEnd w:id="1604"/>
          </w:p>
        </w:tc>
        <w:tc>
          <w:tcPr>
            <w:tcW w:w="996" w:type="dxa"/>
            <w:vAlign w:val="center"/>
          </w:tcPr>
          <w:p>
            <w:pPr>
              <w:jc w:val="center"/>
              <w:outlineLvl w:val="9"/>
              <w:rPr>
                <w:color w:val="auto"/>
              </w:rPr>
            </w:pPr>
            <w:bookmarkStart w:id="1605" w:name="_Toc21406"/>
            <w:bookmarkStart w:id="1606" w:name="_Toc7168"/>
            <w:bookmarkStart w:id="1607" w:name="_Toc11754"/>
            <w:r>
              <w:rPr>
                <w:rFonts w:hint="eastAsia"/>
                <w:color w:val="auto"/>
              </w:rPr>
              <w:t>9.30</w:t>
            </w:r>
            <w:bookmarkEnd w:id="1605"/>
            <w:bookmarkEnd w:id="1606"/>
            <w:bookmarkEnd w:id="1607"/>
          </w:p>
        </w:tc>
        <w:tc>
          <w:tcPr>
            <w:tcW w:w="994" w:type="dxa"/>
            <w:vAlign w:val="center"/>
          </w:tcPr>
          <w:p>
            <w:pPr>
              <w:jc w:val="center"/>
              <w:outlineLvl w:val="9"/>
              <w:rPr>
                <w:color w:val="auto"/>
              </w:rPr>
            </w:pPr>
            <w:bookmarkStart w:id="1608" w:name="_Toc14760"/>
            <w:bookmarkStart w:id="1609" w:name="_Toc22952"/>
            <w:bookmarkStart w:id="1610" w:name="_Toc22517"/>
            <w:r>
              <w:rPr>
                <w:rFonts w:hint="eastAsia"/>
                <w:color w:val="auto"/>
              </w:rPr>
              <w:t>1.04E-01</w:t>
            </w:r>
            <w:bookmarkEnd w:id="1608"/>
            <w:bookmarkEnd w:id="1609"/>
            <w:bookmarkEnd w:id="1610"/>
          </w:p>
        </w:tc>
        <w:tc>
          <w:tcPr>
            <w:tcW w:w="994" w:type="dxa"/>
            <w:tcBorders>
              <w:right w:val="single" w:color="auto" w:sz="4" w:space="0"/>
            </w:tcBorders>
            <w:vAlign w:val="center"/>
          </w:tcPr>
          <w:p>
            <w:pPr>
              <w:jc w:val="center"/>
              <w:outlineLvl w:val="9"/>
              <w:rPr>
                <w:color w:val="auto"/>
              </w:rPr>
            </w:pPr>
            <w:bookmarkStart w:id="1611" w:name="_Toc22769"/>
            <w:bookmarkStart w:id="1612" w:name="_Toc23304"/>
            <w:bookmarkStart w:id="1613" w:name="_Toc2084"/>
            <w:r>
              <w:rPr>
                <w:rFonts w:hint="eastAsia"/>
                <w:color w:val="auto"/>
              </w:rPr>
              <w:t>0.01</w:t>
            </w:r>
            <w:bookmarkEnd w:id="1611"/>
            <w:bookmarkEnd w:id="1612"/>
            <w:bookmarkEnd w:id="161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614" w:name="_Toc9871"/>
            <w:bookmarkStart w:id="1615" w:name="_Toc21575"/>
            <w:bookmarkStart w:id="1616" w:name="_Toc28006"/>
            <w:r>
              <w:rPr>
                <w:color w:val="auto"/>
                <w:szCs w:val="21"/>
              </w:rPr>
              <w:t>175</w:t>
            </w:r>
            <w:bookmarkEnd w:id="1614"/>
            <w:bookmarkEnd w:id="1615"/>
            <w:bookmarkEnd w:id="1616"/>
          </w:p>
        </w:tc>
        <w:tc>
          <w:tcPr>
            <w:tcW w:w="994" w:type="dxa"/>
            <w:vAlign w:val="center"/>
          </w:tcPr>
          <w:p>
            <w:pPr>
              <w:jc w:val="center"/>
              <w:outlineLvl w:val="9"/>
              <w:rPr>
                <w:color w:val="auto"/>
                <w:szCs w:val="21"/>
              </w:rPr>
            </w:pPr>
            <w:bookmarkStart w:id="1617" w:name="_Toc32585"/>
            <w:bookmarkStart w:id="1618" w:name="_Toc31926"/>
            <w:bookmarkStart w:id="1619" w:name="_Toc25973"/>
            <w:r>
              <w:rPr>
                <w:rFonts w:hint="eastAsia"/>
                <w:color w:val="auto"/>
              </w:rPr>
              <w:t>3.45E-02</w:t>
            </w:r>
            <w:bookmarkEnd w:id="1617"/>
            <w:bookmarkEnd w:id="1618"/>
            <w:bookmarkEnd w:id="1619"/>
          </w:p>
        </w:tc>
        <w:tc>
          <w:tcPr>
            <w:tcW w:w="994" w:type="dxa"/>
            <w:vAlign w:val="center"/>
          </w:tcPr>
          <w:p>
            <w:pPr>
              <w:jc w:val="center"/>
              <w:outlineLvl w:val="9"/>
              <w:rPr>
                <w:color w:val="auto"/>
                <w:szCs w:val="21"/>
              </w:rPr>
            </w:pPr>
            <w:bookmarkStart w:id="1620" w:name="_Toc10733"/>
            <w:bookmarkStart w:id="1621" w:name="_Toc6394"/>
            <w:bookmarkStart w:id="1622" w:name="_Toc28024"/>
            <w:r>
              <w:rPr>
                <w:rFonts w:hint="eastAsia"/>
                <w:color w:val="auto"/>
              </w:rPr>
              <w:t>0.00</w:t>
            </w:r>
            <w:bookmarkEnd w:id="1620"/>
            <w:bookmarkEnd w:id="1621"/>
            <w:bookmarkEnd w:id="1622"/>
          </w:p>
        </w:tc>
        <w:tc>
          <w:tcPr>
            <w:tcW w:w="994" w:type="dxa"/>
            <w:vAlign w:val="center"/>
          </w:tcPr>
          <w:p>
            <w:pPr>
              <w:jc w:val="center"/>
              <w:outlineLvl w:val="9"/>
              <w:rPr>
                <w:color w:val="auto"/>
              </w:rPr>
            </w:pPr>
            <w:bookmarkStart w:id="1623" w:name="_Toc15607"/>
            <w:bookmarkStart w:id="1624" w:name="_Toc19766"/>
            <w:bookmarkStart w:id="1625" w:name="_Toc12232"/>
            <w:r>
              <w:rPr>
                <w:rFonts w:hint="eastAsia"/>
                <w:color w:val="auto"/>
              </w:rPr>
              <w:t>2.89E-06</w:t>
            </w:r>
            <w:bookmarkEnd w:id="1623"/>
            <w:bookmarkEnd w:id="1624"/>
            <w:bookmarkEnd w:id="1625"/>
          </w:p>
        </w:tc>
        <w:tc>
          <w:tcPr>
            <w:tcW w:w="994" w:type="dxa"/>
            <w:vAlign w:val="center"/>
          </w:tcPr>
          <w:p>
            <w:pPr>
              <w:jc w:val="center"/>
              <w:outlineLvl w:val="9"/>
              <w:rPr>
                <w:color w:val="auto"/>
              </w:rPr>
            </w:pPr>
            <w:bookmarkStart w:id="1626" w:name="_Toc2372"/>
            <w:bookmarkStart w:id="1627" w:name="_Toc9687"/>
            <w:bookmarkStart w:id="1628" w:name="_Toc22752"/>
            <w:r>
              <w:rPr>
                <w:rFonts w:hint="eastAsia"/>
                <w:color w:val="auto"/>
              </w:rPr>
              <w:t>38.54</w:t>
            </w:r>
            <w:bookmarkEnd w:id="1626"/>
            <w:bookmarkEnd w:id="1627"/>
            <w:bookmarkEnd w:id="1628"/>
          </w:p>
        </w:tc>
        <w:tc>
          <w:tcPr>
            <w:tcW w:w="994" w:type="dxa"/>
            <w:vAlign w:val="center"/>
          </w:tcPr>
          <w:p>
            <w:pPr>
              <w:jc w:val="center"/>
              <w:outlineLvl w:val="9"/>
              <w:rPr>
                <w:color w:val="auto"/>
              </w:rPr>
            </w:pPr>
            <w:bookmarkStart w:id="1629" w:name="_Toc19112"/>
            <w:bookmarkStart w:id="1630" w:name="_Toc6453"/>
            <w:bookmarkStart w:id="1631" w:name="_Toc20557"/>
            <w:r>
              <w:rPr>
                <w:rFonts w:hint="eastAsia"/>
                <w:color w:val="auto"/>
              </w:rPr>
              <w:t>1.62E-02</w:t>
            </w:r>
            <w:bookmarkEnd w:id="1629"/>
            <w:bookmarkEnd w:id="1630"/>
            <w:bookmarkEnd w:id="1631"/>
          </w:p>
        </w:tc>
        <w:tc>
          <w:tcPr>
            <w:tcW w:w="996" w:type="dxa"/>
            <w:vAlign w:val="center"/>
          </w:tcPr>
          <w:p>
            <w:pPr>
              <w:jc w:val="center"/>
              <w:outlineLvl w:val="9"/>
              <w:rPr>
                <w:color w:val="auto"/>
              </w:rPr>
            </w:pPr>
            <w:bookmarkStart w:id="1632" w:name="_Toc23365"/>
            <w:bookmarkStart w:id="1633" w:name="_Toc27096"/>
            <w:bookmarkStart w:id="1634" w:name="_Toc25610"/>
            <w:r>
              <w:rPr>
                <w:rFonts w:hint="eastAsia"/>
                <w:color w:val="auto"/>
              </w:rPr>
              <w:t>8.11</w:t>
            </w:r>
            <w:bookmarkEnd w:id="1632"/>
            <w:bookmarkEnd w:id="1633"/>
            <w:bookmarkEnd w:id="1634"/>
          </w:p>
        </w:tc>
        <w:tc>
          <w:tcPr>
            <w:tcW w:w="994" w:type="dxa"/>
            <w:vAlign w:val="center"/>
          </w:tcPr>
          <w:p>
            <w:pPr>
              <w:jc w:val="center"/>
              <w:outlineLvl w:val="9"/>
              <w:rPr>
                <w:color w:val="auto"/>
              </w:rPr>
            </w:pPr>
            <w:bookmarkStart w:id="1635" w:name="_Toc22005"/>
            <w:bookmarkStart w:id="1636" w:name="_Toc1177"/>
            <w:bookmarkStart w:id="1637" w:name="_Toc3610"/>
            <w:r>
              <w:rPr>
                <w:rFonts w:hint="eastAsia"/>
                <w:color w:val="auto"/>
              </w:rPr>
              <w:t>9.17E-02</w:t>
            </w:r>
            <w:bookmarkEnd w:id="1635"/>
            <w:bookmarkEnd w:id="1636"/>
            <w:bookmarkEnd w:id="1637"/>
          </w:p>
        </w:tc>
        <w:tc>
          <w:tcPr>
            <w:tcW w:w="994" w:type="dxa"/>
            <w:tcBorders>
              <w:right w:val="single" w:color="auto" w:sz="4" w:space="0"/>
            </w:tcBorders>
            <w:vAlign w:val="center"/>
          </w:tcPr>
          <w:p>
            <w:pPr>
              <w:jc w:val="center"/>
              <w:outlineLvl w:val="9"/>
              <w:rPr>
                <w:color w:val="auto"/>
              </w:rPr>
            </w:pPr>
            <w:bookmarkStart w:id="1638" w:name="_Toc32466"/>
            <w:bookmarkStart w:id="1639" w:name="_Toc4152"/>
            <w:bookmarkStart w:id="1640" w:name="_Toc24189"/>
            <w:r>
              <w:rPr>
                <w:rFonts w:hint="eastAsia"/>
                <w:color w:val="auto"/>
              </w:rPr>
              <w:t>0.01</w:t>
            </w:r>
            <w:bookmarkEnd w:id="1638"/>
            <w:bookmarkEnd w:id="1639"/>
            <w:bookmarkEnd w:id="164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641" w:name="_Toc13906"/>
            <w:bookmarkStart w:id="1642" w:name="_Toc30426"/>
            <w:bookmarkStart w:id="1643" w:name="_Toc19236"/>
            <w:r>
              <w:rPr>
                <w:color w:val="auto"/>
                <w:szCs w:val="21"/>
              </w:rPr>
              <w:t>200</w:t>
            </w:r>
            <w:bookmarkEnd w:id="1641"/>
            <w:bookmarkEnd w:id="1642"/>
            <w:bookmarkEnd w:id="1643"/>
          </w:p>
        </w:tc>
        <w:tc>
          <w:tcPr>
            <w:tcW w:w="994" w:type="dxa"/>
            <w:vAlign w:val="center"/>
          </w:tcPr>
          <w:p>
            <w:pPr>
              <w:jc w:val="center"/>
              <w:outlineLvl w:val="9"/>
              <w:rPr>
                <w:color w:val="auto"/>
                <w:szCs w:val="21"/>
              </w:rPr>
            </w:pPr>
            <w:bookmarkStart w:id="1644" w:name="_Toc19578"/>
            <w:bookmarkStart w:id="1645" w:name="_Toc1185"/>
            <w:bookmarkStart w:id="1646" w:name="_Toc20475"/>
            <w:r>
              <w:rPr>
                <w:rFonts w:hint="eastAsia"/>
                <w:color w:val="auto"/>
              </w:rPr>
              <w:t>3.05E-02</w:t>
            </w:r>
            <w:bookmarkEnd w:id="1644"/>
            <w:bookmarkEnd w:id="1645"/>
            <w:bookmarkEnd w:id="1646"/>
          </w:p>
        </w:tc>
        <w:tc>
          <w:tcPr>
            <w:tcW w:w="994" w:type="dxa"/>
            <w:vAlign w:val="center"/>
          </w:tcPr>
          <w:p>
            <w:pPr>
              <w:jc w:val="center"/>
              <w:outlineLvl w:val="9"/>
              <w:rPr>
                <w:color w:val="auto"/>
                <w:szCs w:val="21"/>
              </w:rPr>
            </w:pPr>
            <w:bookmarkStart w:id="1647" w:name="_Toc6970"/>
            <w:bookmarkStart w:id="1648" w:name="_Toc15459"/>
            <w:bookmarkStart w:id="1649" w:name="_Toc29651"/>
            <w:r>
              <w:rPr>
                <w:rFonts w:hint="eastAsia"/>
                <w:color w:val="auto"/>
              </w:rPr>
              <w:t>0.00</w:t>
            </w:r>
            <w:bookmarkEnd w:id="1647"/>
            <w:bookmarkEnd w:id="1648"/>
            <w:bookmarkEnd w:id="1649"/>
          </w:p>
        </w:tc>
        <w:tc>
          <w:tcPr>
            <w:tcW w:w="994" w:type="dxa"/>
            <w:vAlign w:val="center"/>
          </w:tcPr>
          <w:p>
            <w:pPr>
              <w:jc w:val="center"/>
              <w:outlineLvl w:val="9"/>
              <w:rPr>
                <w:color w:val="auto"/>
              </w:rPr>
            </w:pPr>
            <w:bookmarkStart w:id="1650" w:name="_Toc200"/>
            <w:bookmarkStart w:id="1651" w:name="_Toc26050"/>
            <w:bookmarkStart w:id="1652" w:name="_Toc14241"/>
            <w:r>
              <w:rPr>
                <w:rFonts w:hint="eastAsia"/>
                <w:color w:val="auto"/>
              </w:rPr>
              <w:t>2.56E-06</w:t>
            </w:r>
            <w:bookmarkEnd w:id="1650"/>
            <w:bookmarkEnd w:id="1651"/>
            <w:bookmarkEnd w:id="1652"/>
          </w:p>
        </w:tc>
        <w:tc>
          <w:tcPr>
            <w:tcW w:w="994" w:type="dxa"/>
            <w:vAlign w:val="center"/>
          </w:tcPr>
          <w:p>
            <w:pPr>
              <w:jc w:val="center"/>
              <w:outlineLvl w:val="9"/>
              <w:rPr>
                <w:color w:val="auto"/>
              </w:rPr>
            </w:pPr>
            <w:bookmarkStart w:id="1653" w:name="_Toc25218"/>
            <w:bookmarkStart w:id="1654" w:name="_Toc968"/>
            <w:bookmarkStart w:id="1655" w:name="_Toc19180"/>
            <w:r>
              <w:rPr>
                <w:rFonts w:hint="eastAsia"/>
                <w:color w:val="auto"/>
              </w:rPr>
              <w:t>34.10</w:t>
            </w:r>
            <w:bookmarkEnd w:id="1653"/>
            <w:bookmarkEnd w:id="1654"/>
            <w:bookmarkEnd w:id="1655"/>
          </w:p>
        </w:tc>
        <w:tc>
          <w:tcPr>
            <w:tcW w:w="994" w:type="dxa"/>
            <w:vAlign w:val="center"/>
          </w:tcPr>
          <w:p>
            <w:pPr>
              <w:jc w:val="center"/>
              <w:outlineLvl w:val="9"/>
              <w:rPr>
                <w:color w:val="auto"/>
              </w:rPr>
            </w:pPr>
            <w:bookmarkStart w:id="1656" w:name="_Toc28378"/>
            <w:bookmarkStart w:id="1657" w:name="_Toc5420"/>
            <w:bookmarkStart w:id="1658" w:name="_Toc4269"/>
            <w:r>
              <w:rPr>
                <w:rFonts w:hint="eastAsia"/>
                <w:color w:val="auto"/>
              </w:rPr>
              <w:t>1.44E-02</w:t>
            </w:r>
            <w:bookmarkEnd w:id="1656"/>
            <w:bookmarkEnd w:id="1657"/>
            <w:bookmarkEnd w:id="1658"/>
          </w:p>
        </w:tc>
        <w:tc>
          <w:tcPr>
            <w:tcW w:w="996" w:type="dxa"/>
            <w:vAlign w:val="center"/>
          </w:tcPr>
          <w:p>
            <w:pPr>
              <w:jc w:val="center"/>
              <w:outlineLvl w:val="9"/>
              <w:rPr>
                <w:color w:val="auto"/>
              </w:rPr>
            </w:pPr>
            <w:bookmarkStart w:id="1659" w:name="_Toc21763"/>
            <w:bookmarkStart w:id="1660" w:name="_Toc15314"/>
            <w:bookmarkStart w:id="1661" w:name="_Toc2204"/>
            <w:r>
              <w:rPr>
                <w:rFonts w:hint="eastAsia"/>
                <w:color w:val="auto"/>
              </w:rPr>
              <w:t>7.18</w:t>
            </w:r>
            <w:bookmarkEnd w:id="1659"/>
            <w:bookmarkEnd w:id="1660"/>
            <w:bookmarkEnd w:id="1661"/>
          </w:p>
        </w:tc>
        <w:tc>
          <w:tcPr>
            <w:tcW w:w="994" w:type="dxa"/>
            <w:vAlign w:val="center"/>
          </w:tcPr>
          <w:p>
            <w:pPr>
              <w:jc w:val="center"/>
              <w:outlineLvl w:val="9"/>
              <w:rPr>
                <w:color w:val="auto"/>
              </w:rPr>
            </w:pPr>
            <w:bookmarkStart w:id="1662" w:name="_Toc14709"/>
            <w:bookmarkStart w:id="1663" w:name="_Toc223"/>
            <w:bookmarkStart w:id="1664" w:name="_Toc29713"/>
            <w:r>
              <w:rPr>
                <w:rFonts w:hint="eastAsia"/>
                <w:color w:val="auto"/>
              </w:rPr>
              <w:t>8.21E-02</w:t>
            </w:r>
            <w:bookmarkEnd w:id="1662"/>
            <w:bookmarkEnd w:id="1663"/>
            <w:bookmarkEnd w:id="1664"/>
          </w:p>
        </w:tc>
        <w:tc>
          <w:tcPr>
            <w:tcW w:w="994" w:type="dxa"/>
            <w:tcBorders>
              <w:right w:val="single" w:color="auto" w:sz="4" w:space="0"/>
            </w:tcBorders>
            <w:vAlign w:val="center"/>
          </w:tcPr>
          <w:p>
            <w:pPr>
              <w:jc w:val="center"/>
              <w:outlineLvl w:val="9"/>
              <w:rPr>
                <w:color w:val="auto"/>
              </w:rPr>
            </w:pPr>
            <w:bookmarkStart w:id="1665" w:name="_Toc15162"/>
            <w:bookmarkStart w:id="1666" w:name="_Toc9438"/>
            <w:bookmarkStart w:id="1667" w:name="_Toc15645"/>
            <w:r>
              <w:rPr>
                <w:rFonts w:hint="eastAsia"/>
                <w:color w:val="auto"/>
              </w:rPr>
              <w:t>0.01</w:t>
            </w:r>
            <w:bookmarkEnd w:id="1665"/>
            <w:bookmarkEnd w:id="1666"/>
            <w:bookmarkEnd w:id="166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668" w:name="_Toc19351"/>
            <w:bookmarkStart w:id="1669" w:name="_Toc2176"/>
            <w:bookmarkStart w:id="1670" w:name="_Toc30955"/>
            <w:r>
              <w:rPr>
                <w:color w:val="auto"/>
                <w:szCs w:val="21"/>
              </w:rPr>
              <w:t>225</w:t>
            </w:r>
            <w:bookmarkEnd w:id="1668"/>
            <w:bookmarkEnd w:id="1669"/>
            <w:bookmarkEnd w:id="1670"/>
          </w:p>
        </w:tc>
        <w:tc>
          <w:tcPr>
            <w:tcW w:w="994" w:type="dxa"/>
            <w:vAlign w:val="center"/>
          </w:tcPr>
          <w:p>
            <w:pPr>
              <w:jc w:val="center"/>
              <w:outlineLvl w:val="9"/>
              <w:rPr>
                <w:color w:val="auto"/>
                <w:szCs w:val="21"/>
              </w:rPr>
            </w:pPr>
            <w:bookmarkStart w:id="1671" w:name="_Toc6258"/>
            <w:bookmarkStart w:id="1672" w:name="_Toc17150"/>
            <w:bookmarkStart w:id="1673" w:name="_Toc3162"/>
            <w:r>
              <w:rPr>
                <w:rFonts w:hint="eastAsia"/>
                <w:color w:val="auto"/>
              </w:rPr>
              <w:t>2.58E-02</w:t>
            </w:r>
            <w:bookmarkEnd w:id="1671"/>
            <w:bookmarkEnd w:id="1672"/>
            <w:bookmarkEnd w:id="1673"/>
          </w:p>
        </w:tc>
        <w:tc>
          <w:tcPr>
            <w:tcW w:w="994" w:type="dxa"/>
            <w:vAlign w:val="center"/>
          </w:tcPr>
          <w:p>
            <w:pPr>
              <w:jc w:val="center"/>
              <w:outlineLvl w:val="9"/>
              <w:rPr>
                <w:color w:val="auto"/>
                <w:szCs w:val="21"/>
              </w:rPr>
            </w:pPr>
            <w:bookmarkStart w:id="1674" w:name="_Toc28422"/>
            <w:bookmarkStart w:id="1675" w:name="_Toc26395"/>
            <w:bookmarkStart w:id="1676" w:name="_Toc29365"/>
            <w:r>
              <w:rPr>
                <w:rFonts w:hint="eastAsia"/>
                <w:color w:val="auto"/>
              </w:rPr>
              <w:t>0.00</w:t>
            </w:r>
            <w:bookmarkEnd w:id="1674"/>
            <w:bookmarkEnd w:id="1675"/>
            <w:bookmarkEnd w:id="1676"/>
          </w:p>
        </w:tc>
        <w:tc>
          <w:tcPr>
            <w:tcW w:w="994" w:type="dxa"/>
            <w:vAlign w:val="center"/>
          </w:tcPr>
          <w:p>
            <w:pPr>
              <w:jc w:val="center"/>
              <w:outlineLvl w:val="9"/>
              <w:rPr>
                <w:color w:val="auto"/>
              </w:rPr>
            </w:pPr>
            <w:bookmarkStart w:id="1677" w:name="_Toc30051"/>
            <w:bookmarkStart w:id="1678" w:name="_Toc26157"/>
            <w:bookmarkStart w:id="1679" w:name="_Toc25686"/>
            <w:r>
              <w:rPr>
                <w:rFonts w:hint="eastAsia"/>
                <w:color w:val="auto"/>
              </w:rPr>
              <w:t>2.16E-06</w:t>
            </w:r>
            <w:bookmarkEnd w:id="1677"/>
            <w:bookmarkEnd w:id="1678"/>
            <w:bookmarkEnd w:id="1679"/>
          </w:p>
        </w:tc>
        <w:tc>
          <w:tcPr>
            <w:tcW w:w="994" w:type="dxa"/>
            <w:vAlign w:val="center"/>
          </w:tcPr>
          <w:p>
            <w:pPr>
              <w:jc w:val="center"/>
              <w:outlineLvl w:val="9"/>
              <w:rPr>
                <w:color w:val="auto"/>
              </w:rPr>
            </w:pPr>
            <w:bookmarkStart w:id="1680" w:name="_Toc29224"/>
            <w:bookmarkStart w:id="1681" w:name="_Toc7205"/>
            <w:bookmarkStart w:id="1682" w:name="_Toc16224"/>
            <w:r>
              <w:rPr>
                <w:rFonts w:hint="eastAsia"/>
                <w:color w:val="auto"/>
              </w:rPr>
              <w:t>28.85</w:t>
            </w:r>
            <w:bookmarkEnd w:id="1680"/>
            <w:bookmarkEnd w:id="1681"/>
            <w:bookmarkEnd w:id="1682"/>
          </w:p>
        </w:tc>
        <w:tc>
          <w:tcPr>
            <w:tcW w:w="994" w:type="dxa"/>
            <w:vAlign w:val="center"/>
          </w:tcPr>
          <w:p>
            <w:pPr>
              <w:jc w:val="center"/>
              <w:outlineLvl w:val="9"/>
              <w:rPr>
                <w:color w:val="auto"/>
              </w:rPr>
            </w:pPr>
            <w:bookmarkStart w:id="1683" w:name="_Toc5343"/>
            <w:bookmarkStart w:id="1684" w:name="_Toc17000"/>
            <w:bookmarkStart w:id="1685" w:name="_Toc13501"/>
            <w:r>
              <w:rPr>
                <w:rFonts w:hint="eastAsia"/>
                <w:color w:val="auto"/>
              </w:rPr>
              <w:t>1.21E-02</w:t>
            </w:r>
            <w:bookmarkEnd w:id="1683"/>
            <w:bookmarkEnd w:id="1684"/>
            <w:bookmarkEnd w:id="1685"/>
          </w:p>
        </w:tc>
        <w:tc>
          <w:tcPr>
            <w:tcW w:w="996" w:type="dxa"/>
            <w:vAlign w:val="center"/>
          </w:tcPr>
          <w:p>
            <w:pPr>
              <w:jc w:val="center"/>
              <w:outlineLvl w:val="9"/>
              <w:rPr>
                <w:color w:val="auto"/>
              </w:rPr>
            </w:pPr>
            <w:bookmarkStart w:id="1686" w:name="_Toc11345"/>
            <w:bookmarkStart w:id="1687" w:name="_Toc4625"/>
            <w:bookmarkStart w:id="1688" w:name="_Toc23022"/>
            <w:r>
              <w:rPr>
                <w:rFonts w:hint="eastAsia"/>
                <w:color w:val="auto"/>
              </w:rPr>
              <w:t>6.07</w:t>
            </w:r>
            <w:bookmarkEnd w:id="1686"/>
            <w:bookmarkEnd w:id="1687"/>
            <w:bookmarkEnd w:id="1688"/>
          </w:p>
        </w:tc>
        <w:tc>
          <w:tcPr>
            <w:tcW w:w="994" w:type="dxa"/>
            <w:vAlign w:val="center"/>
          </w:tcPr>
          <w:p>
            <w:pPr>
              <w:jc w:val="center"/>
              <w:outlineLvl w:val="9"/>
              <w:rPr>
                <w:color w:val="auto"/>
              </w:rPr>
            </w:pPr>
            <w:bookmarkStart w:id="1689" w:name="_Toc19183"/>
            <w:bookmarkStart w:id="1690" w:name="_Toc15695"/>
            <w:bookmarkStart w:id="1691" w:name="_Toc23122"/>
            <w:r>
              <w:rPr>
                <w:rFonts w:hint="eastAsia"/>
                <w:color w:val="auto"/>
              </w:rPr>
              <w:t>7.40E-02</w:t>
            </w:r>
            <w:bookmarkEnd w:id="1689"/>
            <w:bookmarkEnd w:id="1690"/>
            <w:bookmarkEnd w:id="1691"/>
          </w:p>
        </w:tc>
        <w:tc>
          <w:tcPr>
            <w:tcW w:w="994" w:type="dxa"/>
            <w:tcBorders>
              <w:right w:val="single" w:color="auto" w:sz="4" w:space="0"/>
            </w:tcBorders>
            <w:vAlign w:val="center"/>
          </w:tcPr>
          <w:p>
            <w:pPr>
              <w:jc w:val="center"/>
              <w:outlineLvl w:val="9"/>
              <w:rPr>
                <w:color w:val="auto"/>
              </w:rPr>
            </w:pPr>
            <w:bookmarkStart w:id="1692" w:name="_Toc18915"/>
            <w:bookmarkStart w:id="1693" w:name="_Toc16916"/>
            <w:bookmarkStart w:id="1694" w:name="_Toc6966"/>
            <w:r>
              <w:rPr>
                <w:rFonts w:hint="eastAsia"/>
                <w:color w:val="auto"/>
              </w:rPr>
              <w:t>0.01</w:t>
            </w:r>
            <w:bookmarkEnd w:id="1692"/>
            <w:bookmarkEnd w:id="1693"/>
            <w:bookmarkEnd w:id="169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695" w:name="_Toc28599"/>
            <w:bookmarkStart w:id="1696" w:name="_Toc19113"/>
            <w:bookmarkStart w:id="1697" w:name="_Toc8811"/>
            <w:r>
              <w:rPr>
                <w:color w:val="auto"/>
                <w:szCs w:val="21"/>
              </w:rPr>
              <w:t>250</w:t>
            </w:r>
            <w:bookmarkEnd w:id="1695"/>
            <w:bookmarkEnd w:id="1696"/>
            <w:bookmarkEnd w:id="1697"/>
          </w:p>
        </w:tc>
        <w:tc>
          <w:tcPr>
            <w:tcW w:w="994" w:type="dxa"/>
            <w:vAlign w:val="center"/>
          </w:tcPr>
          <w:p>
            <w:pPr>
              <w:jc w:val="center"/>
              <w:outlineLvl w:val="9"/>
              <w:rPr>
                <w:color w:val="auto"/>
                <w:szCs w:val="21"/>
              </w:rPr>
            </w:pPr>
            <w:bookmarkStart w:id="1698" w:name="_Toc13528"/>
            <w:bookmarkStart w:id="1699" w:name="_Toc10914"/>
            <w:bookmarkStart w:id="1700" w:name="_Toc18790"/>
            <w:r>
              <w:rPr>
                <w:rFonts w:hint="eastAsia"/>
                <w:color w:val="auto"/>
              </w:rPr>
              <w:t>2.45E-02</w:t>
            </w:r>
            <w:bookmarkEnd w:id="1698"/>
            <w:bookmarkEnd w:id="1699"/>
            <w:bookmarkEnd w:id="1700"/>
          </w:p>
        </w:tc>
        <w:tc>
          <w:tcPr>
            <w:tcW w:w="994" w:type="dxa"/>
            <w:vAlign w:val="center"/>
          </w:tcPr>
          <w:p>
            <w:pPr>
              <w:jc w:val="center"/>
              <w:outlineLvl w:val="9"/>
              <w:rPr>
                <w:color w:val="auto"/>
                <w:szCs w:val="21"/>
              </w:rPr>
            </w:pPr>
            <w:bookmarkStart w:id="1701" w:name="_Toc4420"/>
            <w:bookmarkStart w:id="1702" w:name="_Toc26284"/>
            <w:bookmarkStart w:id="1703" w:name="_Toc24564"/>
            <w:r>
              <w:rPr>
                <w:rFonts w:hint="eastAsia"/>
                <w:color w:val="auto"/>
              </w:rPr>
              <w:t>0.00</w:t>
            </w:r>
            <w:bookmarkEnd w:id="1701"/>
            <w:bookmarkEnd w:id="1702"/>
            <w:bookmarkEnd w:id="1703"/>
          </w:p>
        </w:tc>
        <w:tc>
          <w:tcPr>
            <w:tcW w:w="994" w:type="dxa"/>
            <w:vAlign w:val="center"/>
          </w:tcPr>
          <w:p>
            <w:pPr>
              <w:jc w:val="center"/>
              <w:outlineLvl w:val="9"/>
              <w:rPr>
                <w:color w:val="auto"/>
              </w:rPr>
            </w:pPr>
            <w:bookmarkStart w:id="1704" w:name="_Toc27121"/>
            <w:bookmarkStart w:id="1705" w:name="_Toc1243"/>
            <w:bookmarkStart w:id="1706" w:name="_Toc21523"/>
            <w:r>
              <w:rPr>
                <w:rFonts w:hint="eastAsia"/>
                <w:color w:val="auto"/>
              </w:rPr>
              <w:t>2.05E-06</w:t>
            </w:r>
            <w:bookmarkEnd w:id="1704"/>
            <w:bookmarkEnd w:id="1705"/>
            <w:bookmarkEnd w:id="1706"/>
          </w:p>
        </w:tc>
        <w:tc>
          <w:tcPr>
            <w:tcW w:w="994" w:type="dxa"/>
            <w:vAlign w:val="center"/>
          </w:tcPr>
          <w:p>
            <w:pPr>
              <w:jc w:val="center"/>
              <w:outlineLvl w:val="9"/>
              <w:rPr>
                <w:color w:val="auto"/>
              </w:rPr>
            </w:pPr>
            <w:bookmarkStart w:id="1707" w:name="_Toc22949"/>
            <w:bookmarkStart w:id="1708" w:name="_Toc16400"/>
            <w:bookmarkStart w:id="1709" w:name="_Toc10927"/>
            <w:r>
              <w:rPr>
                <w:rFonts w:hint="eastAsia"/>
                <w:color w:val="auto"/>
              </w:rPr>
              <w:t>27.39</w:t>
            </w:r>
            <w:bookmarkEnd w:id="1707"/>
            <w:bookmarkEnd w:id="1708"/>
            <w:bookmarkEnd w:id="1709"/>
          </w:p>
        </w:tc>
        <w:tc>
          <w:tcPr>
            <w:tcW w:w="994" w:type="dxa"/>
            <w:vAlign w:val="center"/>
          </w:tcPr>
          <w:p>
            <w:pPr>
              <w:jc w:val="center"/>
              <w:outlineLvl w:val="9"/>
              <w:rPr>
                <w:color w:val="auto"/>
              </w:rPr>
            </w:pPr>
            <w:bookmarkStart w:id="1710" w:name="_Toc26877"/>
            <w:bookmarkStart w:id="1711" w:name="_Toc32495"/>
            <w:bookmarkStart w:id="1712" w:name="_Toc20701"/>
            <w:r>
              <w:rPr>
                <w:rFonts w:hint="eastAsia"/>
                <w:color w:val="auto"/>
              </w:rPr>
              <w:t>1.15E-02</w:t>
            </w:r>
            <w:bookmarkEnd w:id="1710"/>
            <w:bookmarkEnd w:id="1711"/>
            <w:bookmarkEnd w:id="1712"/>
          </w:p>
        </w:tc>
        <w:tc>
          <w:tcPr>
            <w:tcW w:w="996" w:type="dxa"/>
            <w:vAlign w:val="center"/>
          </w:tcPr>
          <w:p>
            <w:pPr>
              <w:jc w:val="center"/>
              <w:outlineLvl w:val="9"/>
              <w:rPr>
                <w:color w:val="auto"/>
              </w:rPr>
            </w:pPr>
            <w:bookmarkStart w:id="1713" w:name="_Toc2823"/>
            <w:bookmarkStart w:id="1714" w:name="_Toc5556"/>
            <w:bookmarkStart w:id="1715" w:name="_Toc20241"/>
            <w:r>
              <w:rPr>
                <w:rFonts w:hint="eastAsia"/>
                <w:color w:val="auto"/>
              </w:rPr>
              <w:t>5.76</w:t>
            </w:r>
            <w:bookmarkEnd w:id="1713"/>
            <w:bookmarkEnd w:id="1714"/>
            <w:bookmarkEnd w:id="1715"/>
          </w:p>
        </w:tc>
        <w:tc>
          <w:tcPr>
            <w:tcW w:w="994" w:type="dxa"/>
            <w:vAlign w:val="center"/>
          </w:tcPr>
          <w:p>
            <w:pPr>
              <w:jc w:val="center"/>
              <w:outlineLvl w:val="9"/>
              <w:rPr>
                <w:color w:val="auto"/>
              </w:rPr>
            </w:pPr>
            <w:bookmarkStart w:id="1716" w:name="_Toc3716"/>
            <w:bookmarkStart w:id="1717" w:name="_Toc15196"/>
            <w:bookmarkStart w:id="1718" w:name="_Toc1821"/>
            <w:r>
              <w:rPr>
                <w:rFonts w:hint="eastAsia"/>
                <w:color w:val="auto"/>
              </w:rPr>
              <w:t>6.72E-02</w:t>
            </w:r>
            <w:bookmarkEnd w:id="1716"/>
            <w:bookmarkEnd w:id="1717"/>
            <w:bookmarkEnd w:id="1718"/>
          </w:p>
        </w:tc>
        <w:tc>
          <w:tcPr>
            <w:tcW w:w="994" w:type="dxa"/>
            <w:tcBorders>
              <w:right w:val="single" w:color="auto" w:sz="4" w:space="0"/>
            </w:tcBorders>
            <w:vAlign w:val="center"/>
          </w:tcPr>
          <w:p>
            <w:pPr>
              <w:jc w:val="center"/>
              <w:outlineLvl w:val="9"/>
              <w:rPr>
                <w:color w:val="auto"/>
              </w:rPr>
            </w:pPr>
            <w:bookmarkStart w:id="1719" w:name="_Toc7955"/>
            <w:bookmarkStart w:id="1720" w:name="_Toc27729"/>
            <w:bookmarkStart w:id="1721" w:name="_Toc1769"/>
            <w:r>
              <w:rPr>
                <w:rFonts w:hint="eastAsia"/>
                <w:color w:val="auto"/>
              </w:rPr>
              <w:t>0.01</w:t>
            </w:r>
            <w:bookmarkEnd w:id="1719"/>
            <w:bookmarkEnd w:id="1720"/>
            <w:bookmarkEnd w:id="1721"/>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722" w:name="_Toc8757"/>
            <w:bookmarkStart w:id="1723" w:name="_Toc5678"/>
            <w:bookmarkStart w:id="1724" w:name="_Toc16535"/>
            <w:r>
              <w:rPr>
                <w:color w:val="auto"/>
                <w:szCs w:val="21"/>
              </w:rPr>
              <w:t>275</w:t>
            </w:r>
            <w:bookmarkEnd w:id="1722"/>
            <w:bookmarkEnd w:id="1723"/>
            <w:bookmarkEnd w:id="1724"/>
          </w:p>
        </w:tc>
        <w:tc>
          <w:tcPr>
            <w:tcW w:w="994" w:type="dxa"/>
            <w:vAlign w:val="center"/>
          </w:tcPr>
          <w:p>
            <w:pPr>
              <w:jc w:val="center"/>
              <w:outlineLvl w:val="9"/>
              <w:rPr>
                <w:color w:val="auto"/>
                <w:szCs w:val="21"/>
              </w:rPr>
            </w:pPr>
            <w:bookmarkStart w:id="1725" w:name="_Toc10412"/>
            <w:bookmarkStart w:id="1726" w:name="_Toc23600"/>
            <w:bookmarkStart w:id="1727" w:name="_Toc29779"/>
            <w:r>
              <w:rPr>
                <w:rFonts w:hint="eastAsia"/>
                <w:color w:val="auto"/>
              </w:rPr>
              <w:t>2.35E-02</w:t>
            </w:r>
            <w:bookmarkEnd w:id="1725"/>
            <w:bookmarkEnd w:id="1726"/>
            <w:bookmarkEnd w:id="1727"/>
          </w:p>
        </w:tc>
        <w:tc>
          <w:tcPr>
            <w:tcW w:w="994" w:type="dxa"/>
            <w:vAlign w:val="center"/>
          </w:tcPr>
          <w:p>
            <w:pPr>
              <w:jc w:val="center"/>
              <w:outlineLvl w:val="9"/>
              <w:rPr>
                <w:color w:val="auto"/>
                <w:szCs w:val="21"/>
              </w:rPr>
            </w:pPr>
            <w:bookmarkStart w:id="1728" w:name="_Toc21225"/>
            <w:bookmarkStart w:id="1729" w:name="_Toc22317"/>
            <w:bookmarkStart w:id="1730" w:name="_Toc21925"/>
            <w:r>
              <w:rPr>
                <w:rFonts w:hint="eastAsia"/>
                <w:color w:val="auto"/>
              </w:rPr>
              <w:t>0.00</w:t>
            </w:r>
            <w:bookmarkEnd w:id="1728"/>
            <w:bookmarkEnd w:id="1729"/>
            <w:bookmarkEnd w:id="1730"/>
          </w:p>
        </w:tc>
        <w:tc>
          <w:tcPr>
            <w:tcW w:w="994" w:type="dxa"/>
            <w:vAlign w:val="center"/>
          </w:tcPr>
          <w:p>
            <w:pPr>
              <w:jc w:val="center"/>
              <w:outlineLvl w:val="9"/>
              <w:rPr>
                <w:color w:val="auto"/>
              </w:rPr>
            </w:pPr>
            <w:bookmarkStart w:id="1731" w:name="_Toc17888"/>
            <w:bookmarkStart w:id="1732" w:name="_Toc32207"/>
            <w:bookmarkStart w:id="1733" w:name="_Toc26486"/>
            <w:r>
              <w:rPr>
                <w:rFonts w:hint="eastAsia"/>
                <w:color w:val="auto"/>
              </w:rPr>
              <w:t>1.97E-06</w:t>
            </w:r>
            <w:bookmarkEnd w:id="1731"/>
            <w:bookmarkEnd w:id="1732"/>
            <w:bookmarkEnd w:id="1733"/>
          </w:p>
        </w:tc>
        <w:tc>
          <w:tcPr>
            <w:tcW w:w="994" w:type="dxa"/>
            <w:vAlign w:val="center"/>
          </w:tcPr>
          <w:p>
            <w:pPr>
              <w:jc w:val="center"/>
              <w:outlineLvl w:val="9"/>
              <w:rPr>
                <w:color w:val="auto"/>
              </w:rPr>
            </w:pPr>
            <w:bookmarkStart w:id="1734" w:name="_Toc32728"/>
            <w:bookmarkStart w:id="1735" w:name="_Toc18104"/>
            <w:bookmarkStart w:id="1736" w:name="_Toc26498"/>
            <w:r>
              <w:rPr>
                <w:rFonts w:hint="eastAsia"/>
                <w:color w:val="auto"/>
              </w:rPr>
              <w:t>26.28</w:t>
            </w:r>
            <w:bookmarkEnd w:id="1734"/>
            <w:bookmarkEnd w:id="1735"/>
            <w:bookmarkEnd w:id="1736"/>
          </w:p>
        </w:tc>
        <w:tc>
          <w:tcPr>
            <w:tcW w:w="994" w:type="dxa"/>
            <w:vAlign w:val="center"/>
          </w:tcPr>
          <w:p>
            <w:pPr>
              <w:jc w:val="center"/>
              <w:outlineLvl w:val="9"/>
              <w:rPr>
                <w:color w:val="auto"/>
              </w:rPr>
            </w:pPr>
            <w:bookmarkStart w:id="1737" w:name="_Toc22924"/>
            <w:bookmarkStart w:id="1738" w:name="_Toc16326"/>
            <w:bookmarkStart w:id="1739" w:name="_Toc30085"/>
            <w:r>
              <w:rPr>
                <w:rFonts w:hint="eastAsia"/>
                <w:color w:val="auto"/>
              </w:rPr>
              <w:t>1.11E-02</w:t>
            </w:r>
            <w:bookmarkEnd w:id="1737"/>
            <w:bookmarkEnd w:id="1738"/>
            <w:bookmarkEnd w:id="1739"/>
          </w:p>
        </w:tc>
        <w:tc>
          <w:tcPr>
            <w:tcW w:w="996" w:type="dxa"/>
            <w:vAlign w:val="center"/>
          </w:tcPr>
          <w:p>
            <w:pPr>
              <w:jc w:val="center"/>
              <w:outlineLvl w:val="9"/>
              <w:rPr>
                <w:color w:val="auto"/>
              </w:rPr>
            </w:pPr>
            <w:bookmarkStart w:id="1740" w:name="_Toc11372"/>
            <w:bookmarkStart w:id="1741" w:name="_Toc21780"/>
            <w:bookmarkStart w:id="1742" w:name="_Toc812"/>
            <w:r>
              <w:rPr>
                <w:rFonts w:hint="eastAsia"/>
                <w:color w:val="auto"/>
              </w:rPr>
              <w:t>5.53</w:t>
            </w:r>
            <w:bookmarkEnd w:id="1740"/>
            <w:bookmarkEnd w:id="1741"/>
            <w:bookmarkEnd w:id="1742"/>
          </w:p>
        </w:tc>
        <w:tc>
          <w:tcPr>
            <w:tcW w:w="994" w:type="dxa"/>
            <w:vAlign w:val="center"/>
          </w:tcPr>
          <w:p>
            <w:pPr>
              <w:jc w:val="center"/>
              <w:outlineLvl w:val="9"/>
              <w:rPr>
                <w:color w:val="auto"/>
              </w:rPr>
            </w:pPr>
            <w:bookmarkStart w:id="1743" w:name="_Toc6357"/>
            <w:bookmarkStart w:id="1744" w:name="_Toc25079"/>
            <w:bookmarkStart w:id="1745" w:name="_Toc28521"/>
            <w:r>
              <w:rPr>
                <w:rFonts w:hint="eastAsia"/>
                <w:color w:val="auto"/>
              </w:rPr>
              <w:t>6.14E-02</w:t>
            </w:r>
            <w:bookmarkEnd w:id="1743"/>
            <w:bookmarkEnd w:id="1744"/>
            <w:bookmarkEnd w:id="1745"/>
          </w:p>
        </w:tc>
        <w:tc>
          <w:tcPr>
            <w:tcW w:w="994" w:type="dxa"/>
            <w:tcBorders>
              <w:right w:val="single" w:color="auto" w:sz="4" w:space="0"/>
            </w:tcBorders>
            <w:vAlign w:val="center"/>
          </w:tcPr>
          <w:p>
            <w:pPr>
              <w:jc w:val="center"/>
              <w:outlineLvl w:val="9"/>
              <w:rPr>
                <w:color w:val="auto"/>
              </w:rPr>
            </w:pPr>
            <w:bookmarkStart w:id="1746" w:name="_Toc6794"/>
            <w:bookmarkStart w:id="1747" w:name="_Toc26806"/>
            <w:bookmarkStart w:id="1748" w:name="_Toc172"/>
            <w:r>
              <w:rPr>
                <w:rFonts w:hint="eastAsia"/>
                <w:color w:val="auto"/>
              </w:rPr>
              <w:t>0.01</w:t>
            </w:r>
            <w:bookmarkEnd w:id="1746"/>
            <w:bookmarkEnd w:id="1747"/>
            <w:bookmarkEnd w:id="1748"/>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749" w:name="_Toc2059"/>
            <w:bookmarkStart w:id="1750" w:name="_Toc8273"/>
            <w:bookmarkStart w:id="1751" w:name="_Toc11505"/>
            <w:r>
              <w:rPr>
                <w:color w:val="auto"/>
                <w:szCs w:val="21"/>
              </w:rPr>
              <w:t>300</w:t>
            </w:r>
            <w:bookmarkEnd w:id="1749"/>
            <w:bookmarkEnd w:id="1750"/>
            <w:bookmarkEnd w:id="1751"/>
          </w:p>
        </w:tc>
        <w:tc>
          <w:tcPr>
            <w:tcW w:w="994" w:type="dxa"/>
            <w:vAlign w:val="center"/>
          </w:tcPr>
          <w:p>
            <w:pPr>
              <w:jc w:val="center"/>
              <w:outlineLvl w:val="9"/>
              <w:rPr>
                <w:color w:val="auto"/>
                <w:szCs w:val="21"/>
              </w:rPr>
            </w:pPr>
            <w:bookmarkStart w:id="1752" w:name="_Toc22971"/>
            <w:bookmarkStart w:id="1753" w:name="_Toc27303"/>
            <w:bookmarkStart w:id="1754" w:name="_Toc20810"/>
            <w:r>
              <w:rPr>
                <w:rFonts w:hint="eastAsia"/>
                <w:color w:val="auto"/>
              </w:rPr>
              <w:t>2.20E-02</w:t>
            </w:r>
            <w:bookmarkEnd w:id="1752"/>
            <w:bookmarkEnd w:id="1753"/>
            <w:bookmarkEnd w:id="1754"/>
          </w:p>
        </w:tc>
        <w:tc>
          <w:tcPr>
            <w:tcW w:w="994" w:type="dxa"/>
            <w:vAlign w:val="center"/>
          </w:tcPr>
          <w:p>
            <w:pPr>
              <w:jc w:val="center"/>
              <w:outlineLvl w:val="9"/>
              <w:rPr>
                <w:color w:val="auto"/>
                <w:szCs w:val="21"/>
              </w:rPr>
            </w:pPr>
            <w:bookmarkStart w:id="1755" w:name="_Toc25849"/>
            <w:bookmarkStart w:id="1756" w:name="_Toc5858"/>
            <w:bookmarkStart w:id="1757" w:name="_Toc19197"/>
            <w:r>
              <w:rPr>
                <w:rFonts w:hint="eastAsia"/>
                <w:color w:val="auto"/>
              </w:rPr>
              <w:t>0.00</w:t>
            </w:r>
            <w:bookmarkEnd w:id="1755"/>
            <w:bookmarkEnd w:id="1756"/>
            <w:bookmarkEnd w:id="1757"/>
          </w:p>
        </w:tc>
        <w:tc>
          <w:tcPr>
            <w:tcW w:w="994" w:type="dxa"/>
            <w:vAlign w:val="center"/>
          </w:tcPr>
          <w:p>
            <w:pPr>
              <w:jc w:val="center"/>
              <w:outlineLvl w:val="9"/>
              <w:rPr>
                <w:color w:val="auto"/>
              </w:rPr>
            </w:pPr>
            <w:bookmarkStart w:id="1758" w:name="_Toc6986"/>
            <w:bookmarkStart w:id="1759" w:name="_Toc9248"/>
            <w:bookmarkStart w:id="1760" w:name="_Toc11674"/>
            <w:r>
              <w:rPr>
                <w:rFonts w:hint="eastAsia"/>
                <w:color w:val="auto"/>
              </w:rPr>
              <w:t>1.84E-06</w:t>
            </w:r>
            <w:bookmarkEnd w:id="1758"/>
            <w:bookmarkEnd w:id="1759"/>
            <w:bookmarkEnd w:id="1760"/>
          </w:p>
        </w:tc>
        <w:tc>
          <w:tcPr>
            <w:tcW w:w="994" w:type="dxa"/>
            <w:vAlign w:val="center"/>
          </w:tcPr>
          <w:p>
            <w:pPr>
              <w:jc w:val="center"/>
              <w:outlineLvl w:val="9"/>
              <w:rPr>
                <w:color w:val="auto"/>
              </w:rPr>
            </w:pPr>
            <w:bookmarkStart w:id="1761" w:name="_Toc4832"/>
            <w:bookmarkStart w:id="1762" w:name="_Toc1843"/>
            <w:bookmarkStart w:id="1763" w:name="_Toc16816"/>
            <w:r>
              <w:rPr>
                <w:rFonts w:hint="eastAsia"/>
                <w:color w:val="auto"/>
              </w:rPr>
              <w:t>24.55</w:t>
            </w:r>
            <w:bookmarkEnd w:id="1761"/>
            <w:bookmarkEnd w:id="1762"/>
            <w:bookmarkEnd w:id="1763"/>
          </w:p>
        </w:tc>
        <w:tc>
          <w:tcPr>
            <w:tcW w:w="994" w:type="dxa"/>
            <w:vAlign w:val="center"/>
          </w:tcPr>
          <w:p>
            <w:pPr>
              <w:jc w:val="center"/>
              <w:outlineLvl w:val="9"/>
              <w:rPr>
                <w:color w:val="auto"/>
              </w:rPr>
            </w:pPr>
            <w:bookmarkStart w:id="1764" w:name="_Toc1793"/>
            <w:bookmarkStart w:id="1765" w:name="_Toc23239"/>
            <w:bookmarkStart w:id="1766" w:name="_Toc7945"/>
            <w:r>
              <w:rPr>
                <w:rFonts w:hint="eastAsia"/>
                <w:color w:val="auto"/>
              </w:rPr>
              <w:t>1.03E-02</w:t>
            </w:r>
            <w:bookmarkEnd w:id="1764"/>
            <w:bookmarkEnd w:id="1765"/>
            <w:bookmarkEnd w:id="1766"/>
          </w:p>
        </w:tc>
        <w:tc>
          <w:tcPr>
            <w:tcW w:w="996" w:type="dxa"/>
            <w:vAlign w:val="center"/>
          </w:tcPr>
          <w:p>
            <w:pPr>
              <w:jc w:val="center"/>
              <w:outlineLvl w:val="9"/>
              <w:rPr>
                <w:color w:val="auto"/>
              </w:rPr>
            </w:pPr>
            <w:bookmarkStart w:id="1767" w:name="_Toc11842"/>
            <w:bookmarkStart w:id="1768" w:name="_Toc4624"/>
            <w:bookmarkStart w:id="1769" w:name="_Toc23157"/>
            <w:r>
              <w:rPr>
                <w:rFonts w:hint="eastAsia"/>
                <w:color w:val="auto"/>
              </w:rPr>
              <w:t>5.17</w:t>
            </w:r>
            <w:bookmarkEnd w:id="1767"/>
            <w:bookmarkEnd w:id="1768"/>
            <w:bookmarkEnd w:id="1769"/>
          </w:p>
        </w:tc>
        <w:tc>
          <w:tcPr>
            <w:tcW w:w="994" w:type="dxa"/>
            <w:vAlign w:val="center"/>
          </w:tcPr>
          <w:p>
            <w:pPr>
              <w:jc w:val="center"/>
              <w:outlineLvl w:val="9"/>
              <w:rPr>
                <w:color w:val="auto"/>
              </w:rPr>
            </w:pPr>
            <w:bookmarkStart w:id="1770" w:name="_Toc20530"/>
            <w:bookmarkStart w:id="1771" w:name="_Toc19173"/>
            <w:bookmarkStart w:id="1772" w:name="_Toc15748"/>
            <w:r>
              <w:rPr>
                <w:rFonts w:hint="eastAsia"/>
                <w:color w:val="auto"/>
              </w:rPr>
              <w:t>5.62E-02</w:t>
            </w:r>
            <w:bookmarkEnd w:id="1770"/>
            <w:bookmarkEnd w:id="1771"/>
            <w:bookmarkEnd w:id="1772"/>
          </w:p>
        </w:tc>
        <w:tc>
          <w:tcPr>
            <w:tcW w:w="994" w:type="dxa"/>
            <w:tcBorders>
              <w:right w:val="single" w:color="auto" w:sz="4" w:space="0"/>
            </w:tcBorders>
            <w:vAlign w:val="center"/>
          </w:tcPr>
          <w:p>
            <w:pPr>
              <w:jc w:val="center"/>
              <w:outlineLvl w:val="9"/>
              <w:rPr>
                <w:color w:val="auto"/>
              </w:rPr>
            </w:pPr>
            <w:bookmarkStart w:id="1773" w:name="_Toc26330"/>
            <w:bookmarkStart w:id="1774" w:name="_Toc30017"/>
            <w:bookmarkStart w:id="1775" w:name="_Toc15147"/>
            <w:r>
              <w:rPr>
                <w:rFonts w:hint="eastAsia"/>
                <w:color w:val="auto"/>
              </w:rPr>
              <w:t>0.01</w:t>
            </w:r>
            <w:bookmarkEnd w:id="1773"/>
            <w:bookmarkEnd w:id="1774"/>
            <w:bookmarkEnd w:id="1775"/>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776" w:name="_Toc19130"/>
            <w:bookmarkStart w:id="1777" w:name="_Toc11175"/>
            <w:bookmarkStart w:id="1778" w:name="_Toc32699"/>
            <w:r>
              <w:rPr>
                <w:color w:val="auto"/>
                <w:szCs w:val="21"/>
              </w:rPr>
              <w:t>325</w:t>
            </w:r>
            <w:bookmarkEnd w:id="1776"/>
            <w:bookmarkEnd w:id="1777"/>
            <w:bookmarkEnd w:id="1778"/>
          </w:p>
        </w:tc>
        <w:tc>
          <w:tcPr>
            <w:tcW w:w="994" w:type="dxa"/>
            <w:vAlign w:val="center"/>
          </w:tcPr>
          <w:p>
            <w:pPr>
              <w:jc w:val="center"/>
              <w:outlineLvl w:val="9"/>
              <w:rPr>
                <w:color w:val="auto"/>
                <w:szCs w:val="21"/>
              </w:rPr>
            </w:pPr>
            <w:bookmarkStart w:id="1779" w:name="_Toc8732"/>
            <w:bookmarkStart w:id="1780" w:name="_Toc3871"/>
            <w:bookmarkStart w:id="1781" w:name="_Toc3563"/>
            <w:r>
              <w:rPr>
                <w:rFonts w:hint="eastAsia"/>
                <w:color w:val="auto"/>
              </w:rPr>
              <w:t>2.07E-02</w:t>
            </w:r>
            <w:bookmarkEnd w:id="1779"/>
            <w:bookmarkEnd w:id="1780"/>
            <w:bookmarkEnd w:id="1781"/>
          </w:p>
        </w:tc>
        <w:tc>
          <w:tcPr>
            <w:tcW w:w="994" w:type="dxa"/>
            <w:vAlign w:val="center"/>
          </w:tcPr>
          <w:p>
            <w:pPr>
              <w:jc w:val="center"/>
              <w:outlineLvl w:val="9"/>
              <w:rPr>
                <w:color w:val="auto"/>
                <w:szCs w:val="21"/>
              </w:rPr>
            </w:pPr>
            <w:bookmarkStart w:id="1782" w:name="_Toc21108"/>
            <w:bookmarkStart w:id="1783" w:name="_Toc10887"/>
            <w:bookmarkStart w:id="1784" w:name="_Toc21558"/>
            <w:r>
              <w:rPr>
                <w:rFonts w:hint="eastAsia"/>
                <w:color w:val="auto"/>
              </w:rPr>
              <w:t>0.00</w:t>
            </w:r>
            <w:bookmarkEnd w:id="1782"/>
            <w:bookmarkEnd w:id="1783"/>
            <w:bookmarkEnd w:id="1784"/>
          </w:p>
        </w:tc>
        <w:tc>
          <w:tcPr>
            <w:tcW w:w="994" w:type="dxa"/>
            <w:vAlign w:val="center"/>
          </w:tcPr>
          <w:p>
            <w:pPr>
              <w:jc w:val="center"/>
              <w:outlineLvl w:val="9"/>
              <w:rPr>
                <w:color w:val="auto"/>
              </w:rPr>
            </w:pPr>
            <w:bookmarkStart w:id="1785" w:name="_Toc4030"/>
            <w:bookmarkStart w:id="1786" w:name="_Toc30168"/>
            <w:bookmarkStart w:id="1787" w:name="_Toc13457"/>
            <w:r>
              <w:rPr>
                <w:rFonts w:hint="eastAsia"/>
                <w:color w:val="auto"/>
              </w:rPr>
              <w:t>1.73E-06</w:t>
            </w:r>
            <w:bookmarkEnd w:id="1785"/>
            <w:bookmarkEnd w:id="1786"/>
            <w:bookmarkEnd w:id="1787"/>
          </w:p>
        </w:tc>
        <w:tc>
          <w:tcPr>
            <w:tcW w:w="994" w:type="dxa"/>
            <w:vAlign w:val="center"/>
          </w:tcPr>
          <w:p>
            <w:pPr>
              <w:jc w:val="center"/>
              <w:outlineLvl w:val="9"/>
              <w:rPr>
                <w:color w:val="auto"/>
              </w:rPr>
            </w:pPr>
            <w:bookmarkStart w:id="1788" w:name="_Toc28317"/>
            <w:bookmarkStart w:id="1789" w:name="_Toc14497"/>
            <w:bookmarkStart w:id="1790" w:name="_Toc1812"/>
            <w:r>
              <w:rPr>
                <w:rFonts w:hint="eastAsia"/>
                <w:color w:val="auto"/>
              </w:rPr>
              <w:t>23.10</w:t>
            </w:r>
            <w:bookmarkEnd w:id="1788"/>
            <w:bookmarkEnd w:id="1789"/>
            <w:bookmarkEnd w:id="1790"/>
          </w:p>
        </w:tc>
        <w:tc>
          <w:tcPr>
            <w:tcW w:w="994" w:type="dxa"/>
            <w:vAlign w:val="center"/>
          </w:tcPr>
          <w:p>
            <w:pPr>
              <w:jc w:val="center"/>
              <w:outlineLvl w:val="9"/>
              <w:rPr>
                <w:color w:val="auto"/>
              </w:rPr>
            </w:pPr>
            <w:bookmarkStart w:id="1791" w:name="_Toc22310"/>
            <w:bookmarkStart w:id="1792" w:name="_Toc24858"/>
            <w:bookmarkStart w:id="1793" w:name="_Toc10112"/>
            <w:r>
              <w:rPr>
                <w:rFonts w:hint="eastAsia"/>
                <w:color w:val="auto"/>
              </w:rPr>
              <w:t>9.72E-03</w:t>
            </w:r>
            <w:bookmarkEnd w:id="1791"/>
            <w:bookmarkEnd w:id="1792"/>
            <w:bookmarkEnd w:id="1793"/>
          </w:p>
        </w:tc>
        <w:tc>
          <w:tcPr>
            <w:tcW w:w="996" w:type="dxa"/>
            <w:vAlign w:val="center"/>
          </w:tcPr>
          <w:p>
            <w:pPr>
              <w:jc w:val="center"/>
              <w:outlineLvl w:val="9"/>
              <w:rPr>
                <w:color w:val="auto"/>
              </w:rPr>
            </w:pPr>
            <w:bookmarkStart w:id="1794" w:name="_Toc26898"/>
            <w:bookmarkStart w:id="1795" w:name="_Toc14373"/>
            <w:bookmarkStart w:id="1796" w:name="_Toc28487"/>
            <w:r>
              <w:rPr>
                <w:rFonts w:hint="eastAsia"/>
                <w:color w:val="auto"/>
              </w:rPr>
              <w:t>4.86</w:t>
            </w:r>
            <w:bookmarkEnd w:id="1794"/>
            <w:bookmarkEnd w:id="1795"/>
            <w:bookmarkEnd w:id="1796"/>
          </w:p>
        </w:tc>
        <w:tc>
          <w:tcPr>
            <w:tcW w:w="994" w:type="dxa"/>
            <w:vAlign w:val="center"/>
          </w:tcPr>
          <w:p>
            <w:pPr>
              <w:jc w:val="center"/>
              <w:outlineLvl w:val="9"/>
              <w:rPr>
                <w:color w:val="auto"/>
              </w:rPr>
            </w:pPr>
            <w:bookmarkStart w:id="1797" w:name="_Toc17558"/>
            <w:bookmarkStart w:id="1798" w:name="_Toc13908"/>
            <w:bookmarkStart w:id="1799" w:name="_Toc10193"/>
            <w:r>
              <w:rPr>
                <w:rFonts w:hint="eastAsia"/>
                <w:color w:val="auto"/>
              </w:rPr>
              <w:t>5.18E-02</w:t>
            </w:r>
            <w:bookmarkEnd w:id="1797"/>
            <w:bookmarkEnd w:id="1798"/>
            <w:bookmarkEnd w:id="1799"/>
          </w:p>
        </w:tc>
        <w:tc>
          <w:tcPr>
            <w:tcW w:w="994" w:type="dxa"/>
            <w:tcBorders>
              <w:right w:val="single" w:color="auto" w:sz="4" w:space="0"/>
            </w:tcBorders>
            <w:vAlign w:val="center"/>
          </w:tcPr>
          <w:p>
            <w:pPr>
              <w:jc w:val="center"/>
              <w:outlineLvl w:val="9"/>
              <w:rPr>
                <w:color w:val="auto"/>
              </w:rPr>
            </w:pPr>
            <w:bookmarkStart w:id="1800" w:name="_Toc22788"/>
            <w:bookmarkStart w:id="1801" w:name="_Toc30493"/>
            <w:bookmarkStart w:id="1802" w:name="_Toc5062"/>
            <w:r>
              <w:rPr>
                <w:rFonts w:hint="eastAsia"/>
                <w:color w:val="auto"/>
              </w:rPr>
              <w:t>0.01</w:t>
            </w:r>
            <w:bookmarkEnd w:id="1800"/>
            <w:bookmarkEnd w:id="1801"/>
            <w:bookmarkEnd w:id="1802"/>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803" w:name="_Toc25982"/>
            <w:bookmarkStart w:id="1804" w:name="_Toc3486"/>
            <w:bookmarkStart w:id="1805" w:name="_Toc21929"/>
            <w:r>
              <w:rPr>
                <w:color w:val="auto"/>
                <w:szCs w:val="21"/>
              </w:rPr>
              <w:t>350</w:t>
            </w:r>
            <w:bookmarkEnd w:id="1803"/>
            <w:bookmarkEnd w:id="1804"/>
            <w:bookmarkEnd w:id="1805"/>
          </w:p>
        </w:tc>
        <w:tc>
          <w:tcPr>
            <w:tcW w:w="994" w:type="dxa"/>
            <w:vAlign w:val="center"/>
          </w:tcPr>
          <w:p>
            <w:pPr>
              <w:jc w:val="center"/>
              <w:outlineLvl w:val="9"/>
              <w:rPr>
                <w:color w:val="auto"/>
                <w:szCs w:val="21"/>
              </w:rPr>
            </w:pPr>
            <w:bookmarkStart w:id="1806" w:name="_Toc18668"/>
            <w:bookmarkStart w:id="1807" w:name="_Toc23295"/>
            <w:bookmarkStart w:id="1808" w:name="_Toc3309"/>
            <w:r>
              <w:rPr>
                <w:rFonts w:hint="eastAsia"/>
                <w:color w:val="auto"/>
              </w:rPr>
              <w:t>1.96E-02</w:t>
            </w:r>
            <w:bookmarkEnd w:id="1806"/>
            <w:bookmarkEnd w:id="1807"/>
            <w:bookmarkEnd w:id="1808"/>
          </w:p>
        </w:tc>
        <w:tc>
          <w:tcPr>
            <w:tcW w:w="994" w:type="dxa"/>
            <w:vAlign w:val="center"/>
          </w:tcPr>
          <w:p>
            <w:pPr>
              <w:jc w:val="center"/>
              <w:outlineLvl w:val="9"/>
              <w:rPr>
                <w:color w:val="auto"/>
                <w:szCs w:val="21"/>
              </w:rPr>
            </w:pPr>
            <w:bookmarkStart w:id="1809" w:name="_Toc1462"/>
            <w:bookmarkStart w:id="1810" w:name="_Toc11734"/>
            <w:bookmarkStart w:id="1811" w:name="_Toc4514"/>
            <w:r>
              <w:rPr>
                <w:rFonts w:hint="eastAsia"/>
                <w:color w:val="auto"/>
              </w:rPr>
              <w:t>0.00</w:t>
            </w:r>
            <w:bookmarkEnd w:id="1809"/>
            <w:bookmarkEnd w:id="1810"/>
            <w:bookmarkEnd w:id="1811"/>
          </w:p>
        </w:tc>
        <w:tc>
          <w:tcPr>
            <w:tcW w:w="994" w:type="dxa"/>
            <w:vAlign w:val="center"/>
          </w:tcPr>
          <w:p>
            <w:pPr>
              <w:jc w:val="center"/>
              <w:outlineLvl w:val="9"/>
              <w:rPr>
                <w:color w:val="auto"/>
              </w:rPr>
            </w:pPr>
            <w:bookmarkStart w:id="1812" w:name="_Toc8814"/>
            <w:bookmarkStart w:id="1813" w:name="_Toc337"/>
            <w:bookmarkStart w:id="1814" w:name="_Toc3342"/>
            <w:r>
              <w:rPr>
                <w:rFonts w:hint="eastAsia"/>
                <w:color w:val="auto"/>
              </w:rPr>
              <w:t>1.64E-06</w:t>
            </w:r>
            <w:bookmarkEnd w:id="1812"/>
            <w:bookmarkEnd w:id="1813"/>
            <w:bookmarkEnd w:id="1814"/>
          </w:p>
        </w:tc>
        <w:tc>
          <w:tcPr>
            <w:tcW w:w="994" w:type="dxa"/>
            <w:vAlign w:val="center"/>
          </w:tcPr>
          <w:p>
            <w:pPr>
              <w:jc w:val="center"/>
              <w:outlineLvl w:val="9"/>
              <w:rPr>
                <w:color w:val="auto"/>
              </w:rPr>
            </w:pPr>
            <w:bookmarkStart w:id="1815" w:name="_Toc31134"/>
            <w:bookmarkStart w:id="1816" w:name="_Toc27661"/>
            <w:bookmarkStart w:id="1817" w:name="_Toc9069"/>
            <w:r>
              <w:rPr>
                <w:rFonts w:hint="eastAsia"/>
                <w:color w:val="auto"/>
              </w:rPr>
              <w:t>21.84</w:t>
            </w:r>
            <w:bookmarkEnd w:id="1815"/>
            <w:bookmarkEnd w:id="1816"/>
            <w:bookmarkEnd w:id="1817"/>
          </w:p>
        </w:tc>
        <w:tc>
          <w:tcPr>
            <w:tcW w:w="994" w:type="dxa"/>
            <w:vAlign w:val="center"/>
          </w:tcPr>
          <w:p>
            <w:pPr>
              <w:jc w:val="center"/>
              <w:outlineLvl w:val="9"/>
              <w:rPr>
                <w:color w:val="auto"/>
              </w:rPr>
            </w:pPr>
            <w:bookmarkStart w:id="1818" w:name="_Toc27067"/>
            <w:bookmarkStart w:id="1819" w:name="_Toc25874"/>
            <w:bookmarkStart w:id="1820" w:name="_Toc24766"/>
            <w:r>
              <w:rPr>
                <w:rFonts w:hint="eastAsia"/>
                <w:color w:val="auto"/>
              </w:rPr>
              <w:t>9.19E-03</w:t>
            </w:r>
            <w:bookmarkEnd w:id="1818"/>
            <w:bookmarkEnd w:id="1819"/>
            <w:bookmarkEnd w:id="1820"/>
          </w:p>
        </w:tc>
        <w:tc>
          <w:tcPr>
            <w:tcW w:w="996" w:type="dxa"/>
            <w:vAlign w:val="center"/>
          </w:tcPr>
          <w:p>
            <w:pPr>
              <w:jc w:val="center"/>
              <w:outlineLvl w:val="9"/>
              <w:rPr>
                <w:color w:val="auto"/>
              </w:rPr>
            </w:pPr>
            <w:bookmarkStart w:id="1821" w:name="_Toc30382"/>
            <w:bookmarkStart w:id="1822" w:name="_Toc20644"/>
            <w:bookmarkStart w:id="1823" w:name="_Toc9340"/>
            <w:r>
              <w:rPr>
                <w:rFonts w:hint="eastAsia"/>
                <w:color w:val="auto"/>
              </w:rPr>
              <w:t>4.60</w:t>
            </w:r>
            <w:bookmarkEnd w:id="1821"/>
            <w:bookmarkEnd w:id="1822"/>
            <w:bookmarkEnd w:id="1823"/>
          </w:p>
        </w:tc>
        <w:tc>
          <w:tcPr>
            <w:tcW w:w="994" w:type="dxa"/>
            <w:vAlign w:val="center"/>
          </w:tcPr>
          <w:p>
            <w:pPr>
              <w:jc w:val="center"/>
              <w:outlineLvl w:val="9"/>
              <w:rPr>
                <w:color w:val="auto"/>
              </w:rPr>
            </w:pPr>
            <w:bookmarkStart w:id="1824" w:name="_Toc28000"/>
            <w:bookmarkStart w:id="1825" w:name="_Toc24777"/>
            <w:bookmarkStart w:id="1826" w:name="_Toc24925"/>
            <w:r>
              <w:rPr>
                <w:rFonts w:hint="eastAsia"/>
                <w:color w:val="auto"/>
              </w:rPr>
              <w:t>4.81E-02</w:t>
            </w:r>
            <w:bookmarkEnd w:id="1824"/>
            <w:bookmarkEnd w:id="1825"/>
            <w:bookmarkEnd w:id="1826"/>
          </w:p>
        </w:tc>
        <w:tc>
          <w:tcPr>
            <w:tcW w:w="994" w:type="dxa"/>
            <w:tcBorders>
              <w:right w:val="single" w:color="auto" w:sz="4" w:space="0"/>
            </w:tcBorders>
            <w:vAlign w:val="center"/>
          </w:tcPr>
          <w:p>
            <w:pPr>
              <w:jc w:val="center"/>
              <w:outlineLvl w:val="9"/>
              <w:rPr>
                <w:color w:val="auto"/>
              </w:rPr>
            </w:pPr>
            <w:bookmarkStart w:id="1827" w:name="_Toc18148"/>
            <w:bookmarkStart w:id="1828" w:name="_Toc26102"/>
            <w:bookmarkStart w:id="1829" w:name="_Toc30732"/>
            <w:r>
              <w:rPr>
                <w:rFonts w:hint="eastAsia"/>
                <w:color w:val="auto"/>
              </w:rPr>
              <w:t>0.01</w:t>
            </w:r>
            <w:bookmarkEnd w:id="1827"/>
            <w:bookmarkEnd w:id="1828"/>
            <w:bookmarkEnd w:id="1829"/>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830" w:name="_Toc25568"/>
            <w:bookmarkStart w:id="1831" w:name="_Toc28352"/>
            <w:bookmarkStart w:id="1832" w:name="_Toc20477"/>
            <w:r>
              <w:rPr>
                <w:color w:val="auto"/>
                <w:szCs w:val="21"/>
              </w:rPr>
              <w:t>375</w:t>
            </w:r>
            <w:bookmarkEnd w:id="1830"/>
            <w:bookmarkEnd w:id="1831"/>
            <w:bookmarkEnd w:id="1832"/>
          </w:p>
        </w:tc>
        <w:tc>
          <w:tcPr>
            <w:tcW w:w="994" w:type="dxa"/>
            <w:vAlign w:val="center"/>
          </w:tcPr>
          <w:p>
            <w:pPr>
              <w:jc w:val="center"/>
              <w:outlineLvl w:val="9"/>
              <w:rPr>
                <w:color w:val="auto"/>
                <w:szCs w:val="21"/>
              </w:rPr>
            </w:pPr>
            <w:bookmarkStart w:id="1833" w:name="_Toc14705"/>
            <w:bookmarkStart w:id="1834" w:name="_Toc21072"/>
            <w:bookmarkStart w:id="1835" w:name="_Toc10333"/>
            <w:r>
              <w:rPr>
                <w:rFonts w:hint="eastAsia"/>
                <w:color w:val="auto"/>
              </w:rPr>
              <w:t>1.86E-02</w:t>
            </w:r>
            <w:bookmarkEnd w:id="1833"/>
            <w:bookmarkEnd w:id="1834"/>
            <w:bookmarkEnd w:id="1835"/>
          </w:p>
        </w:tc>
        <w:tc>
          <w:tcPr>
            <w:tcW w:w="994" w:type="dxa"/>
            <w:vAlign w:val="center"/>
          </w:tcPr>
          <w:p>
            <w:pPr>
              <w:jc w:val="center"/>
              <w:outlineLvl w:val="9"/>
              <w:rPr>
                <w:color w:val="auto"/>
                <w:szCs w:val="21"/>
              </w:rPr>
            </w:pPr>
            <w:bookmarkStart w:id="1836" w:name="_Toc6437"/>
            <w:bookmarkStart w:id="1837" w:name="_Toc8727"/>
            <w:bookmarkStart w:id="1838" w:name="_Toc12207"/>
            <w:r>
              <w:rPr>
                <w:rFonts w:hint="eastAsia"/>
                <w:color w:val="auto"/>
              </w:rPr>
              <w:t>0.00</w:t>
            </w:r>
            <w:bookmarkEnd w:id="1836"/>
            <w:bookmarkEnd w:id="1837"/>
            <w:bookmarkEnd w:id="1838"/>
          </w:p>
        </w:tc>
        <w:tc>
          <w:tcPr>
            <w:tcW w:w="994" w:type="dxa"/>
            <w:vAlign w:val="center"/>
          </w:tcPr>
          <w:p>
            <w:pPr>
              <w:jc w:val="center"/>
              <w:outlineLvl w:val="9"/>
              <w:rPr>
                <w:color w:val="auto"/>
              </w:rPr>
            </w:pPr>
            <w:bookmarkStart w:id="1839" w:name="_Toc10057"/>
            <w:bookmarkStart w:id="1840" w:name="_Toc24981"/>
            <w:bookmarkStart w:id="1841" w:name="_Toc522"/>
            <w:r>
              <w:rPr>
                <w:rFonts w:hint="eastAsia"/>
                <w:color w:val="auto"/>
              </w:rPr>
              <w:t>1.56E-06</w:t>
            </w:r>
            <w:bookmarkEnd w:id="1839"/>
            <w:bookmarkEnd w:id="1840"/>
            <w:bookmarkEnd w:id="1841"/>
          </w:p>
        </w:tc>
        <w:tc>
          <w:tcPr>
            <w:tcW w:w="994" w:type="dxa"/>
            <w:vAlign w:val="center"/>
          </w:tcPr>
          <w:p>
            <w:pPr>
              <w:jc w:val="center"/>
              <w:outlineLvl w:val="9"/>
              <w:rPr>
                <w:color w:val="auto"/>
              </w:rPr>
            </w:pPr>
            <w:bookmarkStart w:id="1842" w:name="_Toc25008"/>
            <w:bookmarkStart w:id="1843" w:name="_Toc14776"/>
            <w:bookmarkStart w:id="1844" w:name="_Toc28513"/>
            <w:r>
              <w:rPr>
                <w:rFonts w:hint="eastAsia"/>
                <w:color w:val="auto"/>
              </w:rPr>
              <w:t>20.75</w:t>
            </w:r>
            <w:bookmarkEnd w:id="1842"/>
            <w:bookmarkEnd w:id="1843"/>
            <w:bookmarkEnd w:id="1844"/>
          </w:p>
        </w:tc>
        <w:tc>
          <w:tcPr>
            <w:tcW w:w="994" w:type="dxa"/>
            <w:vAlign w:val="center"/>
          </w:tcPr>
          <w:p>
            <w:pPr>
              <w:jc w:val="center"/>
              <w:outlineLvl w:val="9"/>
              <w:rPr>
                <w:color w:val="auto"/>
              </w:rPr>
            </w:pPr>
            <w:bookmarkStart w:id="1845" w:name="_Toc12348"/>
            <w:bookmarkStart w:id="1846" w:name="_Toc25833"/>
            <w:bookmarkStart w:id="1847" w:name="_Toc3915"/>
            <w:r>
              <w:rPr>
                <w:rFonts w:hint="eastAsia"/>
                <w:color w:val="auto"/>
              </w:rPr>
              <w:t>8.73E-03</w:t>
            </w:r>
            <w:bookmarkEnd w:id="1845"/>
            <w:bookmarkEnd w:id="1846"/>
            <w:bookmarkEnd w:id="1847"/>
          </w:p>
        </w:tc>
        <w:tc>
          <w:tcPr>
            <w:tcW w:w="996" w:type="dxa"/>
            <w:vAlign w:val="center"/>
          </w:tcPr>
          <w:p>
            <w:pPr>
              <w:jc w:val="center"/>
              <w:outlineLvl w:val="9"/>
              <w:rPr>
                <w:color w:val="auto"/>
              </w:rPr>
            </w:pPr>
            <w:bookmarkStart w:id="1848" w:name="_Toc4148"/>
            <w:bookmarkStart w:id="1849" w:name="_Toc20273"/>
            <w:bookmarkStart w:id="1850" w:name="_Toc16848"/>
            <w:r>
              <w:rPr>
                <w:rFonts w:hint="eastAsia"/>
                <w:color w:val="auto"/>
              </w:rPr>
              <w:t>4.37</w:t>
            </w:r>
            <w:bookmarkEnd w:id="1848"/>
            <w:bookmarkEnd w:id="1849"/>
            <w:bookmarkEnd w:id="1850"/>
          </w:p>
        </w:tc>
        <w:tc>
          <w:tcPr>
            <w:tcW w:w="994" w:type="dxa"/>
            <w:vAlign w:val="center"/>
          </w:tcPr>
          <w:p>
            <w:pPr>
              <w:jc w:val="center"/>
              <w:outlineLvl w:val="9"/>
              <w:rPr>
                <w:color w:val="auto"/>
              </w:rPr>
            </w:pPr>
            <w:bookmarkStart w:id="1851" w:name="_Toc27215"/>
            <w:bookmarkStart w:id="1852" w:name="_Toc32484"/>
            <w:bookmarkStart w:id="1853" w:name="_Toc25561"/>
            <w:r>
              <w:rPr>
                <w:rFonts w:hint="eastAsia"/>
                <w:color w:val="auto"/>
              </w:rPr>
              <w:t>4.47E-02</w:t>
            </w:r>
            <w:bookmarkEnd w:id="1851"/>
            <w:bookmarkEnd w:id="1852"/>
            <w:bookmarkEnd w:id="1853"/>
          </w:p>
        </w:tc>
        <w:tc>
          <w:tcPr>
            <w:tcW w:w="994" w:type="dxa"/>
            <w:tcBorders>
              <w:right w:val="single" w:color="auto" w:sz="4" w:space="0"/>
            </w:tcBorders>
            <w:vAlign w:val="center"/>
          </w:tcPr>
          <w:p>
            <w:pPr>
              <w:jc w:val="center"/>
              <w:outlineLvl w:val="9"/>
              <w:rPr>
                <w:color w:val="auto"/>
              </w:rPr>
            </w:pPr>
            <w:bookmarkStart w:id="1854" w:name="_Toc28093"/>
            <w:bookmarkStart w:id="1855" w:name="_Toc29297"/>
            <w:bookmarkStart w:id="1856" w:name="_Toc25722"/>
            <w:r>
              <w:rPr>
                <w:rFonts w:hint="eastAsia"/>
                <w:color w:val="auto"/>
              </w:rPr>
              <w:t>0.00</w:t>
            </w:r>
            <w:bookmarkEnd w:id="1854"/>
            <w:bookmarkEnd w:id="1855"/>
            <w:bookmarkEnd w:id="1856"/>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857" w:name="_Toc17290"/>
            <w:bookmarkStart w:id="1858" w:name="_Toc18037"/>
            <w:bookmarkStart w:id="1859" w:name="_Toc20427"/>
            <w:r>
              <w:rPr>
                <w:color w:val="auto"/>
                <w:szCs w:val="21"/>
              </w:rPr>
              <w:t>400</w:t>
            </w:r>
            <w:bookmarkEnd w:id="1857"/>
            <w:bookmarkEnd w:id="1858"/>
            <w:bookmarkEnd w:id="1859"/>
          </w:p>
        </w:tc>
        <w:tc>
          <w:tcPr>
            <w:tcW w:w="994" w:type="dxa"/>
            <w:vAlign w:val="center"/>
          </w:tcPr>
          <w:p>
            <w:pPr>
              <w:jc w:val="center"/>
              <w:outlineLvl w:val="9"/>
              <w:rPr>
                <w:color w:val="auto"/>
                <w:szCs w:val="21"/>
              </w:rPr>
            </w:pPr>
            <w:bookmarkStart w:id="1860" w:name="_Toc29771"/>
            <w:bookmarkStart w:id="1861" w:name="_Toc12604"/>
            <w:bookmarkStart w:id="1862" w:name="_Toc4078"/>
            <w:r>
              <w:rPr>
                <w:rFonts w:hint="eastAsia"/>
                <w:color w:val="auto"/>
              </w:rPr>
              <w:t>1.77E-02</w:t>
            </w:r>
            <w:bookmarkEnd w:id="1860"/>
            <w:bookmarkEnd w:id="1861"/>
            <w:bookmarkEnd w:id="1862"/>
          </w:p>
        </w:tc>
        <w:tc>
          <w:tcPr>
            <w:tcW w:w="994" w:type="dxa"/>
            <w:vAlign w:val="center"/>
          </w:tcPr>
          <w:p>
            <w:pPr>
              <w:jc w:val="center"/>
              <w:outlineLvl w:val="9"/>
              <w:rPr>
                <w:color w:val="auto"/>
                <w:szCs w:val="21"/>
              </w:rPr>
            </w:pPr>
            <w:bookmarkStart w:id="1863" w:name="_Toc23202"/>
            <w:bookmarkStart w:id="1864" w:name="_Toc7486"/>
            <w:bookmarkStart w:id="1865" w:name="_Toc9200"/>
            <w:r>
              <w:rPr>
                <w:rFonts w:hint="eastAsia"/>
                <w:color w:val="auto"/>
              </w:rPr>
              <w:t>0.00</w:t>
            </w:r>
            <w:bookmarkEnd w:id="1863"/>
            <w:bookmarkEnd w:id="1864"/>
            <w:bookmarkEnd w:id="1865"/>
          </w:p>
        </w:tc>
        <w:tc>
          <w:tcPr>
            <w:tcW w:w="994" w:type="dxa"/>
            <w:vAlign w:val="center"/>
          </w:tcPr>
          <w:p>
            <w:pPr>
              <w:jc w:val="center"/>
              <w:outlineLvl w:val="9"/>
              <w:rPr>
                <w:color w:val="auto"/>
              </w:rPr>
            </w:pPr>
            <w:bookmarkStart w:id="1866" w:name="_Toc17192"/>
            <w:bookmarkStart w:id="1867" w:name="_Toc24096"/>
            <w:bookmarkStart w:id="1868" w:name="_Toc29594"/>
            <w:r>
              <w:rPr>
                <w:rFonts w:hint="eastAsia"/>
                <w:color w:val="auto"/>
              </w:rPr>
              <w:t>1.48E-06</w:t>
            </w:r>
            <w:bookmarkEnd w:id="1866"/>
            <w:bookmarkEnd w:id="1867"/>
            <w:bookmarkEnd w:id="1868"/>
          </w:p>
        </w:tc>
        <w:tc>
          <w:tcPr>
            <w:tcW w:w="994" w:type="dxa"/>
            <w:vAlign w:val="center"/>
          </w:tcPr>
          <w:p>
            <w:pPr>
              <w:jc w:val="center"/>
              <w:outlineLvl w:val="9"/>
              <w:rPr>
                <w:color w:val="auto"/>
              </w:rPr>
            </w:pPr>
            <w:bookmarkStart w:id="1869" w:name="_Toc23046"/>
            <w:bookmarkStart w:id="1870" w:name="_Toc3637"/>
            <w:bookmarkStart w:id="1871" w:name="_Toc13444"/>
            <w:r>
              <w:rPr>
                <w:rFonts w:hint="eastAsia"/>
                <w:color w:val="auto"/>
              </w:rPr>
              <w:t>19.76</w:t>
            </w:r>
            <w:bookmarkEnd w:id="1869"/>
            <w:bookmarkEnd w:id="1870"/>
            <w:bookmarkEnd w:id="1871"/>
          </w:p>
        </w:tc>
        <w:tc>
          <w:tcPr>
            <w:tcW w:w="994" w:type="dxa"/>
            <w:vAlign w:val="center"/>
          </w:tcPr>
          <w:p>
            <w:pPr>
              <w:jc w:val="center"/>
              <w:outlineLvl w:val="9"/>
              <w:rPr>
                <w:color w:val="auto"/>
              </w:rPr>
            </w:pPr>
            <w:bookmarkStart w:id="1872" w:name="_Toc32674"/>
            <w:bookmarkStart w:id="1873" w:name="_Toc18146"/>
            <w:bookmarkStart w:id="1874" w:name="_Toc4251"/>
            <w:r>
              <w:rPr>
                <w:rFonts w:hint="eastAsia"/>
                <w:color w:val="auto"/>
              </w:rPr>
              <w:t>8.32E-03</w:t>
            </w:r>
            <w:bookmarkEnd w:id="1872"/>
            <w:bookmarkEnd w:id="1873"/>
            <w:bookmarkEnd w:id="1874"/>
          </w:p>
        </w:tc>
        <w:tc>
          <w:tcPr>
            <w:tcW w:w="996" w:type="dxa"/>
            <w:vAlign w:val="center"/>
          </w:tcPr>
          <w:p>
            <w:pPr>
              <w:jc w:val="center"/>
              <w:outlineLvl w:val="9"/>
              <w:rPr>
                <w:color w:val="auto"/>
              </w:rPr>
            </w:pPr>
            <w:bookmarkStart w:id="1875" w:name="_Toc21394"/>
            <w:bookmarkStart w:id="1876" w:name="_Toc6173"/>
            <w:bookmarkStart w:id="1877" w:name="_Toc32145"/>
            <w:r>
              <w:rPr>
                <w:rFonts w:hint="eastAsia"/>
                <w:color w:val="auto"/>
              </w:rPr>
              <w:t>4.16</w:t>
            </w:r>
            <w:bookmarkEnd w:id="1875"/>
            <w:bookmarkEnd w:id="1876"/>
            <w:bookmarkEnd w:id="1877"/>
          </w:p>
        </w:tc>
        <w:tc>
          <w:tcPr>
            <w:tcW w:w="994" w:type="dxa"/>
            <w:vAlign w:val="center"/>
          </w:tcPr>
          <w:p>
            <w:pPr>
              <w:jc w:val="center"/>
              <w:outlineLvl w:val="9"/>
              <w:rPr>
                <w:color w:val="auto"/>
              </w:rPr>
            </w:pPr>
            <w:bookmarkStart w:id="1878" w:name="_Toc18282"/>
            <w:bookmarkStart w:id="1879" w:name="_Toc251"/>
            <w:bookmarkStart w:id="1880" w:name="_Toc15567"/>
            <w:r>
              <w:rPr>
                <w:rFonts w:hint="eastAsia"/>
                <w:color w:val="auto"/>
              </w:rPr>
              <w:t>4.16E-02</w:t>
            </w:r>
            <w:bookmarkEnd w:id="1878"/>
            <w:bookmarkEnd w:id="1879"/>
            <w:bookmarkEnd w:id="1880"/>
          </w:p>
        </w:tc>
        <w:tc>
          <w:tcPr>
            <w:tcW w:w="994" w:type="dxa"/>
            <w:tcBorders>
              <w:right w:val="single" w:color="auto" w:sz="4" w:space="0"/>
            </w:tcBorders>
            <w:vAlign w:val="center"/>
          </w:tcPr>
          <w:p>
            <w:pPr>
              <w:jc w:val="center"/>
              <w:outlineLvl w:val="9"/>
              <w:rPr>
                <w:color w:val="auto"/>
              </w:rPr>
            </w:pPr>
            <w:bookmarkStart w:id="1881" w:name="_Toc30943"/>
            <w:bookmarkStart w:id="1882" w:name="_Toc12061"/>
            <w:bookmarkStart w:id="1883" w:name="_Toc18034"/>
            <w:r>
              <w:rPr>
                <w:rFonts w:hint="eastAsia"/>
                <w:color w:val="auto"/>
              </w:rPr>
              <w:t>0.00</w:t>
            </w:r>
            <w:bookmarkEnd w:id="1881"/>
            <w:bookmarkEnd w:id="1882"/>
            <w:bookmarkEnd w:id="1883"/>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884" w:name="_Toc1741"/>
            <w:bookmarkStart w:id="1885" w:name="_Toc11337"/>
            <w:bookmarkStart w:id="1886" w:name="_Toc14268"/>
            <w:r>
              <w:rPr>
                <w:color w:val="auto"/>
                <w:szCs w:val="21"/>
              </w:rPr>
              <w:t>425</w:t>
            </w:r>
            <w:bookmarkEnd w:id="1884"/>
            <w:bookmarkEnd w:id="1885"/>
            <w:bookmarkEnd w:id="1886"/>
          </w:p>
        </w:tc>
        <w:tc>
          <w:tcPr>
            <w:tcW w:w="994" w:type="dxa"/>
            <w:vAlign w:val="center"/>
          </w:tcPr>
          <w:p>
            <w:pPr>
              <w:jc w:val="center"/>
              <w:outlineLvl w:val="9"/>
              <w:rPr>
                <w:color w:val="auto"/>
                <w:szCs w:val="21"/>
              </w:rPr>
            </w:pPr>
            <w:bookmarkStart w:id="1887" w:name="_Toc28774"/>
            <w:bookmarkStart w:id="1888" w:name="_Toc8358"/>
            <w:bookmarkStart w:id="1889" w:name="_Toc11881"/>
            <w:r>
              <w:rPr>
                <w:rFonts w:hint="eastAsia"/>
                <w:color w:val="auto"/>
              </w:rPr>
              <w:t>1.69E-02</w:t>
            </w:r>
            <w:bookmarkEnd w:id="1887"/>
            <w:bookmarkEnd w:id="1888"/>
            <w:bookmarkEnd w:id="1889"/>
          </w:p>
        </w:tc>
        <w:tc>
          <w:tcPr>
            <w:tcW w:w="994" w:type="dxa"/>
            <w:vAlign w:val="center"/>
          </w:tcPr>
          <w:p>
            <w:pPr>
              <w:jc w:val="center"/>
              <w:outlineLvl w:val="9"/>
              <w:rPr>
                <w:color w:val="auto"/>
                <w:szCs w:val="21"/>
              </w:rPr>
            </w:pPr>
            <w:bookmarkStart w:id="1890" w:name="_Toc23243"/>
            <w:bookmarkStart w:id="1891" w:name="_Toc22981"/>
            <w:bookmarkStart w:id="1892" w:name="_Toc6494"/>
            <w:r>
              <w:rPr>
                <w:rFonts w:hint="eastAsia"/>
                <w:color w:val="auto"/>
              </w:rPr>
              <w:t>0.00</w:t>
            </w:r>
            <w:bookmarkEnd w:id="1890"/>
            <w:bookmarkEnd w:id="1891"/>
            <w:bookmarkEnd w:id="1892"/>
          </w:p>
        </w:tc>
        <w:tc>
          <w:tcPr>
            <w:tcW w:w="994" w:type="dxa"/>
            <w:vAlign w:val="center"/>
          </w:tcPr>
          <w:p>
            <w:pPr>
              <w:jc w:val="center"/>
              <w:outlineLvl w:val="9"/>
              <w:rPr>
                <w:color w:val="auto"/>
              </w:rPr>
            </w:pPr>
            <w:bookmarkStart w:id="1893" w:name="_Toc702"/>
            <w:bookmarkStart w:id="1894" w:name="_Toc3074"/>
            <w:bookmarkStart w:id="1895" w:name="_Toc28981"/>
            <w:r>
              <w:rPr>
                <w:rFonts w:hint="eastAsia"/>
                <w:color w:val="auto"/>
              </w:rPr>
              <w:t>1.42E-06</w:t>
            </w:r>
            <w:bookmarkEnd w:id="1893"/>
            <w:bookmarkEnd w:id="1894"/>
            <w:bookmarkEnd w:id="1895"/>
          </w:p>
        </w:tc>
        <w:tc>
          <w:tcPr>
            <w:tcW w:w="994" w:type="dxa"/>
            <w:vAlign w:val="center"/>
          </w:tcPr>
          <w:p>
            <w:pPr>
              <w:jc w:val="center"/>
              <w:outlineLvl w:val="9"/>
              <w:rPr>
                <w:color w:val="auto"/>
              </w:rPr>
            </w:pPr>
            <w:bookmarkStart w:id="1896" w:name="_Toc6526"/>
            <w:bookmarkStart w:id="1897" w:name="_Toc13657"/>
            <w:bookmarkStart w:id="1898" w:name="_Toc15107"/>
            <w:r>
              <w:rPr>
                <w:rFonts w:hint="eastAsia"/>
                <w:color w:val="auto"/>
              </w:rPr>
              <w:t>18.89</w:t>
            </w:r>
            <w:bookmarkEnd w:id="1896"/>
            <w:bookmarkEnd w:id="1897"/>
            <w:bookmarkEnd w:id="1898"/>
          </w:p>
        </w:tc>
        <w:tc>
          <w:tcPr>
            <w:tcW w:w="994" w:type="dxa"/>
            <w:vAlign w:val="center"/>
          </w:tcPr>
          <w:p>
            <w:pPr>
              <w:jc w:val="center"/>
              <w:outlineLvl w:val="9"/>
              <w:rPr>
                <w:color w:val="auto"/>
              </w:rPr>
            </w:pPr>
            <w:bookmarkStart w:id="1899" w:name="_Toc25446"/>
            <w:bookmarkStart w:id="1900" w:name="_Toc4439"/>
            <w:bookmarkStart w:id="1901" w:name="_Toc11918"/>
            <w:r>
              <w:rPr>
                <w:rFonts w:hint="eastAsia"/>
                <w:color w:val="auto"/>
              </w:rPr>
              <w:t>7.95E-03</w:t>
            </w:r>
            <w:bookmarkEnd w:id="1899"/>
            <w:bookmarkEnd w:id="1900"/>
            <w:bookmarkEnd w:id="1901"/>
          </w:p>
        </w:tc>
        <w:tc>
          <w:tcPr>
            <w:tcW w:w="996" w:type="dxa"/>
            <w:vAlign w:val="center"/>
          </w:tcPr>
          <w:p>
            <w:pPr>
              <w:jc w:val="center"/>
              <w:outlineLvl w:val="9"/>
              <w:rPr>
                <w:color w:val="auto"/>
              </w:rPr>
            </w:pPr>
            <w:bookmarkStart w:id="1902" w:name="_Toc7862"/>
            <w:bookmarkStart w:id="1903" w:name="_Toc1748"/>
            <w:bookmarkStart w:id="1904" w:name="_Toc1758"/>
            <w:r>
              <w:rPr>
                <w:rFonts w:hint="eastAsia"/>
                <w:color w:val="auto"/>
              </w:rPr>
              <w:t>3.97</w:t>
            </w:r>
            <w:bookmarkEnd w:id="1902"/>
            <w:bookmarkEnd w:id="1903"/>
            <w:bookmarkEnd w:id="1904"/>
          </w:p>
        </w:tc>
        <w:tc>
          <w:tcPr>
            <w:tcW w:w="994" w:type="dxa"/>
            <w:vAlign w:val="center"/>
          </w:tcPr>
          <w:p>
            <w:pPr>
              <w:jc w:val="center"/>
              <w:outlineLvl w:val="9"/>
              <w:rPr>
                <w:color w:val="auto"/>
              </w:rPr>
            </w:pPr>
            <w:bookmarkStart w:id="1905" w:name="_Toc6901"/>
            <w:bookmarkStart w:id="1906" w:name="_Toc31947"/>
            <w:bookmarkStart w:id="1907" w:name="_Toc18582"/>
            <w:r>
              <w:rPr>
                <w:rFonts w:hint="eastAsia"/>
                <w:color w:val="auto"/>
              </w:rPr>
              <w:t>3.89E-02</w:t>
            </w:r>
            <w:bookmarkEnd w:id="1905"/>
            <w:bookmarkEnd w:id="1906"/>
            <w:bookmarkEnd w:id="1907"/>
          </w:p>
        </w:tc>
        <w:tc>
          <w:tcPr>
            <w:tcW w:w="994" w:type="dxa"/>
            <w:tcBorders>
              <w:right w:val="single" w:color="auto" w:sz="4" w:space="0"/>
            </w:tcBorders>
            <w:vAlign w:val="center"/>
          </w:tcPr>
          <w:p>
            <w:pPr>
              <w:jc w:val="center"/>
              <w:outlineLvl w:val="9"/>
              <w:rPr>
                <w:color w:val="auto"/>
              </w:rPr>
            </w:pPr>
            <w:bookmarkStart w:id="1908" w:name="_Toc9760"/>
            <w:bookmarkStart w:id="1909" w:name="_Toc3860"/>
            <w:bookmarkStart w:id="1910" w:name="_Toc29404"/>
            <w:r>
              <w:rPr>
                <w:rFonts w:hint="eastAsia"/>
                <w:color w:val="auto"/>
              </w:rPr>
              <w:t>0.00</w:t>
            </w:r>
            <w:bookmarkEnd w:id="1908"/>
            <w:bookmarkEnd w:id="1909"/>
            <w:bookmarkEnd w:id="1910"/>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911" w:name="_Toc32253"/>
            <w:bookmarkStart w:id="1912" w:name="_Toc30603"/>
            <w:bookmarkStart w:id="1913" w:name="_Toc31966"/>
            <w:r>
              <w:rPr>
                <w:color w:val="auto"/>
                <w:szCs w:val="21"/>
              </w:rPr>
              <w:t>450</w:t>
            </w:r>
            <w:bookmarkEnd w:id="1911"/>
            <w:bookmarkEnd w:id="1912"/>
            <w:bookmarkEnd w:id="1913"/>
          </w:p>
        </w:tc>
        <w:tc>
          <w:tcPr>
            <w:tcW w:w="994" w:type="dxa"/>
            <w:vAlign w:val="center"/>
          </w:tcPr>
          <w:p>
            <w:pPr>
              <w:jc w:val="center"/>
              <w:outlineLvl w:val="9"/>
              <w:rPr>
                <w:color w:val="auto"/>
                <w:szCs w:val="21"/>
              </w:rPr>
            </w:pPr>
            <w:bookmarkStart w:id="1914" w:name="_Toc515"/>
            <w:bookmarkStart w:id="1915" w:name="_Toc23352"/>
            <w:bookmarkStart w:id="1916" w:name="_Toc11626"/>
            <w:r>
              <w:rPr>
                <w:rFonts w:hint="eastAsia"/>
                <w:color w:val="auto"/>
              </w:rPr>
              <w:t>1.62E-02</w:t>
            </w:r>
            <w:bookmarkEnd w:id="1914"/>
            <w:bookmarkEnd w:id="1915"/>
            <w:bookmarkEnd w:id="1916"/>
          </w:p>
        </w:tc>
        <w:tc>
          <w:tcPr>
            <w:tcW w:w="994" w:type="dxa"/>
            <w:vAlign w:val="center"/>
          </w:tcPr>
          <w:p>
            <w:pPr>
              <w:jc w:val="center"/>
              <w:outlineLvl w:val="9"/>
              <w:rPr>
                <w:color w:val="auto"/>
                <w:szCs w:val="21"/>
              </w:rPr>
            </w:pPr>
            <w:bookmarkStart w:id="1917" w:name="_Toc4539"/>
            <w:bookmarkStart w:id="1918" w:name="_Toc25156"/>
            <w:bookmarkStart w:id="1919" w:name="_Toc5300"/>
            <w:r>
              <w:rPr>
                <w:rFonts w:hint="eastAsia"/>
                <w:color w:val="auto"/>
              </w:rPr>
              <w:t>0.00</w:t>
            </w:r>
            <w:bookmarkEnd w:id="1917"/>
            <w:bookmarkEnd w:id="1918"/>
            <w:bookmarkEnd w:id="1919"/>
          </w:p>
        </w:tc>
        <w:tc>
          <w:tcPr>
            <w:tcW w:w="994" w:type="dxa"/>
            <w:vAlign w:val="center"/>
          </w:tcPr>
          <w:p>
            <w:pPr>
              <w:jc w:val="center"/>
              <w:outlineLvl w:val="9"/>
              <w:rPr>
                <w:color w:val="auto"/>
              </w:rPr>
            </w:pPr>
            <w:bookmarkStart w:id="1920" w:name="_Toc18781"/>
            <w:bookmarkStart w:id="1921" w:name="_Toc9483"/>
            <w:bookmarkStart w:id="1922" w:name="_Toc1551"/>
            <w:r>
              <w:rPr>
                <w:rFonts w:hint="eastAsia"/>
                <w:color w:val="auto"/>
              </w:rPr>
              <w:t>1.36E-06</w:t>
            </w:r>
            <w:bookmarkEnd w:id="1920"/>
            <w:bookmarkEnd w:id="1921"/>
            <w:bookmarkEnd w:id="1922"/>
          </w:p>
        </w:tc>
        <w:tc>
          <w:tcPr>
            <w:tcW w:w="994" w:type="dxa"/>
            <w:vAlign w:val="center"/>
          </w:tcPr>
          <w:p>
            <w:pPr>
              <w:jc w:val="center"/>
              <w:outlineLvl w:val="9"/>
              <w:rPr>
                <w:color w:val="auto"/>
              </w:rPr>
            </w:pPr>
            <w:bookmarkStart w:id="1923" w:name="_Toc22024"/>
            <w:bookmarkStart w:id="1924" w:name="_Toc989"/>
            <w:bookmarkStart w:id="1925" w:name="_Toc13956"/>
            <w:r>
              <w:rPr>
                <w:rFonts w:hint="eastAsia"/>
                <w:color w:val="auto"/>
              </w:rPr>
              <w:t>18.08</w:t>
            </w:r>
            <w:bookmarkEnd w:id="1923"/>
            <w:bookmarkEnd w:id="1924"/>
            <w:bookmarkEnd w:id="1925"/>
          </w:p>
        </w:tc>
        <w:tc>
          <w:tcPr>
            <w:tcW w:w="994" w:type="dxa"/>
            <w:vAlign w:val="center"/>
          </w:tcPr>
          <w:p>
            <w:pPr>
              <w:jc w:val="center"/>
              <w:outlineLvl w:val="9"/>
              <w:rPr>
                <w:color w:val="auto"/>
              </w:rPr>
            </w:pPr>
            <w:bookmarkStart w:id="1926" w:name="_Toc1557"/>
            <w:bookmarkStart w:id="1927" w:name="_Toc26884"/>
            <w:bookmarkStart w:id="1928" w:name="_Toc15507"/>
            <w:r>
              <w:rPr>
                <w:rFonts w:hint="eastAsia"/>
                <w:color w:val="auto"/>
              </w:rPr>
              <w:t>7.61E-03</w:t>
            </w:r>
            <w:bookmarkEnd w:id="1926"/>
            <w:bookmarkEnd w:id="1927"/>
            <w:bookmarkEnd w:id="1928"/>
          </w:p>
        </w:tc>
        <w:tc>
          <w:tcPr>
            <w:tcW w:w="996" w:type="dxa"/>
            <w:vAlign w:val="center"/>
          </w:tcPr>
          <w:p>
            <w:pPr>
              <w:jc w:val="center"/>
              <w:outlineLvl w:val="9"/>
              <w:rPr>
                <w:color w:val="auto"/>
              </w:rPr>
            </w:pPr>
            <w:bookmarkStart w:id="1929" w:name="_Toc24565"/>
            <w:bookmarkStart w:id="1930" w:name="_Toc20888"/>
            <w:bookmarkStart w:id="1931" w:name="_Toc29851"/>
            <w:r>
              <w:rPr>
                <w:rFonts w:hint="eastAsia"/>
                <w:color w:val="auto"/>
              </w:rPr>
              <w:t>3.81</w:t>
            </w:r>
            <w:bookmarkEnd w:id="1929"/>
            <w:bookmarkEnd w:id="1930"/>
            <w:bookmarkEnd w:id="1931"/>
          </w:p>
        </w:tc>
        <w:tc>
          <w:tcPr>
            <w:tcW w:w="994" w:type="dxa"/>
            <w:vAlign w:val="center"/>
          </w:tcPr>
          <w:p>
            <w:pPr>
              <w:jc w:val="center"/>
              <w:outlineLvl w:val="9"/>
              <w:rPr>
                <w:color w:val="auto"/>
              </w:rPr>
            </w:pPr>
            <w:bookmarkStart w:id="1932" w:name="_Toc16631"/>
            <w:bookmarkStart w:id="1933" w:name="_Toc29845"/>
            <w:bookmarkStart w:id="1934" w:name="_Toc4012"/>
            <w:r>
              <w:rPr>
                <w:rFonts w:hint="eastAsia"/>
                <w:color w:val="auto"/>
              </w:rPr>
              <w:t>3.63E-02</w:t>
            </w:r>
            <w:bookmarkEnd w:id="1932"/>
            <w:bookmarkEnd w:id="1933"/>
            <w:bookmarkEnd w:id="1934"/>
          </w:p>
        </w:tc>
        <w:tc>
          <w:tcPr>
            <w:tcW w:w="994" w:type="dxa"/>
            <w:tcBorders>
              <w:right w:val="single" w:color="auto" w:sz="4" w:space="0"/>
            </w:tcBorders>
            <w:vAlign w:val="center"/>
          </w:tcPr>
          <w:p>
            <w:pPr>
              <w:jc w:val="center"/>
              <w:outlineLvl w:val="9"/>
              <w:rPr>
                <w:color w:val="auto"/>
              </w:rPr>
            </w:pPr>
            <w:bookmarkStart w:id="1935" w:name="_Toc5680"/>
            <w:bookmarkStart w:id="1936" w:name="_Toc7844"/>
            <w:bookmarkStart w:id="1937" w:name="_Toc28094"/>
            <w:r>
              <w:rPr>
                <w:rFonts w:hint="eastAsia"/>
                <w:color w:val="auto"/>
              </w:rPr>
              <w:t>0.00</w:t>
            </w:r>
            <w:bookmarkEnd w:id="1935"/>
            <w:bookmarkEnd w:id="1936"/>
            <w:bookmarkEnd w:id="1937"/>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938" w:name="_Toc6297"/>
            <w:bookmarkStart w:id="1939" w:name="_Toc11219"/>
            <w:bookmarkStart w:id="1940" w:name="_Toc9291"/>
            <w:r>
              <w:rPr>
                <w:color w:val="auto"/>
                <w:szCs w:val="21"/>
              </w:rPr>
              <w:t>475</w:t>
            </w:r>
            <w:bookmarkEnd w:id="1938"/>
            <w:bookmarkEnd w:id="1939"/>
            <w:bookmarkEnd w:id="1940"/>
          </w:p>
        </w:tc>
        <w:tc>
          <w:tcPr>
            <w:tcW w:w="994" w:type="dxa"/>
            <w:vAlign w:val="center"/>
          </w:tcPr>
          <w:p>
            <w:pPr>
              <w:jc w:val="center"/>
              <w:outlineLvl w:val="9"/>
              <w:rPr>
                <w:color w:val="auto"/>
                <w:szCs w:val="21"/>
              </w:rPr>
            </w:pPr>
            <w:bookmarkStart w:id="1941" w:name="_Toc21729"/>
            <w:bookmarkStart w:id="1942" w:name="_Toc2735"/>
            <w:bookmarkStart w:id="1943" w:name="_Toc12972"/>
            <w:r>
              <w:rPr>
                <w:rFonts w:hint="eastAsia"/>
                <w:color w:val="auto"/>
              </w:rPr>
              <w:t>1.55E-02</w:t>
            </w:r>
            <w:bookmarkEnd w:id="1941"/>
            <w:bookmarkEnd w:id="1942"/>
            <w:bookmarkEnd w:id="1943"/>
          </w:p>
        </w:tc>
        <w:tc>
          <w:tcPr>
            <w:tcW w:w="994" w:type="dxa"/>
            <w:vAlign w:val="center"/>
          </w:tcPr>
          <w:p>
            <w:pPr>
              <w:jc w:val="center"/>
              <w:outlineLvl w:val="9"/>
              <w:rPr>
                <w:color w:val="auto"/>
                <w:szCs w:val="21"/>
              </w:rPr>
            </w:pPr>
            <w:bookmarkStart w:id="1944" w:name="_Toc20444"/>
            <w:bookmarkStart w:id="1945" w:name="_Toc22251"/>
            <w:bookmarkStart w:id="1946" w:name="_Toc30557"/>
            <w:r>
              <w:rPr>
                <w:rFonts w:hint="eastAsia"/>
                <w:color w:val="auto"/>
              </w:rPr>
              <w:t>0.00</w:t>
            </w:r>
            <w:bookmarkEnd w:id="1944"/>
            <w:bookmarkEnd w:id="1945"/>
            <w:bookmarkEnd w:id="1946"/>
          </w:p>
        </w:tc>
        <w:tc>
          <w:tcPr>
            <w:tcW w:w="994" w:type="dxa"/>
            <w:vAlign w:val="center"/>
          </w:tcPr>
          <w:p>
            <w:pPr>
              <w:jc w:val="center"/>
              <w:outlineLvl w:val="9"/>
              <w:rPr>
                <w:color w:val="auto"/>
              </w:rPr>
            </w:pPr>
            <w:bookmarkStart w:id="1947" w:name="_Toc8047"/>
            <w:bookmarkStart w:id="1948" w:name="_Toc1198"/>
            <w:bookmarkStart w:id="1949" w:name="_Toc2040"/>
            <w:r>
              <w:rPr>
                <w:rFonts w:hint="eastAsia"/>
                <w:color w:val="auto"/>
              </w:rPr>
              <w:t>1.30E-06</w:t>
            </w:r>
            <w:bookmarkEnd w:id="1947"/>
            <w:bookmarkEnd w:id="1948"/>
            <w:bookmarkEnd w:id="1949"/>
          </w:p>
        </w:tc>
        <w:tc>
          <w:tcPr>
            <w:tcW w:w="994" w:type="dxa"/>
            <w:vAlign w:val="center"/>
          </w:tcPr>
          <w:p>
            <w:pPr>
              <w:jc w:val="center"/>
              <w:outlineLvl w:val="9"/>
              <w:rPr>
                <w:color w:val="auto"/>
              </w:rPr>
            </w:pPr>
            <w:bookmarkStart w:id="1950" w:name="_Toc7262"/>
            <w:bookmarkStart w:id="1951" w:name="_Toc16429"/>
            <w:bookmarkStart w:id="1952" w:name="_Toc28556"/>
            <w:r>
              <w:rPr>
                <w:rFonts w:hint="eastAsia"/>
                <w:color w:val="auto"/>
              </w:rPr>
              <w:t>17.35</w:t>
            </w:r>
            <w:bookmarkEnd w:id="1950"/>
            <w:bookmarkEnd w:id="1951"/>
            <w:bookmarkEnd w:id="1952"/>
          </w:p>
        </w:tc>
        <w:tc>
          <w:tcPr>
            <w:tcW w:w="994" w:type="dxa"/>
            <w:vAlign w:val="center"/>
          </w:tcPr>
          <w:p>
            <w:pPr>
              <w:jc w:val="center"/>
              <w:outlineLvl w:val="9"/>
              <w:rPr>
                <w:color w:val="auto"/>
              </w:rPr>
            </w:pPr>
            <w:bookmarkStart w:id="1953" w:name="_Toc10568"/>
            <w:bookmarkStart w:id="1954" w:name="_Toc31881"/>
            <w:bookmarkStart w:id="1955" w:name="_Toc3156"/>
            <w:r>
              <w:rPr>
                <w:rFonts w:hint="eastAsia"/>
                <w:color w:val="auto"/>
              </w:rPr>
              <w:t>7.30E-03</w:t>
            </w:r>
            <w:bookmarkEnd w:id="1953"/>
            <w:bookmarkEnd w:id="1954"/>
            <w:bookmarkEnd w:id="1955"/>
          </w:p>
        </w:tc>
        <w:tc>
          <w:tcPr>
            <w:tcW w:w="996" w:type="dxa"/>
            <w:vAlign w:val="center"/>
          </w:tcPr>
          <w:p>
            <w:pPr>
              <w:jc w:val="center"/>
              <w:outlineLvl w:val="9"/>
              <w:rPr>
                <w:color w:val="auto"/>
              </w:rPr>
            </w:pPr>
            <w:bookmarkStart w:id="1956" w:name="_Toc7265"/>
            <w:bookmarkStart w:id="1957" w:name="_Toc7526"/>
            <w:bookmarkStart w:id="1958" w:name="_Toc18756"/>
            <w:r>
              <w:rPr>
                <w:rFonts w:hint="eastAsia"/>
                <w:color w:val="auto"/>
              </w:rPr>
              <w:t>3.65</w:t>
            </w:r>
            <w:bookmarkEnd w:id="1956"/>
            <w:bookmarkEnd w:id="1957"/>
            <w:bookmarkEnd w:id="1958"/>
          </w:p>
        </w:tc>
        <w:tc>
          <w:tcPr>
            <w:tcW w:w="994" w:type="dxa"/>
            <w:vAlign w:val="center"/>
          </w:tcPr>
          <w:p>
            <w:pPr>
              <w:jc w:val="center"/>
              <w:outlineLvl w:val="9"/>
              <w:rPr>
                <w:color w:val="auto"/>
              </w:rPr>
            </w:pPr>
            <w:bookmarkStart w:id="1959" w:name="_Toc12944"/>
            <w:bookmarkStart w:id="1960" w:name="_Toc15981"/>
            <w:bookmarkStart w:id="1961" w:name="_Toc21278"/>
            <w:r>
              <w:rPr>
                <w:rFonts w:hint="eastAsia"/>
                <w:color w:val="auto"/>
              </w:rPr>
              <w:t>3.45E-02</w:t>
            </w:r>
            <w:bookmarkEnd w:id="1959"/>
            <w:bookmarkEnd w:id="1960"/>
            <w:bookmarkEnd w:id="1961"/>
          </w:p>
        </w:tc>
        <w:tc>
          <w:tcPr>
            <w:tcW w:w="994" w:type="dxa"/>
            <w:tcBorders>
              <w:right w:val="single" w:color="auto" w:sz="4" w:space="0"/>
            </w:tcBorders>
            <w:vAlign w:val="center"/>
          </w:tcPr>
          <w:p>
            <w:pPr>
              <w:jc w:val="center"/>
              <w:outlineLvl w:val="9"/>
              <w:rPr>
                <w:color w:val="auto"/>
              </w:rPr>
            </w:pPr>
            <w:bookmarkStart w:id="1962" w:name="_Toc680"/>
            <w:bookmarkStart w:id="1963" w:name="_Toc34"/>
            <w:bookmarkStart w:id="1964" w:name="_Toc25551"/>
            <w:r>
              <w:rPr>
                <w:rFonts w:hint="eastAsia"/>
                <w:color w:val="auto"/>
              </w:rPr>
              <w:t>0.00</w:t>
            </w:r>
            <w:bookmarkEnd w:id="1962"/>
            <w:bookmarkEnd w:id="1963"/>
            <w:bookmarkEnd w:id="1964"/>
          </w:p>
        </w:tc>
      </w:tr>
      <w:tr>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dxa"/>
            <w:tcBorders>
              <w:left w:val="single" w:color="auto" w:sz="4" w:space="0"/>
            </w:tcBorders>
            <w:vAlign w:val="center"/>
          </w:tcPr>
          <w:p>
            <w:pPr>
              <w:jc w:val="center"/>
              <w:outlineLvl w:val="9"/>
              <w:rPr>
                <w:color w:val="auto"/>
                <w:szCs w:val="21"/>
              </w:rPr>
            </w:pPr>
            <w:bookmarkStart w:id="1965" w:name="_Toc16154"/>
            <w:bookmarkStart w:id="1966" w:name="_Toc18334"/>
            <w:bookmarkStart w:id="1967" w:name="_Toc13786"/>
            <w:r>
              <w:rPr>
                <w:color w:val="auto"/>
                <w:szCs w:val="21"/>
              </w:rPr>
              <w:t>500</w:t>
            </w:r>
            <w:bookmarkEnd w:id="1965"/>
            <w:bookmarkEnd w:id="1966"/>
            <w:bookmarkEnd w:id="1967"/>
          </w:p>
        </w:tc>
        <w:tc>
          <w:tcPr>
            <w:tcW w:w="994" w:type="dxa"/>
            <w:vAlign w:val="center"/>
          </w:tcPr>
          <w:p>
            <w:pPr>
              <w:jc w:val="center"/>
              <w:outlineLvl w:val="9"/>
              <w:rPr>
                <w:color w:val="auto"/>
                <w:szCs w:val="21"/>
              </w:rPr>
            </w:pPr>
            <w:bookmarkStart w:id="1968" w:name="_Toc5820"/>
            <w:bookmarkStart w:id="1969" w:name="_Toc10398"/>
            <w:bookmarkStart w:id="1970" w:name="_Toc20867"/>
            <w:r>
              <w:rPr>
                <w:rFonts w:hint="eastAsia"/>
                <w:color w:val="auto"/>
              </w:rPr>
              <w:t>1.47E-04</w:t>
            </w:r>
            <w:bookmarkEnd w:id="1968"/>
            <w:bookmarkEnd w:id="1969"/>
            <w:bookmarkEnd w:id="1970"/>
          </w:p>
        </w:tc>
        <w:tc>
          <w:tcPr>
            <w:tcW w:w="994" w:type="dxa"/>
            <w:vAlign w:val="center"/>
          </w:tcPr>
          <w:p>
            <w:pPr>
              <w:jc w:val="center"/>
              <w:outlineLvl w:val="9"/>
              <w:rPr>
                <w:color w:val="auto"/>
                <w:szCs w:val="21"/>
              </w:rPr>
            </w:pPr>
            <w:bookmarkStart w:id="1971" w:name="_Toc17712"/>
            <w:bookmarkStart w:id="1972" w:name="_Toc6458"/>
            <w:bookmarkStart w:id="1973" w:name="_Toc18236"/>
            <w:r>
              <w:rPr>
                <w:rFonts w:hint="eastAsia"/>
                <w:color w:val="auto"/>
              </w:rPr>
              <w:t>0.00</w:t>
            </w:r>
            <w:bookmarkEnd w:id="1971"/>
            <w:bookmarkEnd w:id="1972"/>
            <w:bookmarkEnd w:id="1973"/>
          </w:p>
        </w:tc>
        <w:tc>
          <w:tcPr>
            <w:tcW w:w="994" w:type="dxa"/>
            <w:vAlign w:val="center"/>
          </w:tcPr>
          <w:p>
            <w:pPr>
              <w:jc w:val="center"/>
              <w:outlineLvl w:val="9"/>
              <w:rPr>
                <w:color w:val="auto"/>
              </w:rPr>
            </w:pPr>
            <w:bookmarkStart w:id="1974" w:name="_Toc11926"/>
            <w:bookmarkStart w:id="1975" w:name="_Toc690"/>
            <w:bookmarkStart w:id="1976" w:name="_Toc1057"/>
            <w:r>
              <w:rPr>
                <w:rFonts w:hint="eastAsia"/>
                <w:color w:val="auto"/>
              </w:rPr>
              <w:t>1.23E-08</w:t>
            </w:r>
            <w:bookmarkEnd w:id="1974"/>
            <w:bookmarkEnd w:id="1975"/>
            <w:bookmarkEnd w:id="1976"/>
          </w:p>
        </w:tc>
        <w:tc>
          <w:tcPr>
            <w:tcW w:w="994" w:type="dxa"/>
            <w:vAlign w:val="center"/>
          </w:tcPr>
          <w:p>
            <w:pPr>
              <w:jc w:val="center"/>
              <w:outlineLvl w:val="9"/>
              <w:rPr>
                <w:color w:val="auto"/>
              </w:rPr>
            </w:pPr>
            <w:bookmarkStart w:id="1977" w:name="_Toc3103"/>
            <w:bookmarkStart w:id="1978" w:name="_Toc20310"/>
            <w:bookmarkStart w:id="1979" w:name="_Toc30489"/>
            <w:r>
              <w:rPr>
                <w:rFonts w:hint="eastAsia"/>
                <w:color w:val="auto"/>
              </w:rPr>
              <w:t>0.16</w:t>
            </w:r>
            <w:bookmarkEnd w:id="1977"/>
            <w:bookmarkEnd w:id="1978"/>
            <w:bookmarkEnd w:id="1979"/>
          </w:p>
        </w:tc>
        <w:tc>
          <w:tcPr>
            <w:tcW w:w="994" w:type="dxa"/>
            <w:vAlign w:val="center"/>
          </w:tcPr>
          <w:p>
            <w:pPr>
              <w:jc w:val="center"/>
              <w:outlineLvl w:val="9"/>
              <w:rPr>
                <w:color w:val="auto"/>
              </w:rPr>
            </w:pPr>
            <w:bookmarkStart w:id="1980" w:name="_Toc18248"/>
            <w:bookmarkStart w:id="1981" w:name="_Toc24781"/>
            <w:bookmarkStart w:id="1982" w:name="_Toc2377"/>
            <w:r>
              <w:rPr>
                <w:rFonts w:hint="eastAsia"/>
                <w:color w:val="auto"/>
              </w:rPr>
              <w:t>6.90E-05</w:t>
            </w:r>
            <w:bookmarkEnd w:id="1980"/>
            <w:bookmarkEnd w:id="1981"/>
            <w:bookmarkEnd w:id="1982"/>
          </w:p>
        </w:tc>
        <w:tc>
          <w:tcPr>
            <w:tcW w:w="996" w:type="dxa"/>
            <w:vAlign w:val="center"/>
          </w:tcPr>
          <w:p>
            <w:pPr>
              <w:jc w:val="center"/>
              <w:outlineLvl w:val="9"/>
              <w:rPr>
                <w:color w:val="auto"/>
              </w:rPr>
            </w:pPr>
            <w:bookmarkStart w:id="1983" w:name="_Toc6469"/>
            <w:bookmarkStart w:id="1984" w:name="_Toc29081"/>
            <w:bookmarkStart w:id="1985" w:name="_Toc21680"/>
            <w:r>
              <w:rPr>
                <w:rFonts w:hint="eastAsia"/>
                <w:color w:val="auto"/>
              </w:rPr>
              <w:t>0.03</w:t>
            </w:r>
            <w:bookmarkEnd w:id="1983"/>
            <w:bookmarkEnd w:id="1984"/>
            <w:bookmarkEnd w:id="1985"/>
          </w:p>
        </w:tc>
        <w:tc>
          <w:tcPr>
            <w:tcW w:w="994" w:type="dxa"/>
            <w:vAlign w:val="center"/>
          </w:tcPr>
          <w:p>
            <w:pPr>
              <w:jc w:val="center"/>
              <w:outlineLvl w:val="9"/>
              <w:rPr>
                <w:color w:val="auto"/>
              </w:rPr>
            </w:pPr>
            <w:bookmarkStart w:id="1986" w:name="_Toc14492"/>
            <w:bookmarkStart w:id="1987" w:name="_Toc21583"/>
            <w:bookmarkStart w:id="1988" w:name="_Toc24642"/>
            <w:r>
              <w:rPr>
                <w:rFonts w:hint="eastAsia"/>
                <w:color w:val="auto"/>
              </w:rPr>
              <w:t>2.28E-06</w:t>
            </w:r>
            <w:bookmarkEnd w:id="1986"/>
            <w:bookmarkEnd w:id="1987"/>
            <w:bookmarkEnd w:id="1988"/>
          </w:p>
        </w:tc>
        <w:tc>
          <w:tcPr>
            <w:tcW w:w="994" w:type="dxa"/>
            <w:tcBorders>
              <w:right w:val="single" w:color="auto" w:sz="4" w:space="0"/>
            </w:tcBorders>
            <w:vAlign w:val="center"/>
          </w:tcPr>
          <w:p>
            <w:pPr>
              <w:jc w:val="center"/>
              <w:outlineLvl w:val="9"/>
              <w:rPr>
                <w:color w:val="auto"/>
              </w:rPr>
            </w:pPr>
            <w:bookmarkStart w:id="1989" w:name="_Toc4313"/>
            <w:bookmarkStart w:id="1990" w:name="_Toc32459"/>
            <w:bookmarkStart w:id="1991" w:name="_Toc17379"/>
            <w:r>
              <w:rPr>
                <w:rFonts w:hint="eastAsia"/>
                <w:color w:val="auto"/>
              </w:rPr>
              <w:t>0.00</w:t>
            </w:r>
            <w:bookmarkEnd w:id="1989"/>
            <w:bookmarkEnd w:id="1990"/>
            <w:bookmarkEnd w:id="1991"/>
          </w:p>
        </w:tc>
      </w:tr>
    </w:tbl>
    <w:p>
      <w:pPr>
        <w:spacing w:line="360" w:lineRule="auto"/>
        <w:ind w:firstLine="480" w:firstLineChars="200"/>
        <w:outlineLvl w:val="9"/>
        <w:rPr>
          <w:color w:val="auto"/>
          <w:sz w:val="24"/>
        </w:rPr>
      </w:pPr>
      <w:r>
        <w:rPr>
          <w:color w:val="auto"/>
          <w:sz w:val="24"/>
        </w:rPr>
        <w:t>（2）面源预测结果</w:t>
      </w:r>
    </w:p>
    <w:p>
      <w:pPr>
        <w:tabs>
          <w:tab w:val="center" w:pos="4873"/>
        </w:tabs>
        <w:spacing w:line="360" w:lineRule="auto"/>
        <w:ind w:firstLine="480" w:firstLineChars="200"/>
        <w:outlineLvl w:val="9"/>
        <w:rPr>
          <w:color w:val="auto"/>
          <w:sz w:val="24"/>
        </w:rPr>
      </w:pPr>
      <w:r>
        <w:rPr>
          <w:color w:val="auto"/>
          <w:sz w:val="24"/>
        </w:rPr>
        <w:t>由于项目不使用处理后以无组织形式排放的废气治理设备，故正常排放状态与非正常排放浓度、占标率数值相同。项目面源预测结果见下表。</w:t>
      </w:r>
    </w:p>
    <w:p>
      <w:pPr>
        <w:tabs>
          <w:tab w:val="left" w:pos="1081"/>
        </w:tabs>
        <w:adjustRightInd w:val="0"/>
        <w:spacing w:line="480" w:lineRule="exact"/>
        <w:jc w:val="center"/>
        <w:outlineLvl w:val="9"/>
        <w:rPr>
          <w:b/>
          <w:color w:val="auto"/>
          <w:sz w:val="24"/>
        </w:rPr>
      </w:pPr>
    </w:p>
    <w:p>
      <w:pPr>
        <w:tabs>
          <w:tab w:val="left" w:pos="1081"/>
        </w:tabs>
        <w:adjustRightInd w:val="0"/>
        <w:spacing w:line="360" w:lineRule="auto"/>
        <w:jc w:val="center"/>
        <w:outlineLvl w:val="9"/>
        <w:rPr>
          <w:b/>
          <w:bCs/>
          <w:color w:val="auto"/>
          <w:szCs w:val="21"/>
        </w:rPr>
      </w:pPr>
      <w:r>
        <w:rPr>
          <w:b/>
          <w:color w:val="auto"/>
          <w:szCs w:val="21"/>
        </w:rPr>
        <w:t>表</w:t>
      </w:r>
      <w:r>
        <w:rPr>
          <w:rFonts w:hint="eastAsia"/>
          <w:b/>
          <w:color w:val="auto"/>
          <w:szCs w:val="21"/>
        </w:rPr>
        <w:t xml:space="preserve">6.4-11 </w:t>
      </w:r>
      <w:r>
        <w:rPr>
          <w:b/>
          <w:color w:val="auto"/>
          <w:szCs w:val="21"/>
        </w:rPr>
        <w:t xml:space="preserve"> </w:t>
      </w:r>
      <w:r>
        <w:rPr>
          <w:b/>
          <w:bCs/>
          <w:color w:val="auto"/>
          <w:szCs w:val="21"/>
        </w:rPr>
        <w:t>面源源预测结果</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1278"/>
        <w:gridCol w:w="1278"/>
        <w:gridCol w:w="1278"/>
        <w:gridCol w:w="1279"/>
        <w:gridCol w:w="1278"/>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vMerge w:val="restart"/>
            <w:tcBorders>
              <w:tl2br w:val="nil"/>
              <w:tr2bl w:val="nil"/>
            </w:tcBorders>
            <w:vAlign w:val="center"/>
          </w:tcPr>
          <w:p>
            <w:pPr>
              <w:jc w:val="center"/>
              <w:outlineLvl w:val="9"/>
              <w:rPr>
                <w:color w:val="auto"/>
                <w:szCs w:val="21"/>
              </w:rPr>
            </w:pPr>
            <w:bookmarkStart w:id="1992" w:name="_Toc31006"/>
            <w:bookmarkStart w:id="1993" w:name="_Toc4528"/>
            <w:bookmarkStart w:id="1994" w:name="_Toc8345"/>
            <w:r>
              <w:rPr>
                <w:color w:val="auto"/>
                <w:szCs w:val="21"/>
              </w:rPr>
              <w:t>下风向距离/m</w:t>
            </w:r>
            <w:bookmarkEnd w:id="1992"/>
            <w:bookmarkEnd w:id="1993"/>
            <w:bookmarkEnd w:id="1994"/>
          </w:p>
        </w:tc>
        <w:tc>
          <w:tcPr>
            <w:tcW w:w="7670" w:type="dxa"/>
            <w:gridSpan w:val="6"/>
            <w:tcBorders>
              <w:tl2br w:val="nil"/>
              <w:tr2bl w:val="nil"/>
            </w:tcBorders>
            <w:vAlign w:val="center"/>
          </w:tcPr>
          <w:p>
            <w:pPr>
              <w:jc w:val="center"/>
              <w:outlineLvl w:val="9"/>
              <w:rPr>
                <w:color w:val="auto"/>
                <w:szCs w:val="21"/>
              </w:rPr>
            </w:pPr>
            <w:bookmarkStart w:id="1995" w:name="_Toc17252"/>
            <w:bookmarkStart w:id="1996" w:name="_Toc8066"/>
            <w:bookmarkStart w:id="1997" w:name="_Toc13918"/>
            <w:r>
              <w:rPr>
                <w:rFonts w:hint="eastAsia"/>
                <w:color w:val="auto"/>
                <w:szCs w:val="21"/>
              </w:rPr>
              <w:t>面</w:t>
            </w:r>
            <w:r>
              <w:rPr>
                <w:color w:val="auto"/>
                <w:szCs w:val="21"/>
              </w:rPr>
              <w:t>源（</w:t>
            </w:r>
            <w:r>
              <w:rPr>
                <w:rFonts w:hint="eastAsia"/>
                <w:color w:val="auto"/>
                <w:szCs w:val="21"/>
              </w:rPr>
              <w:t>车间</w:t>
            </w:r>
            <w:r>
              <w:rPr>
                <w:color w:val="auto"/>
                <w:szCs w:val="21"/>
              </w:rPr>
              <w:t>）</w:t>
            </w:r>
            <w:bookmarkEnd w:id="1995"/>
            <w:bookmarkEnd w:id="1996"/>
            <w:bookmarkEnd w:id="199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vMerge w:val="continue"/>
            <w:tcBorders>
              <w:tl2br w:val="nil"/>
              <w:tr2bl w:val="nil"/>
            </w:tcBorders>
            <w:vAlign w:val="center"/>
          </w:tcPr>
          <w:p>
            <w:pPr>
              <w:jc w:val="center"/>
              <w:outlineLvl w:val="9"/>
              <w:rPr>
                <w:color w:val="auto"/>
                <w:szCs w:val="21"/>
              </w:rPr>
            </w:pPr>
          </w:p>
        </w:tc>
        <w:tc>
          <w:tcPr>
            <w:tcW w:w="2556" w:type="dxa"/>
            <w:gridSpan w:val="2"/>
            <w:tcBorders>
              <w:tl2br w:val="nil"/>
              <w:tr2bl w:val="nil"/>
            </w:tcBorders>
            <w:vAlign w:val="center"/>
          </w:tcPr>
          <w:p>
            <w:pPr>
              <w:adjustRightInd w:val="0"/>
              <w:snapToGrid w:val="0"/>
              <w:jc w:val="center"/>
              <w:outlineLvl w:val="9"/>
              <w:rPr>
                <w:color w:val="auto"/>
                <w:szCs w:val="21"/>
              </w:rPr>
            </w:pPr>
            <w:r>
              <w:rPr>
                <w:rFonts w:hint="eastAsia"/>
                <w:color w:val="auto"/>
                <w:szCs w:val="21"/>
              </w:rPr>
              <w:t>颗粒物</w:t>
            </w:r>
          </w:p>
        </w:tc>
        <w:tc>
          <w:tcPr>
            <w:tcW w:w="2557" w:type="dxa"/>
            <w:gridSpan w:val="2"/>
            <w:tcBorders>
              <w:tl2br w:val="nil"/>
              <w:tr2bl w:val="nil"/>
            </w:tcBorders>
            <w:vAlign w:val="center"/>
          </w:tcPr>
          <w:p>
            <w:pPr>
              <w:jc w:val="center"/>
              <w:outlineLvl w:val="9"/>
              <w:rPr>
                <w:color w:val="auto"/>
                <w:szCs w:val="21"/>
              </w:rPr>
            </w:pPr>
            <w:bookmarkStart w:id="1998" w:name="_Toc19150"/>
            <w:bookmarkStart w:id="1999" w:name="_Toc29079"/>
            <w:bookmarkStart w:id="2000" w:name="_Toc12259"/>
            <w:r>
              <w:rPr>
                <w:rFonts w:hint="eastAsia"/>
                <w:color w:val="auto"/>
                <w:szCs w:val="21"/>
              </w:rPr>
              <w:t>苯并[a]芘</w:t>
            </w:r>
            <w:bookmarkEnd w:id="1998"/>
            <w:bookmarkEnd w:id="1999"/>
            <w:bookmarkEnd w:id="2000"/>
          </w:p>
        </w:tc>
        <w:tc>
          <w:tcPr>
            <w:tcW w:w="2557" w:type="dxa"/>
            <w:gridSpan w:val="2"/>
            <w:tcBorders>
              <w:tl2br w:val="nil"/>
              <w:tr2bl w:val="nil"/>
            </w:tcBorders>
            <w:vAlign w:val="center"/>
          </w:tcPr>
          <w:p>
            <w:pPr>
              <w:jc w:val="center"/>
              <w:outlineLvl w:val="9"/>
              <w:rPr>
                <w:color w:val="auto"/>
                <w:szCs w:val="21"/>
              </w:rPr>
            </w:pPr>
            <w:bookmarkStart w:id="2001" w:name="_Toc9497"/>
            <w:bookmarkStart w:id="2002" w:name="_Toc3052"/>
            <w:bookmarkStart w:id="2003" w:name="_Toc13620"/>
            <w:r>
              <w:rPr>
                <w:color w:val="auto"/>
                <w:szCs w:val="21"/>
              </w:rPr>
              <w:t>非甲烷总烃</w:t>
            </w:r>
            <w:bookmarkEnd w:id="2001"/>
            <w:bookmarkEnd w:id="2002"/>
            <w:bookmarkEnd w:id="200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vMerge w:val="continue"/>
            <w:tcBorders>
              <w:tl2br w:val="nil"/>
              <w:tr2bl w:val="nil"/>
            </w:tcBorders>
            <w:vAlign w:val="center"/>
          </w:tcPr>
          <w:p>
            <w:pPr>
              <w:jc w:val="center"/>
              <w:outlineLvl w:val="9"/>
              <w:rPr>
                <w:color w:val="auto"/>
                <w:szCs w:val="21"/>
              </w:rPr>
            </w:pPr>
          </w:p>
        </w:tc>
        <w:tc>
          <w:tcPr>
            <w:tcW w:w="1278" w:type="dxa"/>
            <w:tcBorders>
              <w:tl2br w:val="nil"/>
              <w:tr2bl w:val="nil"/>
            </w:tcBorders>
            <w:vAlign w:val="center"/>
          </w:tcPr>
          <w:p>
            <w:pPr>
              <w:jc w:val="center"/>
              <w:outlineLvl w:val="9"/>
              <w:rPr>
                <w:color w:val="auto"/>
                <w:szCs w:val="21"/>
              </w:rPr>
            </w:pPr>
            <w:bookmarkStart w:id="2004" w:name="_Toc32403"/>
            <w:bookmarkStart w:id="2005" w:name="_Toc2753"/>
            <w:bookmarkStart w:id="2006" w:name="_Toc31661"/>
            <w:r>
              <w:rPr>
                <w:color w:val="auto"/>
                <w:szCs w:val="21"/>
              </w:rPr>
              <w:t>预测质量浓度/μg/m</w:t>
            </w:r>
            <w:r>
              <w:rPr>
                <w:color w:val="auto"/>
                <w:szCs w:val="21"/>
                <w:vertAlign w:val="superscript"/>
              </w:rPr>
              <w:t>3</w:t>
            </w:r>
            <w:bookmarkEnd w:id="2004"/>
            <w:bookmarkEnd w:id="2005"/>
            <w:bookmarkEnd w:id="2006"/>
          </w:p>
        </w:tc>
        <w:tc>
          <w:tcPr>
            <w:tcW w:w="1278" w:type="dxa"/>
            <w:tcBorders>
              <w:tl2br w:val="nil"/>
              <w:tr2bl w:val="nil"/>
            </w:tcBorders>
            <w:vAlign w:val="center"/>
          </w:tcPr>
          <w:p>
            <w:pPr>
              <w:jc w:val="center"/>
              <w:outlineLvl w:val="9"/>
              <w:rPr>
                <w:color w:val="auto"/>
                <w:szCs w:val="21"/>
              </w:rPr>
            </w:pPr>
            <w:bookmarkStart w:id="2007" w:name="_Toc8430"/>
            <w:bookmarkStart w:id="2008" w:name="_Toc18861"/>
            <w:bookmarkStart w:id="2009" w:name="_Toc10124"/>
            <w:r>
              <w:rPr>
                <w:color w:val="auto"/>
                <w:szCs w:val="21"/>
              </w:rPr>
              <w:t>占标率/%</w:t>
            </w:r>
            <w:bookmarkEnd w:id="2007"/>
            <w:bookmarkEnd w:id="2008"/>
            <w:bookmarkEnd w:id="2009"/>
          </w:p>
        </w:tc>
        <w:tc>
          <w:tcPr>
            <w:tcW w:w="1278" w:type="dxa"/>
            <w:tcBorders>
              <w:tl2br w:val="nil"/>
              <w:tr2bl w:val="nil"/>
            </w:tcBorders>
            <w:vAlign w:val="center"/>
          </w:tcPr>
          <w:p>
            <w:pPr>
              <w:jc w:val="center"/>
              <w:outlineLvl w:val="9"/>
              <w:rPr>
                <w:color w:val="auto"/>
                <w:szCs w:val="21"/>
              </w:rPr>
            </w:pPr>
            <w:bookmarkStart w:id="2010" w:name="_Toc13628"/>
            <w:bookmarkStart w:id="2011" w:name="_Toc18862"/>
            <w:bookmarkStart w:id="2012" w:name="_Toc6445"/>
            <w:r>
              <w:rPr>
                <w:color w:val="auto"/>
                <w:szCs w:val="21"/>
              </w:rPr>
              <w:t>预测质量浓度/μg/m</w:t>
            </w:r>
            <w:r>
              <w:rPr>
                <w:color w:val="auto"/>
                <w:szCs w:val="21"/>
                <w:vertAlign w:val="superscript"/>
              </w:rPr>
              <w:t>3</w:t>
            </w:r>
            <w:bookmarkEnd w:id="2010"/>
            <w:bookmarkEnd w:id="2011"/>
            <w:bookmarkEnd w:id="2012"/>
          </w:p>
        </w:tc>
        <w:tc>
          <w:tcPr>
            <w:tcW w:w="1279" w:type="dxa"/>
            <w:tcBorders>
              <w:tl2br w:val="nil"/>
              <w:tr2bl w:val="nil"/>
            </w:tcBorders>
            <w:vAlign w:val="center"/>
          </w:tcPr>
          <w:p>
            <w:pPr>
              <w:jc w:val="center"/>
              <w:outlineLvl w:val="9"/>
              <w:rPr>
                <w:color w:val="auto"/>
                <w:szCs w:val="21"/>
              </w:rPr>
            </w:pPr>
            <w:bookmarkStart w:id="2013" w:name="_Toc2914"/>
            <w:bookmarkStart w:id="2014" w:name="_Toc4790"/>
            <w:bookmarkStart w:id="2015" w:name="_Toc11418"/>
            <w:r>
              <w:rPr>
                <w:color w:val="auto"/>
                <w:szCs w:val="21"/>
              </w:rPr>
              <w:t>占标率/%</w:t>
            </w:r>
            <w:bookmarkEnd w:id="2013"/>
            <w:bookmarkEnd w:id="2014"/>
            <w:bookmarkEnd w:id="2015"/>
          </w:p>
        </w:tc>
        <w:tc>
          <w:tcPr>
            <w:tcW w:w="1278" w:type="dxa"/>
            <w:tcBorders>
              <w:tl2br w:val="nil"/>
              <w:tr2bl w:val="nil"/>
            </w:tcBorders>
            <w:vAlign w:val="center"/>
          </w:tcPr>
          <w:p>
            <w:pPr>
              <w:jc w:val="center"/>
              <w:outlineLvl w:val="9"/>
              <w:rPr>
                <w:color w:val="auto"/>
                <w:szCs w:val="21"/>
              </w:rPr>
            </w:pPr>
            <w:bookmarkStart w:id="2016" w:name="_Toc1747"/>
            <w:bookmarkStart w:id="2017" w:name="_Toc27908"/>
            <w:bookmarkStart w:id="2018" w:name="_Toc30010"/>
            <w:r>
              <w:rPr>
                <w:color w:val="auto"/>
                <w:szCs w:val="21"/>
              </w:rPr>
              <w:t>预测质量浓度/μg/m</w:t>
            </w:r>
            <w:r>
              <w:rPr>
                <w:color w:val="auto"/>
                <w:szCs w:val="21"/>
                <w:vertAlign w:val="superscript"/>
              </w:rPr>
              <w:t>3</w:t>
            </w:r>
            <w:bookmarkEnd w:id="2016"/>
            <w:bookmarkEnd w:id="2017"/>
            <w:bookmarkEnd w:id="2018"/>
          </w:p>
        </w:tc>
        <w:tc>
          <w:tcPr>
            <w:tcW w:w="1279" w:type="dxa"/>
            <w:tcBorders>
              <w:tl2br w:val="nil"/>
              <w:tr2bl w:val="nil"/>
            </w:tcBorders>
            <w:vAlign w:val="center"/>
          </w:tcPr>
          <w:p>
            <w:pPr>
              <w:jc w:val="center"/>
              <w:outlineLvl w:val="9"/>
              <w:rPr>
                <w:color w:val="auto"/>
                <w:szCs w:val="21"/>
              </w:rPr>
            </w:pPr>
            <w:bookmarkStart w:id="2019" w:name="_Toc3654"/>
            <w:bookmarkStart w:id="2020" w:name="_Toc253"/>
            <w:bookmarkStart w:id="2021" w:name="_Toc10318"/>
            <w:r>
              <w:rPr>
                <w:color w:val="auto"/>
                <w:szCs w:val="21"/>
              </w:rPr>
              <w:t>占标率/%</w:t>
            </w:r>
            <w:bookmarkEnd w:id="2019"/>
            <w:bookmarkEnd w:id="2020"/>
            <w:bookmarkEnd w:id="202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022" w:name="_Toc4914"/>
            <w:bookmarkStart w:id="2023" w:name="_Toc2256"/>
            <w:bookmarkStart w:id="2024" w:name="_Toc31045"/>
            <w:r>
              <w:rPr>
                <w:rFonts w:hint="eastAsia"/>
                <w:color w:val="auto"/>
                <w:szCs w:val="21"/>
              </w:rPr>
              <w:t>1</w:t>
            </w:r>
            <w:bookmarkEnd w:id="2022"/>
            <w:bookmarkEnd w:id="2023"/>
            <w:bookmarkEnd w:id="2024"/>
          </w:p>
        </w:tc>
        <w:tc>
          <w:tcPr>
            <w:tcW w:w="1278" w:type="dxa"/>
            <w:tcBorders>
              <w:tl2br w:val="nil"/>
              <w:tr2bl w:val="nil"/>
            </w:tcBorders>
            <w:vAlign w:val="center"/>
          </w:tcPr>
          <w:p>
            <w:pPr>
              <w:jc w:val="center"/>
              <w:outlineLvl w:val="9"/>
              <w:rPr>
                <w:color w:val="auto"/>
                <w:szCs w:val="21"/>
              </w:rPr>
            </w:pPr>
            <w:bookmarkStart w:id="2025" w:name="_Toc29122"/>
            <w:bookmarkStart w:id="2026" w:name="_Toc22363"/>
            <w:bookmarkStart w:id="2027" w:name="_Toc10543"/>
            <w:r>
              <w:rPr>
                <w:rFonts w:hint="eastAsia"/>
                <w:color w:val="auto"/>
              </w:rPr>
              <w:t>5.85E-02</w:t>
            </w:r>
            <w:bookmarkEnd w:id="2025"/>
            <w:bookmarkEnd w:id="2026"/>
            <w:bookmarkEnd w:id="2027"/>
          </w:p>
        </w:tc>
        <w:tc>
          <w:tcPr>
            <w:tcW w:w="1278" w:type="dxa"/>
            <w:tcBorders>
              <w:tl2br w:val="nil"/>
              <w:tr2bl w:val="nil"/>
            </w:tcBorders>
            <w:vAlign w:val="center"/>
          </w:tcPr>
          <w:p>
            <w:pPr>
              <w:jc w:val="center"/>
              <w:outlineLvl w:val="9"/>
              <w:rPr>
                <w:color w:val="auto"/>
                <w:szCs w:val="21"/>
              </w:rPr>
            </w:pPr>
            <w:bookmarkStart w:id="2028" w:name="_Toc12128"/>
            <w:bookmarkStart w:id="2029" w:name="_Toc26106"/>
            <w:bookmarkStart w:id="2030" w:name="_Toc10223"/>
            <w:r>
              <w:rPr>
                <w:rFonts w:hint="eastAsia"/>
                <w:color w:val="auto"/>
              </w:rPr>
              <w:t>0.01</w:t>
            </w:r>
            <w:bookmarkEnd w:id="2028"/>
            <w:bookmarkEnd w:id="2029"/>
            <w:bookmarkEnd w:id="2030"/>
          </w:p>
        </w:tc>
        <w:tc>
          <w:tcPr>
            <w:tcW w:w="1278" w:type="dxa"/>
            <w:tcBorders>
              <w:tl2br w:val="nil"/>
              <w:tr2bl w:val="nil"/>
            </w:tcBorders>
            <w:vAlign w:val="center"/>
          </w:tcPr>
          <w:p>
            <w:pPr>
              <w:jc w:val="center"/>
              <w:outlineLvl w:val="9"/>
              <w:rPr>
                <w:color w:val="auto"/>
              </w:rPr>
            </w:pPr>
            <w:bookmarkStart w:id="2031" w:name="_Toc7337"/>
            <w:bookmarkStart w:id="2032" w:name="_Toc11274"/>
            <w:bookmarkStart w:id="2033" w:name="_Toc26879"/>
            <w:r>
              <w:rPr>
                <w:rFonts w:hint="eastAsia"/>
                <w:color w:val="auto"/>
              </w:rPr>
              <w:t>5.01E-07</w:t>
            </w:r>
            <w:bookmarkEnd w:id="2031"/>
            <w:bookmarkEnd w:id="2032"/>
            <w:bookmarkEnd w:id="2033"/>
          </w:p>
        </w:tc>
        <w:tc>
          <w:tcPr>
            <w:tcW w:w="1279" w:type="dxa"/>
            <w:tcBorders>
              <w:tl2br w:val="nil"/>
              <w:tr2bl w:val="nil"/>
            </w:tcBorders>
            <w:vAlign w:val="center"/>
          </w:tcPr>
          <w:p>
            <w:pPr>
              <w:jc w:val="center"/>
              <w:outlineLvl w:val="9"/>
              <w:rPr>
                <w:color w:val="auto"/>
              </w:rPr>
            </w:pPr>
            <w:bookmarkStart w:id="2034" w:name="_Toc25145"/>
            <w:bookmarkStart w:id="2035" w:name="_Toc8895"/>
            <w:bookmarkStart w:id="2036" w:name="_Toc8704"/>
            <w:r>
              <w:rPr>
                <w:rFonts w:hint="eastAsia"/>
                <w:color w:val="auto"/>
              </w:rPr>
              <w:t>6.67</w:t>
            </w:r>
            <w:bookmarkEnd w:id="2034"/>
            <w:bookmarkEnd w:id="2035"/>
            <w:bookmarkEnd w:id="2036"/>
          </w:p>
        </w:tc>
        <w:tc>
          <w:tcPr>
            <w:tcW w:w="1278" w:type="dxa"/>
            <w:tcBorders>
              <w:tl2br w:val="nil"/>
              <w:tr2bl w:val="nil"/>
            </w:tcBorders>
            <w:vAlign w:val="center"/>
          </w:tcPr>
          <w:p>
            <w:pPr>
              <w:jc w:val="center"/>
              <w:outlineLvl w:val="9"/>
              <w:rPr>
                <w:color w:val="auto"/>
              </w:rPr>
            </w:pPr>
            <w:bookmarkStart w:id="2037" w:name="_Toc23446"/>
            <w:bookmarkStart w:id="2038" w:name="_Toc19938"/>
            <w:bookmarkStart w:id="2039" w:name="_Toc21589"/>
            <w:r>
              <w:rPr>
                <w:rFonts w:hint="eastAsia"/>
                <w:color w:val="auto"/>
              </w:rPr>
              <w:t>4.25E-03</w:t>
            </w:r>
            <w:bookmarkEnd w:id="2037"/>
            <w:bookmarkEnd w:id="2038"/>
            <w:bookmarkEnd w:id="2039"/>
          </w:p>
        </w:tc>
        <w:tc>
          <w:tcPr>
            <w:tcW w:w="1279" w:type="dxa"/>
            <w:tcBorders>
              <w:tl2br w:val="nil"/>
              <w:tr2bl w:val="nil"/>
            </w:tcBorders>
            <w:vAlign w:val="center"/>
          </w:tcPr>
          <w:p>
            <w:pPr>
              <w:jc w:val="center"/>
              <w:outlineLvl w:val="9"/>
              <w:rPr>
                <w:color w:val="auto"/>
              </w:rPr>
            </w:pPr>
            <w:bookmarkStart w:id="2040" w:name="_Toc11869"/>
            <w:bookmarkStart w:id="2041" w:name="_Toc28926"/>
            <w:bookmarkStart w:id="2042" w:name="_Toc15142"/>
            <w:r>
              <w:rPr>
                <w:rFonts w:hint="eastAsia"/>
                <w:color w:val="auto"/>
              </w:rPr>
              <w:t>2.12</w:t>
            </w:r>
            <w:bookmarkEnd w:id="2040"/>
            <w:bookmarkEnd w:id="2041"/>
            <w:bookmarkEnd w:id="204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043" w:name="_Toc23154"/>
            <w:bookmarkStart w:id="2044" w:name="_Toc4340"/>
            <w:bookmarkStart w:id="2045" w:name="_Toc30774"/>
            <w:r>
              <w:rPr>
                <w:color w:val="auto"/>
                <w:szCs w:val="21"/>
              </w:rPr>
              <w:t>25</w:t>
            </w:r>
            <w:bookmarkEnd w:id="2043"/>
            <w:bookmarkEnd w:id="2044"/>
            <w:bookmarkEnd w:id="2045"/>
          </w:p>
        </w:tc>
        <w:tc>
          <w:tcPr>
            <w:tcW w:w="1278" w:type="dxa"/>
            <w:tcBorders>
              <w:tl2br w:val="nil"/>
              <w:tr2bl w:val="nil"/>
            </w:tcBorders>
            <w:vAlign w:val="center"/>
          </w:tcPr>
          <w:p>
            <w:pPr>
              <w:jc w:val="center"/>
              <w:outlineLvl w:val="9"/>
              <w:rPr>
                <w:color w:val="auto"/>
                <w:szCs w:val="21"/>
              </w:rPr>
            </w:pPr>
            <w:bookmarkStart w:id="2046" w:name="_Toc27572"/>
            <w:bookmarkStart w:id="2047" w:name="_Toc20927"/>
            <w:bookmarkStart w:id="2048" w:name="_Toc9406"/>
            <w:r>
              <w:rPr>
                <w:rFonts w:hint="eastAsia"/>
                <w:color w:val="auto"/>
              </w:rPr>
              <w:t>6.23E-02</w:t>
            </w:r>
            <w:bookmarkEnd w:id="2046"/>
            <w:bookmarkEnd w:id="2047"/>
            <w:bookmarkEnd w:id="2048"/>
          </w:p>
        </w:tc>
        <w:tc>
          <w:tcPr>
            <w:tcW w:w="1278" w:type="dxa"/>
            <w:tcBorders>
              <w:tl2br w:val="nil"/>
              <w:tr2bl w:val="nil"/>
            </w:tcBorders>
            <w:vAlign w:val="center"/>
          </w:tcPr>
          <w:p>
            <w:pPr>
              <w:jc w:val="center"/>
              <w:outlineLvl w:val="9"/>
              <w:rPr>
                <w:color w:val="auto"/>
                <w:szCs w:val="21"/>
              </w:rPr>
            </w:pPr>
            <w:bookmarkStart w:id="2049" w:name="_Toc29976"/>
            <w:bookmarkStart w:id="2050" w:name="_Toc5670"/>
            <w:bookmarkStart w:id="2051" w:name="_Toc26321"/>
            <w:r>
              <w:rPr>
                <w:rFonts w:hint="eastAsia"/>
                <w:color w:val="auto"/>
              </w:rPr>
              <w:t>0.01</w:t>
            </w:r>
            <w:bookmarkEnd w:id="2049"/>
            <w:bookmarkEnd w:id="2050"/>
            <w:bookmarkEnd w:id="2051"/>
          </w:p>
        </w:tc>
        <w:tc>
          <w:tcPr>
            <w:tcW w:w="1278" w:type="dxa"/>
            <w:tcBorders>
              <w:tl2br w:val="nil"/>
              <w:tr2bl w:val="nil"/>
            </w:tcBorders>
            <w:vAlign w:val="center"/>
          </w:tcPr>
          <w:p>
            <w:pPr>
              <w:jc w:val="center"/>
              <w:outlineLvl w:val="9"/>
              <w:rPr>
                <w:color w:val="auto"/>
              </w:rPr>
            </w:pPr>
            <w:bookmarkStart w:id="2052" w:name="_Toc14634"/>
            <w:bookmarkStart w:id="2053" w:name="_Toc15261"/>
            <w:bookmarkStart w:id="2054" w:name="_Toc24292"/>
            <w:r>
              <w:rPr>
                <w:rFonts w:hint="eastAsia"/>
                <w:color w:val="auto"/>
              </w:rPr>
              <w:t>5.59E-07</w:t>
            </w:r>
            <w:bookmarkEnd w:id="2052"/>
            <w:bookmarkEnd w:id="2053"/>
            <w:bookmarkEnd w:id="2054"/>
          </w:p>
        </w:tc>
        <w:tc>
          <w:tcPr>
            <w:tcW w:w="1279" w:type="dxa"/>
            <w:tcBorders>
              <w:tl2br w:val="nil"/>
              <w:tr2bl w:val="nil"/>
            </w:tcBorders>
            <w:vAlign w:val="center"/>
          </w:tcPr>
          <w:p>
            <w:pPr>
              <w:jc w:val="center"/>
              <w:outlineLvl w:val="9"/>
              <w:rPr>
                <w:color w:val="auto"/>
              </w:rPr>
            </w:pPr>
            <w:bookmarkStart w:id="2055" w:name="_Toc12735"/>
            <w:bookmarkStart w:id="2056" w:name="_Toc6198"/>
            <w:bookmarkStart w:id="2057" w:name="_Toc21776"/>
            <w:r>
              <w:rPr>
                <w:rFonts w:hint="eastAsia"/>
                <w:color w:val="auto"/>
              </w:rPr>
              <w:t>7.45</w:t>
            </w:r>
            <w:bookmarkEnd w:id="2055"/>
            <w:bookmarkEnd w:id="2056"/>
            <w:bookmarkEnd w:id="2057"/>
          </w:p>
        </w:tc>
        <w:tc>
          <w:tcPr>
            <w:tcW w:w="1278" w:type="dxa"/>
            <w:tcBorders>
              <w:tl2br w:val="nil"/>
              <w:tr2bl w:val="nil"/>
            </w:tcBorders>
            <w:vAlign w:val="center"/>
          </w:tcPr>
          <w:p>
            <w:pPr>
              <w:jc w:val="center"/>
              <w:outlineLvl w:val="9"/>
              <w:rPr>
                <w:color w:val="auto"/>
              </w:rPr>
            </w:pPr>
            <w:bookmarkStart w:id="2058" w:name="_Toc2319"/>
            <w:bookmarkStart w:id="2059" w:name="_Toc1446"/>
            <w:bookmarkStart w:id="2060" w:name="_Toc12881"/>
            <w:r>
              <w:rPr>
                <w:rFonts w:hint="eastAsia"/>
                <w:color w:val="auto"/>
              </w:rPr>
              <w:t>4.74E-03</w:t>
            </w:r>
            <w:bookmarkEnd w:id="2058"/>
            <w:bookmarkEnd w:id="2059"/>
            <w:bookmarkEnd w:id="2060"/>
          </w:p>
        </w:tc>
        <w:tc>
          <w:tcPr>
            <w:tcW w:w="1279" w:type="dxa"/>
            <w:tcBorders>
              <w:tl2br w:val="nil"/>
              <w:tr2bl w:val="nil"/>
            </w:tcBorders>
            <w:vAlign w:val="center"/>
          </w:tcPr>
          <w:p>
            <w:pPr>
              <w:jc w:val="center"/>
              <w:outlineLvl w:val="9"/>
              <w:rPr>
                <w:color w:val="auto"/>
              </w:rPr>
            </w:pPr>
            <w:bookmarkStart w:id="2061" w:name="_Toc20930"/>
            <w:bookmarkStart w:id="2062" w:name="_Toc28997"/>
            <w:bookmarkStart w:id="2063" w:name="_Toc20005"/>
            <w:r>
              <w:rPr>
                <w:rFonts w:hint="eastAsia"/>
                <w:color w:val="auto"/>
              </w:rPr>
              <w:t>2.37</w:t>
            </w:r>
            <w:bookmarkEnd w:id="2061"/>
            <w:bookmarkEnd w:id="2062"/>
            <w:bookmarkEnd w:id="206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064" w:name="_Toc13121"/>
            <w:bookmarkStart w:id="2065" w:name="_Toc10840"/>
            <w:bookmarkStart w:id="2066" w:name="_Toc6578"/>
            <w:r>
              <w:rPr>
                <w:color w:val="auto"/>
                <w:szCs w:val="21"/>
              </w:rPr>
              <w:t>50</w:t>
            </w:r>
            <w:bookmarkEnd w:id="2064"/>
            <w:bookmarkEnd w:id="2065"/>
            <w:bookmarkEnd w:id="2066"/>
          </w:p>
        </w:tc>
        <w:tc>
          <w:tcPr>
            <w:tcW w:w="1278" w:type="dxa"/>
            <w:tcBorders>
              <w:tl2br w:val="nil"/>
              <w:tr2bl w:val="nil"/>
            </w:tcBorders>
            <w:vAlign w:val="center"/>
          </w:tcPr>
          <w:p>
            <w:pPr>
              <w:jc w:val="center"/>
              <w:outlineLvl w:val="9"/>
              <w:rPr>
                <w:color w:val="auto"/>
                <w:szCs w:val="21"/>
              </w:rPr>
            </w:pPr>
            <w:bookmarkStart w:id="2067" w:name="_Toc26247"/>
            <w:bookmarkStart w:id="2068" w:name="_Toc15178"/>
            <w:bookmarkStart w:id="2069" w:name="_Toc29759"/>
            <w:r>
              <w:rPr>
                <w:rFonts w:hint="eastAsia"/>
                <w:color w:val="auto"/>
              </w:rPr>
              <w:t>6.76E-02</w:t>
            </w:r>
            <w:bookmarkEnd w:id="2067"/>
            <w:bookmarkEnd w:id="2068"/>
            <w:bookmarkEnd w:id="2069"/>
          </w:p>
        </w:tc>
        <w:tc>
          <w:tcPr>
            <w:tcW w:w="1278" w:type="dxa"/>
            <w:tcBorders>
              <w:tl2br w:val="nil"/>
              <w:tr2bl w:val="nil"/>
            </w:tcBorders>
            <w:vAlign w:val="center"/>
          </w:tcPr>
          <w:p>
            <w:pPr>
              <w:jc w:val="center"/>
              <w:outlineLvl w:val="9"/>
              <w:rPr>
                <w:color w:val="auto"/>
                <w:szCs w:val="21"/>
              </w:rPr>
            </w:pPr>
            <w:bookmarkStart w:id="2070" w:name="_Toc26067"/>
            <w:bookmarkStart w:id="2071" w:name="_Toc26638"/>
            <w:bookmarkStart w:id="2072" w:name="_Toc14852"/>
            <w:r>
              <w:rPr>
                <w:rFonts w:hint="eastAsia"/>
                <w:color w:val="auto"/>
              </w:rPr>
              <w:t>0.01</w:t>
            </w:r>
            <w:bookmarkEnd w:id="2070"/>
            <w:bookmarkEnd w:id="2071"/>
            <w:bookmarkEnd w:id="2072"/>
          </w:p>
        </w:tc>
        <w:tc>
          <w:tcPr>
            <w:tcW w:w="1278" w:type="dxa"/>
            <w:tcBorders>
              <w:tl2br w:val="nil"/>
              <w:tr2bl w:val="nil"/>
            </w:tcBorders>
            <w:vAlign w:val="center"/>
          </w:tcPr>
          <w:p>
            <w:pPr>
              <w:jc w:val="center"/>
              <w:outlineLvl w:val="9"/>
              <w:rPr>
                <w:color w:val="auto"/>
              </w:rPr>
            </w:pPr>
            <w:bookmarkStart w:id="2073" w:name="_Toc17773"/>
            <w:bookmarkStart w:id="2074" w:name="_Toc25618"/>
            <w:bookmarkStart w:id="2075" w:name="_Toc12505"/>
            <w:r>
              <w:rPr>
                <w:rFonts w:hint="eastAsia"/>
                <w:color w:val="auto"/>
              </w:rPr>
              <w:t>6.06E-07</w:t>
            </w:r>
            <w:bookmarkEnd w:id="2073"/>
            <w:bookmarkEnd w:id="2074"/>
            <w:bookmarkEnd w:id="2075"/>
          </w:p>
        </w:tc>
        <w:tc>
          <w:tcPr>
            <w:tcW w:w="1279" w:type="dxa"/>
            <w:tcBorders>
              <w:tl2br w:val="nil"/>
              <w:tr2bl w:val="nil"/>
            </w:tcBorders>
            <w:vAlign w:val="center"/>
          </w:tcPr>
          <w:p>
            <w:pPr>
              <w:jc w:val="center"/>
              <w:outlineLvl w:val="9"/>
              <w:rPr>
                <w:color w:val="auto"/>
              </w:rPr>
            </w:pPr>
            <w:bookmarkStart w:id="2076" w:name="_Toc14736"/>
            <w:bookmarkStart w:id="2077" w:name="_Toc617"/>
            <w:bookmarkStart w:id="2078" w:name="_Toc31071"/>
            <w:r>
              <w:rPr>
                <w:rFonts w:hint="eastAsia"/>
                <w:color w:val="auto"/>
              </w:rPr>
              <w:t>8.09</w:t>
            </w:r>
            <w:bookmarkEnd w:id="2076"/>
            <w:bookmarkEnd w:id="2077"/>
            <w:bookmarkEnd w:id="2078"/>
          </w:p>
        </w:tc>
        <w:tc>
          <w:tcPr>
            <w:tcW w:w="1278" w:type="dxa"/>
            <w:tcBorders>
              <w:tl2br w:val="nil"/>
              <w:tr2bl w:val="nil"/>
            </w:tcBorders>
            <w:vAlign w:val="center"/>
          </w:tcPr>
          <w:p>
            <w:pPr>
              <w:jc w:val="center"/>
              <w:outlineLvl w:val="9"/>
              <w:rPr>
                <w:color w:val="auto"/>
              </w:rPr>
            </w:pPr>
            <w:bookmarkStart w:id="2079" w:name="_Toc16774"/>
            <w:bookmarkStart w:id="2080" w:name="_Toc22026"/>
            <w:bookmarkStart w:id="2081" w:name="_Toc25677"/>
            <w:r>
              <w:rPr>
                <w:rFonts w:hint="eastAsia"/>
                <w:color w:val="auto"/>
              </w:rPr>
              <w:t>5.15E-03</w:t>
            </w:r>
            <w:bookmarkEnd w:id="2079"/>
            <w:bookmarkEnd w:id="2080"/>
            <w:bookmarkEnd w:id="2081"/>
          </w:p>
        </w:tc>
        <w:tc>
          <w:tcPr>
            <w:tcW w:w="1279" w:type="dxa"/>
            <w:tcBorders>
              <w:tl2br w:val="nil"/>
              <w:tr2bl w:val="nil"/>
            </w:tcBorders>
            <w:vAlign w:val="center"/>
          </w:tcPr>
          <w:p>
            <w:pPr>
              <w:jc w:val="center"/>
              <w:outlineLvl w:val="9"/>
              <w:rPr>
                <w:color w:val="auto"/>
              </w:rPr>
            </w:pPr>
            <w:bookmarkStart w:id="2082" w:name="_Toc117"/>
            <w:bookmarkStart w:id="2083" w:name="_Toc4242"/>
            <w:bookmarkStart w:id="2084" w:name="_Toc24455"/>
            <w:r>
              <w:rPr>
                <w:rFonts w:hint="eastAsia"/>
                <w:color w:val="auto"/>
              </w:rPr>
              <w:t>2.57</w:t>
            </w:r>
            <w:bookmarkEnd w:id="2082"/>
            <w:bookmarkEnd w:id="2083"/>
            <w:bookmarkEnd w:id="208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085" w:name="_Toc548"/>
            <w:bookmarkStart w:id="2086" w:name="_Toc20297"/>
            <w:bookmarkStart w:id="2087" w:name="_Toc15329"/>
            <w:r>
              <w:rPr>
                <w:color w:val="auto"/>
                <w:szCs w:val="21"/>
              </w:rPr>
              <w:t>75</w:t>
            </w:r>
            <w:bookmarkEnd w:id="2085"/>
            <w:bookmarkEnd w:id="2086"/>
            <w:bookmarkEnd w:id="2087"/>
          </w:p>
        </w:tc>
        <w:tc>
          <w:tcPr>
            <w:tcW w:w="1278" w:type="dxa"/>
            <w:tcBorders>
              <w:tl2br w:val="nil"/>
              <w:tr2bl w:val="nil"/>
            </w:tcBorders>
            <w:vAlign w:val="center"/>
          </w:tcPr>
          <w:p>
            <w:pPr>
              <w:jc w:val="center"/>
              <w:outlineLvl w:val="9"/>
              <w:rPr>
                <w:color w:val="auto"/>
                <w:szCs w:val="21"/>
              </w:rPr>
            </w:pPr>
            <w:bookmarkStart w:id="2088" w:name="_Toc29624"/>
            <w:bookmarkStart w:id="2089" w:name="_Toc8295"/>
            <w:bookmarkStart w:id="2090" w:name="_Toc30667"/>
            <w:r>
              <w:rPr>
                <w:rFonts w:hint="eastAsia"/>
                <w:color w:val="auto"/>
              </w:rPr>
              <w:t>7.26E-02</w:t>
            </w:r>
            <w:bookmarkEnd w:id="2088"/>
            <w:bookmarkEnd w:id="2089"/>
            <w:bookmarkEnd w:id="2090"/>
          </w:p>
        </w:tc>
        <w:tc>
          <w:tcPr>
            <w:tcW w:w="1278" w:type="dxa"/>
            <w:tcBorders>
              <w:tl2br w:val="nil"/>
              <w:tr2bl w:val="nil"/>
            </w:tcBorders>
            <w:vAlign w:val="center"/>
          </w:tcPr>
          <w:p>
            <w:pPr>
              <w:jc w:val="center"/>
              <w:outlineLvl w:val="9"/>
              <w:rPr>
                <w:color w:val="auto"/>
                <w:szCs w:val="21"/>
              </w:rPr>
            </w:pPr>
            <w:bookmarkStart w:id="2091" w:name="_Toc24570"/>
            <w:bookmarkStart w:id="2092" w:name="_Toc4815"/>
            <w:bookmarkStart w:id="2093" w:name="_Toc3784"/>
            <w:r>
              <w:rPr>
                <w:rFonts w:hint="eastAsia"/>
                <w:color w:val="auto"/>
              </w:rPr>
              <w:t>0.01</w:t>
            </w:r>
            <w:bookmarkEnd w:id="2091"/>
            <w:bookmarkEnd w:id="2092"/>
            <w:bookmarkEnd w:id="2093"/>
          </w:p>
        </w:tc>
        <w:tc>
          <w:tcPr>
            <w:tcW w:w="1278" w:type="dxa"/>
            <w:tcBorders>
              <w:tl2br w:val="nil"/>
              <w:tr2bl w:val="nil"/>
            </w:tcBorders>
            <w:vAlign w:val="center"/>
          </w:tcPr>
          <w:p>
            <w:pPr>
              <w:jc w:val="center"/>
              <w:outlineLvl w:val="9"/>
              <w:rPr>
                <w:color w:val="auto"/>
              </w:rPr>
            </w:pPr>
            <w:bookmarkStart w:id="2094" w:name="_Toc4953"/>
            <w:bookmarkStart w:id="2095" w:name="_Toc30082"/>
            <w:bookmarkStart w:id="2096" w:name="_Toc13091"/>
            <w:r>
              <w:rPr>
                <w:rFonts w:hint="eastAsia"/>
                <w:color w:val="auto"/>
              </w:rPr>
              <w:t>6.51E-07</w:t>
            </w:r>
            <w:bookmarkEnd w:id="2094"/>
            <w:bookmarkEnd w:id="2095"/>
            <w:bookmarkEnd w:id="2096"/>
          </w:p>
        </w:tc>
        <w:tc>
          <w:tcPr>
            <w:tcW w:w="1279" w:type="dxa"/>
            <w:tcBorders>
              <w:tl2br w:val="nil"/>
              <w:tr2bl w:val="nil"/>
            </w:tcBorders>
            <w:vAlign w:val="center"/>
          </w:tcPr>
          <w:p>
            <w:pPr>
              <w:jc w:val="center"/>
              <w:outlineLvl w:val="9"/>
              <w:rPr>
                <w:color w:val="auto"/>
              </w:rPr>
            </w:pPr>
            <w:bookmarkStart w:id="2097" w:name="_Toc13928"/>
            <w:bookmarkStart w:id="2098" w:name="_Toc7698"/>
            <w:bookmarkStart w:id="2099" w:name="_Toc22178"/>
            <w:r>
              <w:rPr>
                <w:rFonts w:hint="eastAsia"/>
                <w:color w:val="auto"/>
              </w:rPr>
              <w:t>8.68</w:t>
            </w:r>
            <w:bookmarkEnd w:id="2097"/>
            <w:bookmarkEnd w:id="2098"/>
            <w:bookmarkEnd w:id="2099"/>
          </w:p>
        </w:tc>
        <w:tc>
          <w:tcPr>
            <w:tcW w:w="1278" w:type="dxa"/>
            <w:tcBorders>
              <w:tl2br w:val="nil"/>
              <w:tr2bl w:val="nil"/>
            </w:tcBorders>
            <w:vAlign w:val="center"/>
          </w:tcPr>
          <w:p>
            <w:pPr>
              <w:jc w:val="center"/>
              <w:outlineLvl w:val="9"/>
              <w:rPr>
                <w:color w:val="auto"/>
              </w:rPr>
            </w:pPr>
            <w:bookmarkStart w:id="2100" w:name="_Toc9954"/>
            <w:bookmarkStart w:id="2101" w:name="_Toc21218"/>
            <w:bookmarkStart w:id="2102" w:name="_Toc30488"/>
            <w:r>
              <w:rPr>
                <w:rFonts w:hint="eastAsia"/>
                <w:color w:val="auto"/>
              </w:rPr>
              <w:t>5.53E-03</w:t>
            </w:r>
            <w:bookmarkEnd w:id="2100"/>
            <w:bookmarkEnd w:id="2101"/>
            <w:bookmarkEnd w:id="2102"/>
          </w:p>
        </w:tc>
        <w:tc>
          <w:tcPr>
            <w:tcW w:w="1279" w:type="dxa"/>
            <w:tcBorders>
              <w:tl2br w:val="nil"/>
              <w:tr2bl w:val="nil"/>
            </w:tcBorders>
            <w:vAlign w:val="center"/>
          </w:tcPr>
          <w:p>
            <w:pPr>
              <w:jc w:val="center"/>
              <w:outlineLvl w:val="9"/>
              <w:rPr>
                <w:color w:val="auto"/>
              </w:rPr>
            </w:pPr>
            <w:bookmarkStart w:id="2103" w:name="_Toc151"/>
            <w:bookmarkStart w:id="2104" w:name="_Toc29935"/>
            <w:bookmarkStart w:id="2105" w:name="_Toc26075"/>
            <w:r>
              <w:rPr>
                <w:rFonts w:hint="eastAsia"/>
                <w:color w:val="auto"/>
              </w:rPr>
              <w:t>2.76</w:t>
            </w:r>
            <w:bookmarkEnd w:id="2103"/>
            <w:bookmarkEnd w:id="2104"/>
            <w:bookmarkEnd w:id="210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106" w:name="_Toc25612"/>
            <w:bookmarkStart w:id="2107" w:name="_Toc20236"/>
            <w:bookmarkStart w:id="2108" w:name="_Toc5699"/>
            <w:r>
              <w:rPr>
                <w:rFonts w:hint="eastAsia"/>
                <w:color w:val="auto"/>
                <w:szCs w:val="21"/>
              </w:rPr>
              <w:t>89</w:t>
            </w:r>
            <w:bookmarkEnd w:id="2106"/>
            <w:bookmarkEnd w:id="2107"/>
            <w:bookmarkEnd w:id="2108"/>
          </w:p>
        </w:tc>
        <w:tc>
          <w:tcPr>
            <w:tcW w:w="1278" w:type="dxa"/>
            <w:tcBorders>
              <w:tl2br w:val="nil"/>
              <w:tr2bl w:val="nil"/>
            </w:tcBorders>
            <w:vAlign w:val="center"/>
          </w:tcPr>
          <w:p>
            <w:pPr>
              <w:jc w:val="center"/>
              <w:outlineLvl w:val="9"/>
              <w:rPr>
                <w:color w:val="auto"/>
                <w:szCs w:val="21"/>
              </w:rPr>
            </w:pPr>
            <w:bookmarkStart w:id="2109" w:name="_Toc4196"/>
            <w:bookmarkStart w:id="2110" w:name="_Toc19421"/>
            <w:bookmarkStart w:id="2111" w:name="_Toc14362"/>
            <w:r>
              <w:rPr>
                <w:rFonts w:hint="eastAsia"/>
                <w:color w:val="auto"/>
              </w:rPr>
              <w:t>7.55E-02</w:t>
            </w:r>
            <w:bookmarkEnd w:id="2109"/>
            <w:bookmarkEnd w:id="2110"/>
            <w:bookmarkEnd w:id="2111"/>
          </w:p>
        </w:tc>
        <w:tc>
          <w:tcPr>
            <w:tcW w:w="1278" w:type="dxa"/>
            <w:tcBorders>
              <w:tl2br w:val="nil"/>
              <w:tr2bl w:val="nil"/>
            </w:tcBorders>
            <w:vAlign w:val="center"/>
          </w:tcPr>
          <w:p>
            <w:pPr>
              <w:jc w:val="center"/>
              <w:outlineLvl w:val="9"/>
              <w:rPr>
                <w:color w:val="auto"/>
                <w:szCs w:val="21"/>
              </w:rPr>
            </w:pPr>
            <w:bookmarkStart w:id="2112" w:name="_Toc4122"/>
            <w:bookmarkStart w:id="2113" w:name="_Toc15265"/>
            <w:bookmarkStart w:id="2114" w:name="_Toc16050"/>
            <w:r>
              <w:rPr>
                <w:rFonts w:hint="eastAsia"/>
                <w:color w:val="auto"/>
              </w:rPr>
              <w:t>0.01</w:t>
            </w:r>
            <w:bookmarkEnd w:id="2112"/>
            <w:bookmarkEnd w:id="2113"/>
            <w:bookmarkEnd w:id="2114"/>
          </w:p>
        </w:tc>
        <w:tc>
          <w:tcPr>
            <w:tcW w:w="1278" w:type="dxa"/>
            <w:tcBorders>
              <w:tl2br w:val="nil"/>
              <w:tr2bl w:val="nil"/>
            </w:tcBorders>
            <w:vAlign w:val="center"/>
          </w:tcPr>
          <w:p>
            <w:pPr>
              <w:jc w:val="center"/>
              <w:outlineLvl w:val="9"/>
              <w:rPr>
                <w:color w:val="auto"/>
              </w:rPr>
            </w:pPr>
            <w:bookmarkStart w:id="2115" w:name="_Toc31230"/>
            <w:bookmarkStart w:id="2116" w:name="_Toc23889"/>
            <w:bookmarkStart w:id="2117" w:name="_Toc32424"/>
            <w:r>
              <w:rPr>
                <w:rFonts w:hint="eastAsia"/>
                <w:color w:val="auto"/>
              </w:rPr>
              <w:t>6.77E-07</w:t>
            </w:r>
            <w:bookmarkEnd w:id="2115"/>
            <w:bookmarkEnd w:id="2116"/>
            <w:bookmarkEnd w:id="2117"/>
          </w:p>
        </w:tc>
        <w:tc>
          <w:tcPr>
            <w:tcW w:w="1279" w:type="dxa"/>
            <w:tcBorders>
              <w:tl2br w:val="nil"/>
              <w:tr2bl w:val="nil"/>
            </w:tcBorders>
            <w:vAlign w:val="center"/>
          </w:tcPr>
          <w:p>
            <w:pPr>
              <w:jc w:val="center"/>
              <w:outlineLvl w:val="9"/>
              <w:rPr>
                <w:color w:val="auto"/>
              </w:rPr>
            </w:pPr>
            <w:bookmarkStart w:id="2118" w:name="_Toc16633"/>
            <w:bookmarkStart w:id="2119" w:name="_Toc6104"/>
            <w:bookmarkStart w:id="2120" w:name="_Toc30341"/>
            <w:r>
              <w:rPr>
                <w:rFonts w:hint="eastAsia"/>
                <w:color w:val="auto"/>
              </w:rPr>
              <w:t>9.03</w:t>
            </w:r>
            <w:bookmarkEnd w:id="2118"/>
            <w:bookmarkEnd w:id="2119"/>
            <w:bookmarkEnd w:id="2120"/>
          </w:p>
        </w:tc>
        <w:tc>
          <w:tcPr>
            <w:tcW w:w="1278" w:type="dxa"/>
            <w:tcBorders>
              <w:tl2br w:val="nil"/>
              <w:tr2bl w:val="nil"/>
            </w:tcBorders>
            <w:vAlign w:val="center"/>
          </w:tcPr>
          <w:p>
            <w:pPr>
              <w:jc w:val="center"/>
              <w:outlineLvl w:val="9"/>
              <w:rPr>
                <w:color w:val="auto"/>
              </w:rPr>
            </w:pPr>
            <w:bookmarkStart w:id="2121" w:name="_Toc4936"/>
            <w:bookmarkStart w:id="2122" w:name="_Toc10212"/>
            <w:bookmarkStart w:id="2123" w:name="_Toc14837"/>
            <w:r>
              <w:rPr>
                <w:rFonts w:hint="eastAsia"/>
                <w:color w:val="auto"/>
              </w:rPr>
              <w:t>5.75E-03</w:t>
            </w:r>
            <w:bookmarkEnd w:id="2121"/>
            <w:bookmarkEnd w:id="2122"/>
            <w:bookmarkEnd w:id="2123"/>
          </w:p>
        </w:tc>
        <w:tc>
          <w:tcPr>
            <w:tcW w:w="1279" w:type="dxa"/>
            <w:tcBorders>
              <w:tl2br w:val="nil"/>
              <w:tr2bl w:val="nil"/>
            </w:tcBorders>
            <w:vAlign w:val="center"/>
          </w:tcPr>
          <w:p>
            <w:pPr>
              <w:jc w:val="center"/>
              <w:outlineLvl w:val="9"/>
              <w:rPr>
                <w:color w:val="auto"/>
              </w:rPr>
            </w:pPr>
            <w:bookmarkStart w:id="2124" w:name="_Toc7591"/>
            <w:bookmarkStart w:id="2125" w:name="_Toc30377"/>
            <w:bookmarkStart w:id="2126" w:name="_Toc18168"/>
            <w:r>
              <w:rPr>
                <w:rFonts w:hint="eastAsia"/>
                <w:color w:val="auto"/>
              </w:rPr>
              <w:t>2.87</w:t>
            </w:r>
            <w:bookmarkEnd w:id="2124"/>
            <w:bookmarkEnd w:id="2125"/>
            <w:bookmarkEnd w:id="212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127" w:name="_Toc1212"/>
            <w:bookmarkStart w:id="2128" w:name="_Toc23923"/>
            <w:bookmarkStart w:id="2129" w:name="_Toc25246"/>
            <w:r>
              <w:rPr>
                <w:color w:val="auto"/>
                <w:szCs w:val="21"/>
              </w:rPr>
              <w:t>100</w:t>
            </w:r>
            <w:bookmarkEnd w:id="2127"/>
            <w:bookmarkEnd w:id="2128"/>
            <w:bookmarkEnd w:id="2129"/>
          </w:p>
        </w:tc>
        <w:tc>
          <w:tcPr>
            <w:tcW w:w="1278" w:type="dxa"/>
            <w:tcBorders>
              <w:tl2br w:val="nil"/>
              <w:tr2bl w:val="nil"/>
            </w:tcBorders>
            <w:vAlign w:val="center"/>
          </w:tcPr>
          <w:p>
            <w:pPr>
              <w:jc w:val="center"/>
              <w:outlineLvl w:val="9"/>
              <w:rPr>
                <w:color w:val="auto"/>
                <w:szCs w:val="21"/>
              </w:rPr>
            </w:pPr>
            <w:bookmarkStart w:id="2130" w:name="_Toc30435"/>
            <w:bookmarkStart w:id="2131" w:name="_Toc6440"/>
            <w:bookmarkStart w:id="2132" w:name="_Toc31894"/>
            <w:r>
              <w:rPr>
                <w:rFonts w:hint="eastAsia"/>
                <w:color w:val="auto"/>
              </w:rPr>
              <w:t>7.34E-02</w:t>
            </w:r>
            <w:bookmarkEnd w:id="2130"/>
            <w:bookmarkEnd w:id="2131"/>
            <w:bookmarkEnd w:id="2132"/>
          </w:p>
        </w:tc>
        <w:tc>
          <w:tcPr>
            <w:tcW w:w="1278" w:type="dxa"/>
            <w:tcBorders>
              <w:tl2br w:val="nil"/>
              <w:tr2bl w:val="nil"/>
            </w:tcBorders>
            <w:vAlign w:val="center"/>
          </w:tcPr>
          <w:p>
            <w:pPr>
              <w:jc w:val="center"/>
              <w:outlineLvl w:val="9"/>
              <w:rPr>
                <w:color w:val="auto"/>
                <w:szCs w:val="21"/>
              </w:rPr>
            </w:pPr>
            <w:bookmarkStart w:id="2133" w:name="_Toc15434"/>
            <w:bookmarkStart w:id="2134" w:name="_Toc26137"/>
            <w:bookmarkStart w:id="2135" w:name="_Toc15532"/>
            <w:r>
              <w:rPr>
                <w:rFonts w:hint="eastAsia"/>
                <w:color w:val="auto"/>
              </w:rPr>
              <w:t>0.01</w:t>
            </w:r>
            <w:bookmarkEnd w:id="2133"/>
            <w:bookmarkEnd w:id="2134"/>
            <w:bookmarkEnd w:id="2135"/>
          </w:p>
        </w:tc>
        <w:tc>
          <w:tcPr>
            <w:tcW w:w="1278" w:type="dxa"/>
            <w:tcBorders>
              <w:tl2br w:val="nil"/>
              <w:tr2bl w:val="nil"/>
            </w:tcBorders>
            <w:vAlign w:val="center"/>
          </w:tcPr>
          <w:p>
            <w:pPr>
              <w:jc w:val="center"/>
              <w:outlineLvl w:val="9"/>
              <w:rPr>
                <w:color w:val="auto"/>
              </w:rPr>
            </w:pPr>
            <w:bookmarkStart w:id="2136" w:name="_Toc20605"/>
            <w:bookmarkStart w:id="2137" w:name="_Toc32245"/>
            <w:bookmarkStart w:id="2138" w:name="_Toc12109"/>
            <w:r>
              <w:rPr>
                <w:rFonts w:hint="eastAsia"/>
                <w:color w:val="auto"/>
              </w:rPr>
              <w:t>6.58E-07</w:t>
            </w:r>
            <w:bookmarkEnd w:id="2136"/>
            <w:bookmarkEnd w:id="2137"/>
            <w:bookmarkEnd w:id="2138"/>
          </w:p>
        </w:tc>
        <w:tc>
          <w:tcPr>
            <w:tcW w:w="1279" w:type="dxa"/>
            <w:tcBorders>
              <w:tl2br w:val="nil"/>
              <w:tr2bl w:val="nil"/>
            </w:tcBorders>
            <w:vAlign w:val="center"/>
          </w:tcPr>
          <w:p>
            <w:pPr>
              <w:jc w:val="center"/>
              <w:outlineLvl w:val="9"/>
              <w:rPr>
                <w:color w:val="auto"/>
              </w:rPr>
            </w:pPr>
            <w:bookmarkStart w:id="2139" w:name="_Toc4865"/>
            <w:bookmarkStart w:id="2140" w:name="_Toc6534"/>
            <w:bookmarkStart w:id="2141" w:name="_Toc26998"/>
            <w:r>
              <w:rPr>
                <w:rFonts w:hint="eastAsia"/>
                <w:color w:val="auto"/>
              </w:rPr>
              <w:t>8.78</w:t>
            </w:r>
            <w:bookmarkEnd w:id="2139"/>
            <w:bookmarkEnd w:id="2140"/>
            <w:bookmarkEnd w:id="2141"/>
          </w:p>
        </w:tc>
        <w:tc>
          <w:tcPr>
            <w:tcW w:w="1278" w:type="dxa"/>
            <w:tcBorders>
              <w:tl2br w:val="nil"/>
              <w:tr2bl w:val="nil"/>
            </w:tcBorders>
            <w:vAlign w:val="center"/>
          </w:tcPr>
          <w:p>
            <w:pPr>
              <w:jc w:val="center"/>
              <w:outlineLvl w:val="9"/>
              <w:rPr>
                <w:color w:val="auto"/>
              </w:rPr>
            </w:pPr>
            <w:bookmarkStart w:id="2142" w:name="_Toc1683"/>
            <w:bookmarkStart w:id="2143" w:name="_Toc28493"/>
            <w:bookmarkStart w:id="2144" w:name="_Toc22175"/>
            <w:r>
              <w:rPr>
                <w:rFonts w:hint="eastAsia"/>
                <w:color w:val="auto"/>
              </w:rPr>
              <w:t>5.59E-03</w:t>
            </w:r>
            <w:bookmarkEnd w:id="2142"/>
            <w:bookmarkEnd w:id="2143"/>
            <w:bookmarkEnd w:id="2144"/>
          </w:p>
        </w:tc>
        <w:tc>
          <w:tcPr>
            <w:tcW w:w="1279" w:type="dxa"/>
            <w:tcBorders>
              <w:tl2br w:val="nil"/>
              <w:tr2bl w:val="nil"/>
            </w:tcBorders>
            <w:vAlign w:val="center"/>
          </w:tcPr>
          <w:p>
            <w:pPr>
              <w:jc w:val="center"/>
              <w:outlineLvl w:val="9"/>
              <w:rPr>
                <w:color w:val="auto"/>
              </w:rPr>
            </w:pPr>
            <w:bookmarkStart w:id="2145" w:name="_Toc31985"/>
            <w:bookmarkStart w:id="2146" w:name="_Toc8178"/>
            <w:bookmarkStart w:id="2147" w:name="_Toc4272"/>
            <w:r>
              <w:rPr>
                <w:rFonts w:hint="eastAsia"/>
                <w:color w:val="auto"/>
              </w:rPr>
              <w:t>2.79</w:t>
            </w:r>
            <w:bookmarkEnd w:id="2145"/>
            <w:bookmarkEnd w:id="2146"/>
            <w:bookmarkEnd w:id="214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148" w:name="_Toc27692"/>
            <w:bookmarkStart w:id="2149" w:name="_Toc24373"/>
            <w:bookmarkStart w:id="2150" w:name="_Toc27193"/>
            <w:r>
              <w:rPr>
                <w:color w:val="auto"/>
                <w:szCs w:val="21"/>
              </w:rPr>
              <w:t>125</w:t>
            </w:r>
            <w:bookmarkEnd w:id="2148"/>
            <w:bookmarkEnd w:id="2149"/>
            <w:bookmarkEnd w:id="2150"/>
          </w:p>
        </w:tc>
        <w:tc>
          <w:tcPr>
            <w:tcW w:w="1278" w:type="dxa"/>
            <w:tcBorders>
              <w:tl2br w:val="nil"/>
              <w:tr2bl w:val="nil"/>
            </w:tcBorders>
            <w:vAlign w:val="center"/>
          </w:tcPr>
          <w:p>
            <w:pPr>
              <w:jc w:val="center"/>
              <w:outlineLvl w:val="9"/>
              <w:rPr>
                <w:color w:val="auto"/>
                <w:szCs w:val="21"/>
              </w:rPr>
            </w:pPr>
            <w:bookmarkStart w:id="2151" w:name="_Toc13152"/>
            <w:bookmarkStart w:id="2152" w:name="_Toc11909"/>
            <w:bookmarkStart w:id="2153" w:name="_Toc20148"/>
            <w:r>
              <w:rPr>
                <w:rFonts w:hint="eastAsia"/>
                <w:color w:val="auto"/>
              </w:rPr>
              <w:t>5.36E-02</w:t>
            </w:r>
            <w:bookmarkEnd w:id="2151"/>
            <w:bookmarkEnd w:id="2152"/>
            <w:bookmarkEnd w:id="2153"/>
          </w:p>
        </w:tc>
        <w:tc>
          <w:tcPr>
            <w:tcW w:w="1278" w:type="dxa"/>
            <w:tcBorders>
              <w:tl2br w:val="nil"/>
              <w:tr2bl w:val="nil"/>
            </w:tcBorders>
            <w:vAlign w:val="center"/>
          </w:tcPr>
          <w:p>
            <w:pPr>
              <w:jc w:val="center"/>
              <w:outlineLvl w:val="9"/>
              <w:rPr>
                <w:color w:val="auto"/>
                <w:szCs w:val="21"/>
              </w:rPr>
            </w:pPr>
            <w:bookmarkStart w:id="2154" w:name="_Toc19375"/>
            <w:bookmarkStart w:id="2155" w:name="_Toc11457"/>
            <w:bookmarkStart w:id="2156" w:name="_Toc6602"/>
            <w:r>
              <w:rPr>
                <w:rFonts w:hint="eastAsia"/>
                <w:color w:val="auto"/>
              </w:rPr>
              <w:t>0.01</w:t>
            </w:r>
            <w:bookmarkEnd w:id="2154"/>
            <w:bookmarkEnd w:id="2155"/>
            <w:bookmarkEnd w:id="2156"/>
          </w:p>
        </w:tc>
        <w:tc>
          <w:tcPr>
            <w:tcW w:w="1278" w:type="dxa"/>
            <w:tcBorders>
              <w:tl2br w:val="nil"/>
              <w:tr2bl w:val="nil"/>
            </w:tcBorders>
            <w:vAlign w:val="center"/>
          </w:tcPr>
          <w:p>
            <w:pPr>
              <w:jc w:val="center"/>
              <w:outlineLvl w:val="9"/>
              <w:rPr>
                <w:color w:val="auto"/>
              </w:rPr>
            </w:pPr>
            <w:bookmarkStart w:id="2157" w:name="_Toc32726"/>
            <w:bookmarkStart w:id="2158" w:name="_Toc3723"/>
            <w:bookmarkStart w:id="2159" w:name="_Toc19088"/>
            <w:r>
              <w:rPr>
                <w:rFonts w:hint="eastAsia"/>
                <w:color w:val="auto"/>
              </w:rPr>
              <w:t>4.81E-07</w:t>
            </w:r>
            <w:bookmarkEnd w:id="2157"/>
            <w:bookmarkEnd w:id="2158"/>
            <w:bookmarkEnd w:id="2159"/>
          </w:p>
        </w:tc>
        <w:tc>
          <w:tcPr>
            <w:tcW w:w="1279" w:type="dxa"/>
            <w:tcBorders>
              <w:tl2br w:val="nil"/>
              <w:tr2bl w:val="nil"/>
            </w:tcBorders>
            <w:vAlign w:val="center"/>
          </w:tcPr>
          <w:p>
            <w:pPr>
              <w:jc w:val="center"/>
              <w:outlineLvl w:val="9"/>
              <w:rPr>
                <w:color w:val="auto"/>
              </w:rPr>
            </w:pPr>
            <w:bookmarkStart w:id="2160" w:name="_Toc1117"/>
            <w:bookmarkStart w:id="2161" w:name="_Toc9145"/>
            <w:bookmarkStart w:id="2162" w:name="_Toc18544"/>
            <w:r>
              <w:rPr>
                <w:rFonts w:hint="eastAsia"/>
                <w:color w:val="auto"/>
              </w:rPr>
              <w:t>6.41</w:t>
            </w:r>
            <w:bookmarkEnd w:id="2160"/>
            <w:bookmarkEnd w:id="2161"/>
            <w:bookmarkEnd w:id="2162"/>
          </w:p>
        </w:tc>
        <w:tc>
          <w:tcPr>
            <w:tcW w:w="1278" w:type="dxa"/>
            <w:tcBorders>
              <w:tl2br w:val="nil"/>
              <w:tr2bl w:val="nil"/>
            </w:tcBorders>
            <w:vAlign w:val="center"/>
          </w:tcPr>
          <w:p>
            <w:pPr>
              <w:jc w:val="center"/>
              <w:outlineLvl w:val="9"/>
              <w:rPr>
                <w:color w:val="auto"/>
              </w:rPr>
            </w:pPr>
            <w:bookmarkStart w:id="2163" w:name="_Toc19469"/>
            <w:bookmarkStart w:id="2164" w:name="_Toc2849"/>
            <w:bookmarkStart w:id="2165" w:name="_Toc6520"/>
            <w:r>
              <w:rPr>
                <w:rFonts w:hint="eastAsia"/>
                <w:color w:val="auto"/>
              </w:rPr>
              <w:t>4.08E-03</w:t>
            </w:r>
            <w:bookmarkEnd w:id="2163"/>
            <w:bookmarkEnd w:id="2164"/>
            <w:bookmarkEnd w:id="2165"/>
          </w:p>
        </w:tc>
        <w:tc>
          <w:tcPr>
            <w:tcW w:w="1279" w:type="dxa"/>
            <w:tcBorders>
              <w:tl2br w:val="nil"/>
              <w:tr2bl w:val="nil"/>
            </w:tcBorders>
            <w:vAlign w:val="center"/>
          </w:tcPr>
          <w:p>
            <w:pPr>
              <w:jc w:val="center"/>
              <w:outlineLvl w:val="9"/>
              <w:rPr>
                <w:color w:val="auto"/>
              </w:rPr>
            </w:pPr>
            <w:bookmarkStart w:id="2166" w:name="_Toc909"/>
            <w:bookmarkStart w:id="2167" w:name="_Toc22767"/>
            <w:bookmarkStart w:id="2168" w:name="_Toc20666"/>
            <w:r>
              <w:rPr>
                <w:rFonts w:hint="eastAsia"/>
                <w:color w:val="auto"/>
              </w:rPr>
              <w:t>2.04</w:t>
            </w:r>
            <w:bookmarkEnd w:id="2166"/>
            <w:bookmarkEnd w:id="2167"/>
            <w:bookmarkEnd w:id="216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169" w:name="_Toc13913"/>
            <w:bookmarkStart w:id="2170" w:name="_Toc27315"/>
            <w:bookmarkStart w:id="2171" w:name="_Toc28018"/>
            <w:r>
              <w:rPr>
                <w:color w:val="auto"/>
                <w:szCs w:val="21"/>
              </w:rPr>
              <w:t>150</w:t>
            </w:r>
            <w:bookmarkEnd w:id="2169"/>
            <w:bookmarkEnd w:id="2170"/>
            <w:bookmarkEnd w:id="2171"/>
          </w:p>
        </w:tc>
        <w:tc>
          <w:tcPr>
            <w:tcW w:w="1278" w:type="dxa"/>
            <w:tcBorders>
              <w:tl2br w:val="nil"/>
              <w:tr2bl w:val="nil"/>
            </w:tcBorders>
            <w:vAlign w:val="center"/>
          </w:tcPr>
          <w:p>
            <w:pPr>
              <w:jc w:val="center"/>
              <w:outlineLvl w:val="9"/>
              <w:rPr>
                <w:color w:val="auto"/>
                <w:szCs w:val="21"/>
              </w:rPr>
            </w:pPr>
            <w:bookmarkStart w:id="2172" w:name="_Toc16082"/>
            <w:bookmarkStart w:id="2173" w:name="_Toc7479"/>
            <w:bookmarkStart w:id="2174" w:name="_Toc21166"/>
            <w:r>
              <w:rPr>
                <w:rFonts w:hint="eastAsia"/>
                <w:color w:val="auto"/>
              </w:rPr>
              <w:t>4.09E-02</w:t>
            </w:r>
            <w:bookmarkEnd w:id="2172"/>
            <w:bookmarkEnd w:id="2173"/>
            <w:bookmarkEnd w:id="2174"/>
          </w:p>
        </w:tc>
        <w:tc>
          <w:tcPr>
            <w:tcW w:w="1278" w:type="dxa"/>
            <w:tcBorders>
              <w:tl2br w:val="nil"/>
              <w:tr2bl w:val="nil"/>
            </w:tcBorders>
            <w:vAlign w:val="center"/>
          </w:tcPr>
          <w:p>
            <w:pPr>
              <w:jc w:val="center"/>
              <w:outlineLvl w:val="9"/>
              <w:rPr>
                <w:color w:val="auto"/>
                <w:szCs w:val="21"/>
              </w:rPr>
            </w:pPr>
            <w:bookmarkStart w:id="2175" w:name="_Toc8944"/>
            <w:bookmarkStart w:id="2176" w:name="_Toc20686"/>
            <w:bookmarkStart w:id="2177" w:name="_Toc10790"/>
            <w:r>
              <w:rPr>
                <w:rFonts w:hint="eastAsia"/>
                <w:color w:val="auto"/>
              </w:rPr>
              <w:t>0.00</w:t>
            </w:r>
            <w:bookmarkEnd w:id="2175"/>
            <w:bookmarkEnd w:id="2176"/>
            <w:bookmarkEnd w:id="2177"/>
          </w:p>
        </w:tc>
        <w:tc>
          <w:tcPr>
            <w:tcW w:w="1278" w:type="dxa"/>
            <w:tcBorders>
              <w:tl2br w:val="nil"/>
              <w:tr2bl w:val="nil"/>
            </w:tcBorders>
            <w:vAlign w:val="center"/>
          </w:tcPr>
          <w:p>
            <w:pPr>
              <w:jc w:val="center"/>
              <w:outlineLvl w:val="9"/>
              <w:rPr>
                <w:color w:val="auto"/>
              </w:rPr>
            </w:pPr>
            <w:bookmarkStart w:id="2178" w:name="_Toc12099"/>
            <w:bookmarkStart w:id="2179" w:name="_Toc14357"/>
            <w:bookmarkStart w:id="2180" w:name="_Toc18948"/>
            <w:r>
              <w:rPr>
                <w:rFonts w:hint="eastAsia"/>
                <w:color w:val="auto"/>
              </w:rPr>
              <w:t>3.67E-07</w:t>
            </w:r>
            <w:bookmarkEnd w:id="2178"/>
            <w:bookmarkEnd w:id="2179"/>
            <w:bookmarkEnd w:id="2180"/>
          </w:p>
        </w:tc>
        <w:tc>
          <w:tcPr>
            <w:tcW w:w="1279" w:type="dxa"/>
            <w:tcBorders>
              <w:tl2br w:val="nil"/>
              <w:tr2bl w:val="nil"/>
            </w:tcBorders>
            <w:vAlign w:val="center"/>
          </w:tcPr>
          <w:p>
            <w:pPr>
              <w:jc w:val="center"/>
              <w:outlineLvl w:val="9"/>
              <w:rPr>
                <w:color w:val="auto"/>
              </w:rPr>
            </w:pPr>
            <w:bookmarkStart w:id="2181" w:name="_Toc17878"/>
            <w:bookmarkStart w:id="2182" w:name="_Toc14857"/>
            <w:bookmarkStart w:id="2183" w:name="_Toc8809"/>
            <w:r>
              <w:rPr>
                <w:rFonts w:hint="eastAsia"/>
                <w:color w:val="auto"/>
              </w:rPr>
              <w:t>4.89</w:t>
            </w:r>
            <w:bookmarkEnd w:id="2181"/>
            <w:bookmarkEnd w:id="2182"/>
            <w:bookmarkEnd w:id="2183"/>
          </w:p>
        </w:tc>
        <w:tc>
          <w:tcPr>
            <w:tcW w:w="1278" w:type="dxa"/>
            <w:tcBorders>
              <w:tl2br w:val="nil"/>
              <w:tr2bl w:val="nil"/>
            </w:tcBorders>
            <w:vAlign w:val="center"/>
          </w:tcPr>
          <w:p>
            <w:pPr>
              <w:jc w:val="center"/>
              <w:outlineLvl w:val="9"/>
              <w:rPr>
                <w:color w:val="auto"/>
              </w:rPr>
            </w:pPr>
            <w:bookmarkStart w:id="2184" w:name="_Toc22581"/>
            <w:bookmarkStart w:id="2185" w:name="_Toc23440"/>
            <w:bookmarkStart w:id="2186" w:name="_Toc28375"/>
            <w:r>
              <w:rPr>
                <w:rFonts w:hint="eastAsia"/>
                <w:color w:val="auto"/>
              </w:rPr>
              <w:t>3.12E-03</w:t>
            </w:r>
            <w:bookmarkEnd w:id="2184"/>
            <w:bookmarkEnd w:id="2185"/>
            <w:bookmarkEnd w:id="2186"/>
          </w:p>
        </w:tc>
        <w:tc>
          <w:tcPr>
            <w:tcW w:w="1279" w:type="dxa"/>
            <w:tcBorders>
              <w:tl2br w:val="nil"/>
              <w:tr2bl w:val="nil"/>
            </w:tcBorders>
            <w:vAlign w:val="center"/>
          </w:tcPr>
          <w:p>
            <w:pPr>
              <w:jc w:val="center"/>
              <w:outlineLvl w:val="9"/>
              <w:rPr>
                <w:color w:val="auto"/>
              </w:rPr>
            </w:pPr>
            <w:bookmarkStart w:id="2187" w:name="_Toc16613"/>
            <w:bookmarkStart w:id="2188" w:name="_Toc17569"/>
            <w:bookmarkStart w:id="2189" w:name="_Toc25503"/>
            <w:r>
              <w:rPr>
                <w:rFonts w:hint="eastAsia"/>
                <w:color w:val="auto"/>
              </w:rPr>
              <w:t>1.56</w:t>
            </w:r>
            <w:bookmarkEnd w:id="2187"/>
            <w:bookmarkEnd w:id="2188"/>
            <w:bookmarkEnd w:id="218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190" w:name="_Toc5918"/>
            <w:bookmarkStart w:id="2191" w:name="_Toc20855"/>
            <w:bookmarkStart w:id="2192" w:name="_Toc21503"/>
            <w:r>
              <w:rPr>
                <w:color w:val="auto"/>
                <w:szCs w:val="21"/>
              </w:rPr>
              <w:t>175</w:t>
            </w:r>
            <w:bookmarkEnd w:id="2190"/>
            <w:bookmarkEnd w:id="2191"/>
            <w:bookmarkEnd w:id="2192"/>
          </w:p>
        </w:tc>
        <w:tc>
          <w:tcPr>
            <w:tcW w:w="1278" w:type="dxa"/>
            <w:tcBorders>
              <w:tl2br w:val="nil"/>
              <w:tr2bl w:val="nil"/>
            </w:tcBorders>
            <w:vAlign w:val="center"/>
          </w:tcPr>
          <w:p>
            <w:pPr>
              <w:jc w:val="center"/>
              <w:outlineLvl w:val="9"/>
              <w:rPr>
                <w:color w:val="auto"/>
                <w:szCs w:val="21"/>
              </w:rPr>
            </w:pPr>
            <w:bookmarkStart w:id="2193" w:name="_Toc16023"/>
            <w:bookmarkStart w:id="2194" w:name="_Toc5628"/>
            <w:bookmarkStart w:id="2195" w:name="_Toc16359"/>
            <w:r>
              <w:rPr>
                <w:rFonts w:hint="eastAsia"/>
                <w:color w:val="auto"/>
              </w:rPr>
              <w:t>3.31E-02</w:t>
            </w:r>
            <w:bookmarkEnd w:id="2193"/>
            <w:bookmarkEnd w:id="2194"/>
            <w:bookmarkEnd w:id="2195"/>
          </w:p>
        </w:tc>
        <w:tc>
          <w:tcPr>
            <w:tcW w:w="1278" w:type="dxa"/>
            <w:tcBorders>
              <w:tl2br w:val="nil"/>
              <w:tr2bl w:val="nil"/>
            </w:tcBorders>
            <w:vAlign w:val="center"/>
          </w:tcPr>
          <w:p>
            <w:pPr>
              <w:jc w:val="center"/>
              <w:outlineLvl w:val="9"/>
              <w:rPr>
                <w:color w:val="auto"/>
                <w:szCs w:val="21"/>
              </w:rPr>
            </w:pPr>
            <w:bookmarkStart w:id="2196" w:name="_Toc6195"/>
            <w:bookmarkStart w:id="2197" w:name="_Toc2444"/>
            <w:bookmarkStart w:id="2198" w:name="_Toc8805"/>
            <w:r>
              <w:rPr>
                <w:rFonts w:hint="eastAsia"/>
                <w:color w:val="auto"/>
              </w:rPr>
              <w:t>0.00</w:t>
            </w:r>
            <w:bookmarkEnd w:id="2196"/>
            <w:bookmarkEnd w:id="2197"/>
            <w:bookmarkEnd w:id="2198"/>
          </w:p>
        </w:tc>
        <w:tc>
          <w:tcPr>
            <w:tcW w:w="1278" w:type="dxa"/>
            <w:tcBorders>
              <w:tl2br w:val="nil"/>
              <w:tr2bl w:val="nil"/>
            </w:tcBorders>
            <w:vAlign w:val="center"/>
          </w:tcPr>
          <w:p>
            <w:pPr>
              <w:jc w:val="center"/>
              <w:outlineLvl w:val="9"/>
              <w:rPr>
                <w:color w:val="auto"/>
              </w:rPr>
            </w:pPr>
            <w:bookmarkStart w:id="2199" w:name="_Toc8083"/>
            <w:bookmarkStart w:id="2200" w:name="_Toc30518"/>
            <w:bookmarkStart w:id="2201" w:name="_Toc19146"/>
            <w:r>
              <w:rPr>
                <w:rFonts w:hint="eastAsia"/>
                <w:color w:val="auto"/>
              </w:rPr>
              <w:t>2.97E-07</w:t>
            </w:r>
            <w:bookmarkEnd w:id="2199"/>
            <w:bookmarkEnd w:id="2200"/>
            <w:bookmarkEnd w:id="2201"/>
          </w:p>
        </w:tc>
        <w:tc>
          <w:tcPr>
            <w:tcW w:w="1279" w:type="dxa"/>
            <w:tcBorders>
              <w:tl2br w:val="nil"/>
              <w:tr2bl w:val="nil"/>
            </w:tcBorders>
            <w:vAlign w:val="center"/>
          </w:tcPr>
          <w:p>
            <w:pPr>
              <w:jc w:val="center"/>
              <w:outlineLvl w:val="9"/>
              <w:rPr>
                <w:color w:val="auto"/>
              </w:rPr>
            </w:pPr>
            <w:bookmarkStart w:id="2202" w:name="_Toc13915"/>
            <w:bookmarkStart w:id="2203" w:name="_Toc9796"/>
            <w:bookmarkStart w:id="2204" w:name="_Toc29260"/>
            <w:r>
              <w:rPr>
                <w:rFonts w:hint="eastAsia"/>
                <w:color w:val="auto"/>
              </w:rPr>
              <w:t>3.96</w:t>
            </w:r>
            <w:bookmarkEnd w:id="2202"/>
            <w:bookmarkEnd w:id="2203"/>
            <w:bookmarkEnd w:id="2204"/>
          </w:p>
        </w:tc>
        <w:tc>
          <w:tcPr>
            <w:tcW w:w="1278" w:type="dxa"/>
            <w:tcBorders>
              <w:tl2br w:val="nil"/>
              <w:tr2bl w:val="nil"/>
            </w:tcBorders>
            <w:vAlign w:val="center"/>
          </w:tcPr>
          <w:p>
            <w:pPr>
              <w:jc w:val="center"/>
              <w:outlineLvl w:val="9"/>
              <w:rPr>
                <w:color w:val="auto"/>
              </w:rPr>
            </w:pPr>
            <w:bookmarkStart w:id="2205" w:name="_Toc27784"/>
            <w:bookmarkStart w:id="2206" w:name="_Toc7495"/>
            <w:bookmarkStart w:id="2207" w:name="_Toc26798"/>
            <w:r>
              <w:rPr>
                <w:rFonts w:hint="eastAsia"/>
                <w:color w:val="auto"/>
              </w:rPr>
              <w:t>2.52E-03</w:t>
            </w:r>
            <w:bookmarkEnd w:id="2205"/>
            <w:bookmarkEnd w:id="2206"/>
            <w:bookmarkEnd w:id="2207"/>
          </w:p>
        </w:tc>
        <w:tc>
          <w:tcPr>
            <w:tcW w:w="1279" w:type="dxa"/>
            <w:tcBorders>
              <w:tl2br w:val="nil"/>
              <w:tr2bl w:val="nil"/>
            </w:tcBorders>
            <w:vAlign w:val="center"/>
          </w:tcPr>
          <w:p>
            <w:pPr>
              <w:jc w:val="center"/>
              <w:outlineLvl w:val="9"/>
              <w:rPr>
                <w:color w:val="auto"/>
              </w:rPr>
            </w:pPr>
            <w:bookmarkStart w:id="2208" w:name="_Toc10717"/>
            <w:bookmarkStart w:id="2209" w:name="_Toc12886"/>
            <w:bookmarkStart w:id="2210" w:name="_Toc29451"/>
            <w:r>
              <w:rPr>
                <w:rFonts w:hint="eastAsia"/>
                <w:color w:val="auto"/>
              </w:rPr>
              <w:t>1.26</w:t>
            </w:r>
            <w:bookmarkEnd w:id="2208"/>
            <w:bookmarkEnd w:id="2209"/>
            <w:bookmarkEnd w:id="221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211" w:name="_Toc403"/>
            <w:bookmarkStart w:id="2212" w:name="_Toc23182"/>
            <w:bookmarkStart w:id="2213" w:name="_Toc19898"/>
            <w:r>
              <w:rPr>
                <w:color w:val="auto"/>
                <w:szCs w:val="21"/>
              </w:rPr>
              <w:t>200</w:t>
            </w:r>
            <w:bookmarkEnd w:id="2211"/>
            <w:bookmarkEnd w:id="2212"/>
            <w:bookmarkEnd w:id="2213"/>
          </w:p>
        </w:tc>
        <w:tc>
          <w:tcPr>
            <w:tcW w:w="1278" w:type="dxa"/>
            <w:tcBorders>
              <w:tl2br w:val="nil"/>
              <w:tr2bl w:val="nil"/>
            </w:tcBorders>
            <w:vAlign w:val="center"/>
          </w:tcPr>
          <w:p>
            <w:pPr>
              <w:jc w:val="center"/>
              <w:outlineLvl w:val="9"/>
              <w:rPr>
                <w:color w:val="auto"/>
                <w:szCs w:val="21"/>
              </w:rPr>
            </w:pPr>
            <w:bookmarkStart w:id="2214" w:name="_Toc12942"/>
            <w:bookmarkStart w:id="2215" w:name="_Toc5294"/>
            <w:bookmarkStart w:id="2216" w:name="_Toc25297"/>
            <w:r>
              <w:rPr>
                <w:rFonts w:hint="eastAsia"/>
                <w:color w:val="auto"/>
              </w:rPr>
              <w:t>2.76E-02</w:t>
            </w:r>
            <w:bookmarkEnd w:id="2214"/>
            <w:bookmarkEnd w:id="2215"/>
            <w:bookmarkEnd w:id="2216"/>
          </w:p>
        </w:tc>
        <w:tc>
          <w:tcPr>
            <w:tcW w:w="1278" w:type="dxa"/>
            <w:tcBorders>
              <w:tl2br w:val="nil"/>
              <w:tr2bl w:val="nil"/>
            </w:tcBorders>
            <w:vAlign w:val="center"/>
          </w:tcPr>
          <w:p>
            <w:pPr>
              <w:jc w:val="center"/>
              <w:outlineLvl w:val="9"/>
              <w:rPr>
                <w:color w:val="auto"/>
                <w:szCs w:val="21"/>
              </w:rPr>
            </w:pPr>
            <w:bookmarkStart w:id="2217" w:name="_Toc15822"/>
            <w:bookmarkStart w:id="2218" w:name="_Toc9655"/>
            <w:bookmarkStart w:id="2219" w:name="_Toc3533"/>
            <w:r>
              <w:rPr>
                <w:rFonts w:hint="eastAsia"/>
                <w:color w:val="auto"/>
              </w:rPr>
              <w:t>0.00</w:t>
            </w:r>
            <w:bookmarkEnd w:id="2217"/>
            <w:bookmarkEnd w:id="2218"/>
            <w:bookmarkEnd w:id="2219"/>
          </w:p>
        </w:tc>
        <w:tc>
          <w:tcPr>
            <w:tcW w:w="1278" w:type="dxa"/>
            <w:tcBorders>
              <w:tl2br w:val="nil"/>
              <w:tr2bl w:val="nil"/>
            </w:tcBorders>
            <w:vAlign w:val="center"/>
          </w:tcPr>
          <w:p>
            <w:pPr>
              <w:jc w:val="center"/>
              <w:outlineLvl w:val="9"/>
              <w:rPr>
                <w:color w:val="auto"/>
              </w:rPr>
            </w:pPr>
            <w:bookmarkStart w:id="2220" w:name="_Toc21348"/>
            <w:bookmarkStart w:id="2221" w:name="_Toc247"/>
            <w:bookmarkStart w:id="2222" w:name="_Toc2348"/>
            <w:r>
              <w:rPr>
                <w:rFonts w:hint="eastAsia"/>
                <w:color w:val="auto"/>
              </w:rPr>
              <w:t>2.47E-07</w:t>
            </w:r>
            <w:bookmarkEnd w:id="2220"/>
            <w:bookmarkEnd w:id="2221"/>
            <w:bookmarkEnd w:id="2222"/>
          </w:p>
        </w:tc>
        <w:tc>
          <w:tcPr>
            <w:tcW w:w="1279" w:type="dxa"/>
            <w:tcBorders>
              <w:tl2br w:val="nil"/>
              <w:tr2bl w:val="nil"/>
            </w:tcBorders>
            <w:vAlign w:val="center"/>
          </w:tcPr>
          <w:p>
            <w:pPr>
              <w:jc w:val="center"/>
              <w:outlineLvl w:val="9"/>
              <w:rPr>
                <w:color w:val="auto"/>
              </w:rPr>
            </w:pPr>
            <w:bookmarkStart w:id="2223" w:name="_Toc12495"/>
            <w:bookmarkStart w:id="2224" w:name="_Toc27851"/>
            <w:bookmarkStart w:id="2225" w:name="_Toc10386"/>
            <w:r>
              <w:rPr>
                <w:rFonts w:hint="eastAsia"/>
                <w:color w:val="auto"/>
              </w:rPr>
              <w:t>3.30</w:t>
            </w:r>
            <w:bookmarkEnd w:id="2223"/>
            <w:bookmarkEnd w:id="2224"/>
            <w:bookmarkEnd w:id="2225"/>
          </w:p>
        </w:tc>
        <w:tc>
          <w:tcPr>
            <w:tcW w:w="1278" w:type="dxa"/>
            <w:tcBorders>
              <w:tl2br w:val="nil"/>
              <w:tr2bl w:val="nil"/>
            </w:tcBorders>
            <w:vAlign w:val="center"/>
          </w:tcPr>
          <w:p>
            <w:pPr>
              <w:jc w:val="center"/>
              <w:outlineLvl w:val="9"/>
              <w:rPr>
                <w:color w:val="auto"/>
              </w:rPr>
            </w:pPr>
            <w:bookmarkStart w:id="2226" w:name="_Toc13397"/>
            <w:bookmarkStart w:id="2227" w:name="_Toc29529"/>
            <w:bookmarkStart w:id="2228" w:name="_Toc17110"/>
            <w:r>
              <w:rPr>
                <w:rFonts w:hint="eastAsia"/>
                <w:color w:val="auto"/>
              </w:rPr>
              <w:t>2.10E-03</w:t>
            </w:r>
            <w:bookmarkEnd w:id="2226"/>
            <w:bookmarkEnd w:id="2227"/>
            <w:bookmarkEnd w:id="2228"/>
          </w:p>
        </w:tc>
        <w:tc>
          <w:tcPr>
            <w:tcW w:w="1279" w:type="dxa"/>
            <w:tcBorders>
              <w:tl2br w:val="nil"/>
              <w:tr2bl w:val="nil"/>
            </w:tcBorders>
            <w:vAlign w:val="center"/>
          </w:tcPr>
          <w:p>
            <w:pPr>
              <w:jc w:val="center"/>
              <w:outlineLvl w:val="9"/>
              <w:rPr>
                <w:color w:val="auto"/>
              </w:rPr>
            </w:pPr>
            <w:bookmarkStart w:id="2229" w:name="_Toc31701"/>
            <w:bookmarkStart w:id="2230" w:name="_Toc12125"/>
            <w:bookmarkStart w:id="2231" w:name="_Toc17724"/>
            <w:r>
              <w:rPr>
                <w:rFonts w:hint="eastAsia"/>
                <w:color w:val="auto"/>
              </w:rPr>
              <w:t>1.05</w:t>
            </w:r>
            <w:bookmarkEnd w:id="2229"/>
            <w:bookmarkEnd w:id="2230"/>
            <w:bookmarkEnd w:id="223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232" w:name="_Toc17754"/>
            <w:bookmarkStart w:id="2233" w:name="_Toc19819"/>
            <w:bookmarkStart w:id="2234" w:name="_Toc2463"/>
            <w:r>
              <w:rPr>
                <w:color w:val="auto"/>
                <w:szCs w:val="21"/>
              </w:rPr>
              <w:t>225</w:t>
            </w:r>
            <w:bookmarkEnd w:id="2232"/>
            <w:bookmarkEnd w:id="2233"/>
            <w:bookmarkEnd w:id="2234"/>
          </w:p>
        </w:tc>
        <w:tc>
          <w:tcPr>
            <w:tcW w:w="1278" w:type="dxa"/>
            <w:tcBorders>
              <w:tl2br w:val="nil"/>
              <w:tr2bl w:val="nil"/>
            </w:tcBorders>
            <w:vAlign w:val="center"/>
          </w:tcPr>
          <w:p>
            <w:pPr>
              <w:jc w:val="center"/>
              <w:outlineLvl w:val="9"/>
              <w:rPr>
                <w:color w:val="auto"/>
                <w:szCs w:val="21"/>
              </w:rPr>
            </w:pPr>
            <w:bookmarkStart w:id="2235" w:name="_Toc32348"/>
            <w:bookmarkStart w:id="2236" w:name="_Toc17481"/>
            <w:bookmarkStart w:id="2237" w:name="_Toc6423"/>
            <w:r>
              <w:rPr>
                <w:rFonts w:hint="eastAsia"/>
                <w:color w:val="auto"/>
              </w:rPr>
              <w:t>2.35E-02</w:t>
            </w:r>
            <w:bookmarkEnd w:id="2235"/>
            <w:bookmarkEnd w:id="2236"/>
            <w:bookmarkEnd w:id="2237"/>
          </w:p>
        </w:tc>
        <w:tc>
          <w:tcPr>
            <w:tcW w:w="1278" w:type="dxa"/>
            <w:tcBorders>
              <w:tl2br w:val="nil"/>
              <w:tr2bl w:val="nil"/>
            </w:tcBorders>
            <w:vAlign w:val="center"/>
          </w:tcPr>
          <w:p>
            <w:pPr>
              <w:jc w:val="center"/>
              <w:outlineLvl w:val="9"/>
              <w:rPr>
                <w:color w:val="auto"/>
                <w:szCs w:val="21"/>
              </w:rPr>
            </w:pPr>
            <w:bookmarkStart w:id="2238" w:name="_Toc2747"/>
            <w:bookmarkStart w:id="2239" w:name="_Toc5941"/>
            <w:bookmarkStart w:id="2240" w:name="_Toc32043"/>
            <w:r>
              <w:rPr>
                <w:rFonts w:hint="eastAsia"/>
                <w:color w:val="auto"/>
              </w:rPr>
              <w:t>0.00</w:t>
            </w:r>
            <w:bookmarkEnd w:id="2238"/>
            <w:bookmarkEnd w:id="2239"/>
            <w:bookmarkEnd w:id="2240"/>
          </w:p>
        </w:tc>
        <w:tc>
          <w:tcPr>
            <w:tcW w:w="1278" w:type="dxa"/>
            <w:tcBorders>
              <w:tl2br w:val="nil"/>
              <w:tr2bl w:val="nil"/>
            </w:tcBorders>
            <w:vAlign w:val="center"/>
          </w:tcPr>
          <w:p>
            <w:pPr>
              <w:jc w:val="center"/>
              <w:outlineLvl w:val="9"/>
              <w:rPr>
                <w:color w:val="auto"/>
              </w:rPr>
            </w:pPr>
            <w:bookmarkStart w:id="2241" w:name="_Toc2131"/>
            <w:bookmarkStart w:id="2242" w:name="_Toc28992"/>
            <w:bookmarkStart w:id="2243" w:name="_Toc13826"/>
            <w:r>
              <w:rPr>
                <w:rFonts w:hint="eastAsia"/>
                <w:color w:val="auto"/>
              </w:rPr>
              <w:t>2.10E-07</w:t>
            </w:r>
            <w:bookmarkEnd w:id="2241"/>
            <w:bookmarkEnd w:id="2242"/>
            <w:bookmarkEnd w:id="2243"/>
          </w:p>
        </w:tc>
        <w:tc>
          <w:tcPr>
            <w:tcW w:w="1279" w:type="dxa"/>
            <w:tcBorders>
              <w:tl2br w:val="nil"/>
              <w:tr2bl w:val="nil"/>
            </w:tcBorders>
            <w:vAlign w:val="center"/>
          </w:tcPr>
          <w:p>
            <w:pPr>
              <w:jc w:val="center"/>
              <w:outlineLvl w:val="9"/>
              <w:rPr>
                <w:color w:val="auto"/>
              </w:rPr>
            </w:pPr>
            <w:bookmarkStart w:id="2244" w:name="_Toc25806"/>
            <w:bookmarkStart w:id="2245" w:name="_Toc13351"/>
            <w:bookmarkStart w:id="2246" w:name="_Toc30981"/>
            <w:r>
              <w:rPr>
                <w:rFonts w:hint="eastAsia"/>
                <w:color w:val="auto"/>
              </w:rPr>
              <w:t>2.81</w:t>
            </w:r>
            <w:bookmarkEnd w:id="2244"/>
            <w:bookmarkEnd w:id="2245"/>
            <w:bookmarkEnd w:id="2246"/>
          </w:p>
        </w:tc>
        <w:tc>
          <w:tcPr>
            <w:tcW w:w="1278" w:type="dxa"/>
            <w:tcBorders>
              <w:tl2br w:val="nil"/>
              <w:tr2bl w:val="nil"/>
            </w:tcBorders>
            <w:vAlign w:val="center"/>
          </w:tcPr>
          <w:p>
            <w:pPr>
              <w:jc w:val="center"/>
              <w:outlineLvl w:val="9"/>
              <w:rPr>
                <w:color w:val="auto"/>
              </w:rPr>
            </w:pPr>
            <w:bookmarkStart w:id="2247" w:name="_Toc30402"/>
            <w:bookmarkStart w:id="2248" w:name="_Toc15542"/>
            <w:bookmarkStart w:id="2249" w:name="_Toc20772"/>
            <w:r>
              <w:rPr>
                <w:rFonts w:hint="eastAsia"/>
                <w:color w:val="auto"/>
              </w:rPr>
              <w:t>1.79E-03</w:t>
            </w:r>
            <w:bookmarkEnd w:id="2247"/>
            <w:bookmarkEnd w:id="2248"/>
            <w:bookmarkEnd w:id="2249"/>
          </w:p>
        </w:tc>
        <w:tc>
          <w:tcPr>
            <w:tcW w:w="1279" w:type="dxa"/>
            <w:tcBorders>
              <w:tl2br w:val="nil"/>
              <w:tr2bl w:val="nil"/>
            </w:tcBorders>
            <w:vAlign w:val="center"/>
          </w:tcPr>
          <w:p>
            <w:pPr>
              <w:jc w:val="center"/>
              <w:outlineLvl w:val="9"/>
              <w:rPr>
                <w:color w:val="auto"/>
              </w:rPr>
            </w:pPr>
            <w:bookmarkStart w:id="2250" w:name="_Toc26110"/>
            <w:bookmarkStart w:id="2251" w:name="_Toc22080"/>
            <w:bookmarkStart w:id="2252" w:name="_Toc25367"/>
            <w:r>
              <w:rPr>
                <w:rFonts w:hint="eastAsia"/>
                <w:color w:val="auto"/>
              </w:rPr>
              <w:t>0.89</w:t>
            </w:r>
            <w:bookmarkEnd w:id="2250"/>
            <w:bookmarkEnd w:id="2251"/>
            <w:bookmarkEnd w:id="225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253" w:name="_Toc2991"/>
            <w:bookmarkStart w:id="2254" w:name="_Toc17210"/>
            <w:bookmarkStart w:id="2255" w:name="_Toc10295"/>
            <w:r>
              <w:rPr>
                <w:color w:val="auto"/>
                <w:szCs w:val="21"/>
              </w:rPr>
              <w:t>250</w:t>
            </w:r>
            <w:bookmarkEnd w:id="2253"/>
            <w:bookmarkEnd w:id="2254"/>
            <w:bookmarkEnd w:id="2255"/>
          </w:p>
        </w:tc>
        <w:tc>
          <w:tcPr>
            <w:tcW w:w="1278" w:type="dxa"/>
            <w:tcBorders>
              <w:tl2br w:val="nil"/>
              <w:tr2bl w:val="nil"/>
            </w:tcBorders>
            <w:vAlign w:val="center"/>
          </w:tcPr>
          <w:p>
            <w:pPr>
              <w:jc w:val="center"/>
              <w:outlineLvl w:val="9"/>
              <w:rPr>
                <w:color w:val="auto"/>
                <w:szCs w:val="21"/>
              </w:rPr>
            </w:pPr>
            <w:bookmarkStart w:id="2256" w:name="_Toc5513"/>
            <w:bookmarkStart w:id="2257" w:name="_Toc11952"/>
            <w:bookmarkStart w:id="2258" w:name="_Toc29745"/>
            <w:r>
              <w:rPr>
                <w:rFonts w:hint="eastAsia"/>
                <w:color w:val="auto"/>
              </w:rPr>
              <w:t>2.03E-02</w:t>
            </w:r>
            <w:bookmarkEnd w:id="2256"/>
            <w:bookmarkEnd w:id="2257"/>
            <w:bookmarkEnd w:id="2258"/>
          </w:p>
        </w:tc>
        <w:tc>
          <w:tcPr>
            <w:tcW w:w="1278" w:type="dxa"/>
            <w:tcBorders>
              <w:tl2br w:val="nil"/>
              <w:tr2bl w:val="nil"/>
            </w:tcBorders>
            <w:vAlign w:val="center"/>
          </w:tcPr>
          <w:p>
            <w:pPr>
              <w:jc w:val="center"/>
              <w:outlineLvl w:val="9"/>
              <w:rPr>
                <w:color w:val="auto"/>
                <w:szCs w:val="21"/>
              </w:rPr>
            </w:pPr>
            <w:bookmarkStart w:id="2259" w:name="_Toc30625"/>
            <w:bookmarkStart w:id="2260" w:name="_Toc20537"/>
            <w:bookmarkStart w:id="2261" w:name="_Toc20738"/>
            <w:r>
              <w:rPr>
                <w:rFonts w:hint="eastAsia"/>
                <w:color w:val="auto"/>
              </w:rPr>
              <w:t>0.00</w:t>
            </w:r>
            <w:bookmarkEnd w:id="2259"/>
            <w:bookmarkEnd w:id="2260"/>
            <w:bookmarkEnd w:id="2261"/>
          </w:p>
        </w:tc>
        <w:tc>
          <w:tcPr>
            <w:tcW w:w="1278" w:type="dxa"/>
            <w:tcBorders>
              <w:tl2br w:val="nil"/>
              <w:tr2bl w:val="nil"/>
            </w:tcBorders>
            <w:vAlign w:val="center"/>
          </w:tcPr>
          <w:p>
            <w:pPr>
              <w:jc w:val="center"/>
              <w:outlineLvl w:val="9"/>
              <w:rPr>
                <w:color w:val="auto"/>
              </w:rPr>
            </w:pPr>
            <w:bookmarkStart w:id="2262" w:name="_Toc20040"/>
            <w:bookmarkStart w:id="2263" w:name="_Toc21343"/>
            <w:bookmarkStart w:id="2264" w:name="_Toc11779"/>
            <w:r>
              <w:rPr>
                <w:rFonts w:hint="eastAsia"/>
                <w:color w:val="auto"/>
              </w:rPr>
              <w:t>1.82E-07</w:t>
            </w:r>
            <w:bookmarkEnd w:id="2262"/>
            <w:bookmarkEnd w:id="2263"/>
            <w:bookmarkEnd w:id="2264"/>
          </w:p>
        </w:tc>
        <w:tc>
          <w:tcPr>
            <w:tcW w:w="1279" w:type="dxa"/>
            <w:tcBorders>
              <w:tl2br w:val="nil"/>
              <w:tr2bl w:val="nil"/>
            </w:tcBorders>
            <w:vAlign w:val="center"/>
          </w:tcPr>
          <w:p>
            <w:pPr>
              <w:jc w:val="center"/>
              <w:outlineLvl w:val="9"/>
              <w:rPr>
                <w:color w:val="auto"/>
              </w:rPr>
            </w:pPr>
            <w:bookmarkStart w:id="2265" w:name="_Toc32170"/>
            <w:bookmarkStart w:id="2266" w:name="_Toc22904"/>
            <w:bookmarkStart w:id="2267" w:name="_Toc15486"/>
            <w:r>
              <w:rPr>
                <w:rFonts w:hint="eastAsia"/>
                <w:color w:val="auto"/>
              </w:rPr>
              <w:t>2.43</w:t>
            </w:r>
            <w:bookmarkEnd w:id="2265"/>
            <w:bookmarkEnd w:id="2266"/>
            <w:bookmarkEnd w:id="2267"/>
          </w:p>
        </w:tc>
        <w:tc>
          <w:tcPr>
            <w:tcW w:w="1278" w:type="dxa"/>
            <w:tcBorders>
              <w:tl2br w:val="nil"/>
              <w:tr2bl w:val="nil"/>
            </w:tcBorders>
            <w:vAlign w:val="center"/>
          </w:tcPr>
          <w:p>
            <w:pPr>
              <w:jc w:val="center"/>
              <w:outlineLvl w:val="9"/>
              <w:rPr>
                <w:color w:val="auto"/>
              </w:rPr>
            </w:pPr>
            <w:bookmarkStart w:id="2268" w:name="_Toc13393"/>
            <w:bookmarkStart w:id="2269" w:name="_Toc17633"/>
            <w:bookmarkStart w:id="2270" w:name="_Toc771"/>
            <w:r>
              <w:rPr>
                <w:rFonts w:hint="eastAsia"/>
                <w:color w:val="auto"/>
              </w:rPr>
              <w:t>1.55E-03</w:t>
            </w:r>
            <w:bookmarkEnd w:id="2268"/>
            <w:bookmarkEnd w:id="2269"/>
            <w:bookmarkEnd w:id="2270"/>
          </w:p>
        </w:tc>
        <w:tc>
          <w:tcPr>
            <w:tcW w:w="1279" w:type="dxa"/>
            <w:tcBorders>
              <w:tl2br w:val="nil"/>
              <w:tr2bl w:val="nil"/>
            </w:tcBorders>
            <w:vAlign w:val="center"/>
          </w:tcPr>
          <w:p>
            <w:pPr>
              <w:jc w:val="center"/>
              <w:outlineLvl w:val="9"/>
              <w:rPr>
                <w:color w:val="auto"/>
              </w:rPr>
            </w:pPr>
            <w:bookmarkStart w:id="2271" w:name="_Toc28670"/>
            <w:bookmarkStart w:id="2272" w:name="_Toc25088"/>
            <w:bookmarkStart w:id="2273" w:name="_Toc20007"/>
            <w:r>
              <w:rPr>
                <w:rFonts w:hint="eastAsia"/>
                <w:color w:val="auto"/>
              </w:rPr>
              <w:t>0.77</w:t>
            </w:r>
            <w:bookmarkEnd w:id="2271"/>
            <w:bookmarkEnd w:id="2272"/>
            <w:bookmarkEnd w:id="227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274" w:name="_Toc16882"/>
            <w:bookmarkStart w:id="2275" w:name="_Toc26145"/>
            <w:bookmarkStart w:id="2276" w:name="_Toc25640"/>
            <w:r>
              <w:rPr>
                <w:color w:val="auto"/>
                <w:szCs w:val="21"/>
              </w:rPr>
              <w:t>275</w:t>
            </w:r>
            <w:bookmarkEnd w:id="2274"/>
            <w:bookmarkEnd w:id="2275"/>
            <w:bookmarkEnd w:id="2276"/>
          </w:p>
        </w:tc>
        <w:tc>
          <w:tcPr>
            <w:tcW w:w="1278" w:type="dxa"/>
            <w:tcBorders>
              <w:tl2br w:val="nil"/>
              <w:tr2bl w:val="nil"/>
            </w:tcBorders>
            <w:vAlign w:val="center"/>
          </w:tcPr>
          <w:p>
            <w:pPr>
              <w:jc w:val="center"/>
              <w:outlineLvl w:val="9"/>
              <w:rPr>
                <w:color w:val="auto"/>
                <w:szCs w:val="21"/>
              </w:rPr>
            </w:pPr>
            <w:bookmarkStart w:id="2277" w:name="_Toc32713"/>
            <w:bookmarkStart w:id="2278" w:name="_Toc3116"/>
            <w:bookmarkStart w:id="2279" w:name="_Toc18786"/>
            <w:r>
              <w:rPr>
                <w:rFonts w:hint="eastAsia"/>
                <w:color w:val="auto"/>
              </w:rPr>
              <w:t>1.78E-02</w:t>
            </w:r>
            <w:bookmarkEnd w:id="2277"/>
            <w:bookmarkEnd w:id="2278"/>
            <w:bookmarkEnd w:id="2279"/>
          </w:p>
        </w:tc>
        <w:tc>
          <w:tcPr>
            <w:tcW w:w="1278" w:type="dxa"/>
            <w:tcBorders>
              <w:tl2br w:val="nil"/>
              <w:tr2bl w:val="nil"/>
            </w:tcBorders>
            <w:vAlign w:val="center"/>
          </w:tcPr>
          <w:p>
            <w:pPr>
              <w:jc w:val="center"/>
              <w:outlineLvl w:val="9"/>
              <w:rPr>
                <w:color w:val="auto"/>
                <w:szCs w:val="21"/>
              </w:rPr>
            </w:pPr>
            <w:bookmarkStart w:id="2280" w:name="_Toc2109"/>
            <w:bookmarkStart w:id="2281" w:name="_Toc24191"/>
            <w:bookmarkStart w:id="2282" w:name="_Toc1617"/>
            <w:r>
              <w:rPr>
                <w:rFonts w:hint="eastAsia"/>
                <w:color w:val="auto"/>
              </w:rPr>
              <w:t>0.00</w:t>
            </w:r>
            <w:bookmarkEnd w:id="2280"/>
            <w:bookmarkEnd w:id="2281"/>
            <w:bookmarkEnd w:id="2282"/>
          </w:p>
        </w:tc>
        <w:tc>
          <w:tcPr>
            <w:tcW w:w="1278" w:type="dxa"/>
            <w:tcBorders>
              <w:tl2br w:val="nil"/>
              <w:tr2bl w:val="nil"/>
            </w:tcBorders>
            <w:vAlign w:val="center"/>
          </w:tcPr>
          <w:p>
            <w:pPr>
              <w:jc w:val="center"/>
              <w:outlineLvl w:val="9"/>
              <w:rPr>
                <w:color w:val="auto"/>
              </w:rPr>
            </w:pPr>
            <w:bookmarkStart w:id="2283" w:name="_Toc8003"/>
            <w:bookmarkStart w:id="2284" w:name="_Toc6041"/>
            <w:bookmarkStart w:id="2285" w:name="_Toc20937"/>
            <w:r>
              <w:rPr>
                <w:rFonts w:hint="eastAsia"/>
                <w:color w:val="auto"/>
              </w:rPr>
              <w:t>1.60E-07</w:t>
            </w:r>
            <w:bookmarkEnd w:id="2283"/>
            <w:bookmarkEnd w:id="2284"/>
            <w:bookmarkEnd w:id="2285"/>
          </w:p>
        </w:tc>
        <w:tc>
          <w:tcPr>
            <w:tcW w:w="1279" w:type="dxa"/>
            <w:tcBorders>
              <w:tl2br w:val="nil"/>
              <w:tr2bl w:val="nil"/>
            </w:tcBorders>
            <w:vAlign w:val="center"/>
          </w:tcPr>
          <w:p>
            <w:pPr>
              <w:jc w:val="center"/>
              <w:outlineLvl w:val="9"/>
              <w:rPr>
                <w:color w:val="auto"/>
              </w:rPr>
            </w:pPr>
            <w:bookmarkStart w:id="2286" w:name="_Toc23849"/>
            <w:bookmarkStart w:id="2287" w:name="_Toc11681"/>
            <w:bookmarkStart w:id="2288" w:name="_Toc6589"/>
            <w:r>
              <w:rPr>
                <w:rFonts w:hint="eastAsia"/>
                <w:color w:val="auto"/>
              </w:rPr>
              <w:t>2.13</w:t>
            </w:r>
            <w:bookmarkEnd w:id="2286"/>
            <w:bookmarkEnd w:id="2287"/>
            <w:bookmarkEnd w:id="2288"/>
          </w:p>
        </w:tc>
        <w:tc>
          <w:tcPr>
            <w:tcW w:w="1278" w:type="dxa"/>
            <w:tcBorders>
              <w:tl2br w:val="nil"/>
              <w:tr2bl w:val="nil"/>
            </w:tcBorders>
            <w:vAlign w:val="center"/>
          </w:tcPr>
          <w:p>
            <w:pPr>
              <w:jc w:val="center"/>
              <w:outlineLvl w:val="9"/>
              <w:rPr>
                <w:color w:val="auto"/>
              </w:rPr>
            </w:pPr>
            <w:bookmarkStart w:id="2289" w:name="_Toc27473"/>
            <w:bookmarkStart w:id="2290" w:name="_Toc3346"/>
            <w:bookmarkStart w:id="2291" w:name="_Toc2064"/>
            <w:r>
              <w:rPr>
                <w:rFonts w:hint="eastAsia"/>
                <w:color w:val="auto"/>
              </w:rPr>
              <w:t>1.36E-03</w:t>
            </w:r>
            <w:bookmarkEnd w:id="2289"/>
            <w:bookmarkEnd w:id="2290"/>
            <w:bookmarkEnd w:id="2291"/>
          </w:p>
        </w:tc>
        <w:tc>
          <w:tcPr>
            <w:tcW w:w="1279" w:type="dxa"/>
            <w:tcBorders>
              <w:tl2br w:val="nil"/>
              <w:tr2bl w:val="nil"/>
            </w:tcBorders>
            <w:vAlign w:val="center"/>
          </w:tcPr>
          <w:p>
            <w:pPr>
              <w:jc w:val="center"/>
              <w:outlineLvl w:val="9"/>
              <w:rPr>
                <w:color w:val="auto"/>
              </w:rPr>
            </w:pPr>
            <w:bookmarkStart w:id="2292" w:name="_Toc127"/>
            <w:bookmarkStart w:id="2293" w:name="_Toc12639"/>
            <w:bookmarkStart w:id="2294" w:name="_Toc23237"/>
            <w:r>
              <w:rPr>
                <w:rFonts w:hint="eastAsia"/>
                <w:color w:val="auto"/>
              </w:rPr>
              <w:t>0.68</w:t>
            </w:r>
            <w:bookmarkEnd w:id="2292"/>
            <w:bookmarkEnd w:id="2293"/>
            <w:bookmarkEnd w:id="229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295" w:name="_Toc26663"/>
            <w:bookmarkStart w:id="2296" w:name="_Toc9422"/>
            <w:bookmarkStart w:id="2297" w:name="_Toc28905"/>
            <w:r>
              <w:rPr>
                <w:color w:val="auto"/>
                <w:szCs w:val="21"/>
              </w:rPr>
              <w:t>300</w:t>
            </w:r>
            <w:bookmarkEnd w:id="2295"/>
            <w:bookmarkEnd w:id="2296"/>
            <w:bookmarkEnd w:id="2297"/>
          </w:p>
        </w:tc>
        <w:tc>
          <w:tcPr>
            <w:tcW w:w="1278" w:type="dxa"/>
            <w:tcBorders>
              <w:tl2br w:val="nil"/>
              <w:tr2bl w:val="nil"/>
            </w:tcBorders>
            <w:vAlign w:val="center"/>
          </w:tcPr>
          <w:p>
            <w:pPr>
              <w:jc w:val="center"/>
              <w:outlineLvl w:val="9"/>
              <w:rPr>
                <w:color w:val="auto"/>
                <w:szCs w:val="21"/>
              </w:rPr>
            </w:pPr>
            <w:bookmarkStart w:id="2298" w:name="_Toc22438"/>
            <w:bookmarkStart w:id="2299" w:name="_Toc32709"/>
            <w:bookmarkStart w:id="2300" w:name="_Toc28329"/>
            <w:r>
              <w:rPr>
                <w:rFonts w:hint="eastAsia"/>
                <w:color w:val="auto"/>
              </w:rPr>
              <w:t>1.58E-02</w:t>
            </w:r>
            <w:bookmarkEnd w:id="2298"/>
            <w:bookmarkEnd w:id="2299"/>
            <w:bookmarkEnd w:id="2300"/>
          </w:p>
        </w:tc>
        <w:tc>
          <w:tcPr>
            <w:tcW w:w="1278" w:type="dxa"/>
            <w:tcBorders>
              <w:tl2br w:val="nil"/>
              <w:tr2bl w:val="nil"/>
            </w:tcBorders>
            <w:vAlign w:val="center"/>
          </w:tcPr>
          <w:p>
            <w:pPr>
              <w:jc w:val="center"/>
              <w:outlineLvl w:val="9"/>
              <w:rPr>
                <w:color w:val="auto"/>
                <w:szCs w:val="21"/>
              </w:rPr>
            </w:pPr>
            <w:bookmarkStart w:id="2301" w:name="_Toc3559"/>
            <w:bookmarkStart w:id="2302" w:name="_Toc8281"/>
            <w:bookmarkStart w:id="2303" w:name="_Toc12885"/>
            <w:r>
              <w:rPr>
                <w:rFonts w:hint="eastAsia"/>
                <w:color w:val="auto"/>
              </w:rPr>
              <w:t>0.00</w:t>
            </w:r>
            <w:bookmarkEnd w:id="2301"/>
            <w:bookmarkEnd w:id="2302"/>
            <w:bookmarkEnd w:id="2303"/>
          </w:p>
        </w:tc>
        <w:tc>
          <w:tcPr>
            <w:tcW w:w="1278" w:type="dxa"/>
            <w:tcBorders>
              <w:tl2br w:val="nil"/>
              <w:tr2bl w:val="nil"/>
            </w:tcBorders>
            <w:vAlign w:val="center"/>
          </w:tcPr>
          <w:p>
            <w:pPr>
              <w:jc w:val="center"/>
              <w:outlineLvl w:val="9"/>
              <w:rPr>
                <w:color w:val="auto"/>
              </w:rPr>
            </w:pPr>
            <w:bookmarkStart w:id="2304" w:name="_Toc16104"/>
            <w:bookmarkStart w:id="2305" w:name="_Toc18587"/>
            <w:bookmarkStart w:id="2306" w:name="_Toc7085"/>
            <w:r>
              <w:rPr>
                <w:rFonts w:hint="eastAsia"/>
                <w:color w:val="auto"/>
              </w:rPr>
              <w:t>1.42E-07</w:t>
            </w:r>
            <w:bookmarkEnd w:id="2304"/>
            <w:bookmarkEnd w:id="2305"/>
            <w:bookmarkEnd w:id="2306"/>
          </w:p>
        </w:tc>
        <w:tc>
          <w:tcPr>
            <w:tcW w:w="1279" w:type="dxa"/>
            <w:tcBorders>
              <w:tl2br w:val="nil"/>
              <w:tr2bl w:val="nil"/>
            </w:tcBorders>
            <w:vAlign w:val="center"/>
          </w:tcPr>
          <w:p>
            <w:pPr>
              <w:jc w:val="center"/>
              <w:outlineLvl w:val="9"/>
              <w:rPr>
                <w:color w:val="auto"/>
              </w:rPr>
            </w:pPr>
            <w:bookmarkStart w:id="2307" w:name="_Toc12528"/>
            <w:bookmarkStart w:id="2308" w:name="_Toc18954"/>
            <w:bookmarkStart w:id="2309" w:name="_Toc10074"/>
            <w:r>
              <w:rPr>
                <w:rFonts w:hint="eastAsia"/>
                <w:color w:val="auto"/>
              </w:rPr>
              <w:t>1.89</w:t>
            </w:r>
            <w:bookmarkEnd w:id="2307"/>
            <w:bookmarkEnd w:id="2308"/>
            <w:bookmarkEnd w:id="2309"/>
          </w:p>
        </w:tc>
        <w:tc>
          <w:tcPr>
            <w:tcW w:w="1278" w:type="dxa"/>
            <w:tcBorders>
              <w:tl2br w:val="nil"/>
              <w:tr2bl w:val="nil"/>
            </w:tcBorders>
            <w:vAlign w:val="center"/>
          </w:tcPr>
          <w:p>
            <w:pPr>
              <w:jc w:val="center"/>
              <w:outlineLvl w:val="9"/>
              <w:rPr>
                <w:color w:val="auto"/>
              </w:rPr>
            </w:pPr>
            <w:bookmarkStart w:id="2310" w:name="_Toc23567"/>
            <w:bookmarkStart w:id="2311" w:name="_Toc4789"/>
            <w:bookmarkStart w:id="2312" w:name="_Toc10585"/>
            <w:r>
              <w:rPr>
                <w:rFonts w:hint="eastAsia"/>
                <w:color w:val="auto"/>
              </w:rPr>
              <w:t>1.20E-03</w:t>
            </w:r>
            <w:bookmarkEnd w:id="2310"/>
            <w:bookmarkEnd w:id="2311"/>
            <w:bookmarkEnd w:id="2312"/>
          </w:p>
        </w:tc>
        <w:tc>
          <w:tcPr>
            <w:tcW w:w="1279" w:type="dxa"/>
            <w:tcBorders>
              <w:tl2br w:val="nil"/>
              <w:tr2bl w:val="nil"/>
            </w:tcBorders>
            <w:vAlign w:val="center"/>
          </w:tcPr>
          <w:p>
            <w:pPr>
              <w:jc w:val="center"/>
              <w:outlineLvl w:val="9"/>
              <w:rPr>
                <w:color w:val="auto"/>
              </w:rPr>
            </w:pPr>
            <w:bookmarkStart w:id="2313" w:name="_Toc22535"/>
            <w:bookmarkStart w:id="2314" w:name="_Toc14309"/>
            <w:bookmarkStart w:id="2315" w:name="_Toc13567"/>
            <w:r>
              <w:rPr>
                <w:rFonts w:hint="eastAsia"/>
                <w:color w:val="auto"/>
              </w:rPr>
              <w:t>0.60</w:t>
            </w:r>
            <w:bookmarkEnd w:id="2313"/>
            <w:bookmarkEnd w:id="2314"/>
            <w:bookmarkEnd w:id="231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316" w:name="_Toc962"/>
            <w:bookmarkStart w:id="2317" w:name="_Toc24203"/>
            <w:bookmarkStart w:id="2318" w:name="_Toc12053"/>
            <w:r>
              <w:rPr>
                <w:color w:val="auto"/>
                <w:szCs w:val="21"/>
              </w:rPr>
              <w:t>325</w:t>
            </w:r>
            <w:bookmarkEnd w:id="2316"/>
            <w:bookmarkEnd w:id="2317"/>
            <w:bookmarkEnd w:id="2318"/>
          </w:p>
        </w:tc>
        <w:tc>
          <w:tcPr>
            <w:tcW w:w="1278" w:type="dxa"/>
            <w:tcBorders>
              <w:tl2br w:val="nil"/>
              <w:tr2bl w:val="nil"/>
            </w:tcBorders>
            <w:vAlign w:val="center"/>
          </w:tcPr>
          <w:p>
            <w:pPr>
              <w:jc w:val="center"/>
              <w:outlineLvl w:val="9"/>
              <w:rPr>
                <w:color w:val="auto"/>
                <w:szCs w:val="21"/>
              </w:rPr>
            </w:pPr>
            <w:bookmarkStart w:id="2319" w:name="_Toc730"/>
            <w:bookmarkStart w:id="2320" w:name="_Toc16446"/>
            <w:bookmarkStart w:id="2321" w:name="_Toc21809"/>
            <w:r>
              <w:rPr>
                <w:rFonts w:hint="eastAsia"/>
                <w:color w:val="auto"/>
              </w:rPr>
              <w:t>1.42E-02</w:t>
            </w:r>
            <w:bookmarkEnd w:id="2319"/>
            <w:bookmarkEnd w:id="2320"/>
            <w:bookmarkEnd w:id="2321"/>
          </w:p>
        </w:tc>
        <w:tc>
          <w:tcPr>
            <w:tcW w:w="1278" w:type="dxa"/>
            <w:tcBorders>
              <w:tl2br w:val="nil"/>
              <w:tr2bl w:val="nil"/>
            </w:tcBorders>
            <w:vAlign w:val="center"/>
          </w:tcPr>
          <w:p>
            <w:pPr>
              <w:jc w:val="center"/>
              <w:outlineLvl w:val="9"/>
              <w:rPr>
                <w:color w:val="auto"/>
                <w:szCs w:val="21"/>
              </w:rPr>
            </w:pPr>
            <w:bookmarkStart w:id="2322" w:name="_Toc1948"/>
            <w:bookmarkStart w:id="2323" w:name="_Toc9272"/>
            <w:bookmarkStart w:id="2324" w:name="_Toc16887"/>
            <w:r>
              <w:rPr>
                <w:rFonts w:hint="eastAsia"/>
                <w:color w:val="auto"/>
              </w:rPr>
              <w:t>0.00</w:t>
            </w:r>
            <w:bookmarkEnd w:id="2322"/>
            <w:bookmarkEnd w:id="2323"/>
            <w:bookmarkEnd w:id="2324"/>
          </w:p>
        </w:tc>
        <w:tc>
          <w:tcPr>
            <w:tcW w:w="1278" w:type="dxa"/>
            <w:tcBorders>
              <w:tl2br w:val="nil"/>
              <w:tr2bl w:val="nil"/>
            </w:tcBorders>
            <w:vAlign w:val="center"/>
          </w:tcPr>
          <w:p>
            <w:pPr>
              <w:jc w:val="center"/>
              <w:outlineLvl w:val="9"/>
              <w:rPr>
                <w:color w:val="auto"/>
              </w:rPr>
            </w:pPr>
            <w:bookmarkStart w:id="2325" w:name="_Toc25243"/>
            <w:bookmarkStart w:id="2326" w:name="_Toc25122"/>
            <w:bookmarkStart w:id="2327" w:name="_Toc11510"/>
            <w:r>
              <w:rPr>
                <w:rFonts w:hint="eastAsia"/>
                <w:color w:val="auto"/>
              </w:rPr>
              <w:t>1.27E-07</w:t>
            </w:r>
            <w:bookmarkEnd w:id="2325"/>
            <w:bookmarkEnd w:id="2326"/>
            <w:bookmarkEnd w:id="2327"/>
          </w:p>
        </w:tc>
        <w:tc>
          <w:tcPr>
            <w:tcW w:w="1279" w:type="dxa"/>
            <w:tcBorders>
              <w:tl2br w:val="nil"/>
              <w:tr2bl w:val="nil"/>
            </w:tcBorders>
            <w:vAlign w:val="center"/>
          </w:tcPr>
          <w:p>
            <w:pPr>
              <w:jc w:val="center"/>
              <w:outlineLvl w:val="9"/>
              <w:rPr>
                <w:color w:val="auto"/>
              </w:rPr>
            </w:pPr>
            <w:bookmarkStart w:id="2328" w:name="_Toc5738"/>
            <w:bookmarkStart w:id="2329" w:name="_Toc28940"/>
            <w:bookmarkStart w:id="2330" w:name="_Toc18437"/>
            <w:r>
              <w:rPr>
                <w:rFonts w:hint="eastAsia"/>
                <w:color w:val="auto"/>
              </w:rPr>
              <w:t>1.70</w:t>
            </w:r>
            <w:bookmarkEnd w:id="2328"/>
            <w:bookmarkEnd w:id="2329"/>
            <w:bookmarkEnd w:id="2330"/>
          </w:p>
        </w:tc>
        <w:tc>
          <w:tcPr>
            <w:tcW w:w="1278" w:type="dxa"/>
            <w:tcBorders>
              <w:tl2br w:val="nil"/>
              <w:tr2bl w:val="nil"/>
            </w:tcBorders>
            <w:vAlign w:val="center"/>
          </w:tcPr>
          <w:p>
            <w:pPr>
              <w:jc w:val="center"/>
              <w:outlineLvl w:val="9"/>
              <w:rPr>
                <w:color w:val="auto"/>
              </w:rPr>
            </w:pPr>
            <w:bookmarkStart w:id="2331" w:name="_Toc21168"/>
            <w:bookmarkStart w:id="2332" w:name="_Toc7738"/>
            <w:bookmarkStart w:id="2333" w:name="_Toc25669"/>
            <w:r>
              <w:rPr>
                <w:rFonts w:hint="eastAsia"/>
                <w:color w:val="auto"/>
              </w:rPr>
              <w:t>1.08E-03</w:t>
            </w:r>
            <w:bookmarkEnd w:id="2331"/>
            <w:bookmarkEnd w:id="2332"/>
            <w:bookmarkEnd w:id="2333"/>
          </w:p>
        </w:tc>
        <w:tc>
          <w:tcPr>
            <w:tcW w:w="1279" w:type="dxa"/>
            <w:tcBorders>
              <w:tl2br w:val="nil"/>
              <w:tr2bl w:val="nil"/>
            </w:tcBorders>
            <w:vAlign w:val="center"/>
          </w:tcPr>
          <w:p>
            <w:pPr>
              <w:jc w:val="center"/>
              <w:outlineLvl w:val="9"/>
              <w:rPr>
                <w:color w:val="auto"/>
              </w:rPr>
            </w:pPr>
            <w:bookmarkStart w:id="2334" w:name="_Toc26522"/>
            <w:bookmarkStart w:id="2335" w:name="_Toc23626"/>
            <w:bookmarkStart w:id="2336" w:name="_Toc20576"/>
            <w:r>
              <w:rPr>
                <w:rFonts w:hint="eastAsia"/>
                <w:color w:val="auto"/>
              </w:rPr>
              <w:t>0.54</w:t>
            </w:r>
            <w:bookmarkEnd w:id="2334"/>
            <w:bookmarkEnd w:id="2335"/>
            <w:bookmarkEnd w:id="233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337" w:name="_Toc14122"/>
            <w:bookmarkStart w:id="2338" w:name="_Toc28877"/>
            <w:bookmarkStart w:id="2339" w:name="_Toc30353"/>
            <w:r>
              <w:rPr>
                <w:color w:val="auto"/>
                <w:szCs w:val="21"/>
              </w:rPr>
              <w:t>350</w:t>
            </w:r>
            <w:bookmarkEnd w:id="2337"/>
            <w:bookmarkEnd w:id="2338"/>
            <w:bookmarkEnd w:id="2339"/>
          </w:p>
        </w:tc>
        <w:tc>
          <w:tcPr>
            <w:tcW w:w="1278" w:type="dxa"/>
            <w:tcBorders>
              <w:tl2br w:val="nil"/>
              <w:tr2bl w:val="nil"/>
            </w:tcBorders>
            <w:vAlign w:val="center"/>
          </w:tcPr>
          <w:p>
            <w:pPr>
              <w:jc w:val="center"/>
              <w:outlineLvl w:val="9"/>
              <w:rPr>
                <w:color w:val="auto"/>
                <w:szCs w:val="21"/>
              </w:rPr>
            </w:pPr>
            <w:bookmarkStart w:id="2340" w:name="_Toc2382"/>
            <w:bookmarkStart w:id="2341" w:name="_Toc26290"/>
            <w:bookmarkStart w:id="2342" w:name="_Toc20739"/>
            <w:r>
              <w:rPr>
                <w:rFonts w:hint="eastAsia"/>
                <w:color w:val="auto"/>
              </w:rPr>
              <w:t>1.28E-02</w:t>
            </w:r>
            <w:bookmarkEnd w:id="2340"/>
            <w:bookmarkEnd w:id="2341"/>
            <w:bookmarkEnd w:id="2342"/>
          </w:p>
        </w:tc>
        <w:tc>
          <w:tcPr>
            <w:tcW w:w="1278" w:type="dxa"/>
            <w:tcBorders>
              <w:tl2br w:val="nil"/>
              <w:tr2bl w:val="nil"/>
            </w:tcBorders>
            <w:vAlign w:val="center"/>
          </w:tcPr>
          <w:p>
            <w:pPr>
              <w:jc w:val="center"/>
              <w:outlineLvl w:val="9"/>
              <w:rPr>
                <w:color w:val="auto"/>
                <w:szCs w:val="21"/>
              </w:rPr>
            </w:pPr>
            <w:bookmarkStart w:id="2343" w:name="_Toc4559"/>
            <w:bookmarkStart w:id="2344" w:name="_Toc16303"/>
            <w:bookmarkStart w:id="2345" w:name="_Toc15572"/>
            <w:r>
              <w:rPr>
                <w:rFonts w:hint="eastAsia"/>
                <w:color w:val="auto"/>
              </w:rPr>
              <w:t>0.00</w:t>
            </w:r>
            <w:bookmarkEnd w:id="2343"/>
            <w:bookmarkEnd w:id="2344"/>
            <w:bookmarkEnd w:id="2345"/>
          </w:p>
        </w:tc>
        <w:tc>
          <w:tcPr>
            <w:tcW w:w="1278" w:type="dxa"/>
            <w:tcBorders>
              <w:tl2br w:val="nil"/>
              <w:tr2bl w:val="nil"/>
            </w:tcBorders>
            <w:vAlign w:val="center"/>
          </w:tcPr>
          <w:p>
            <w:pPr>
              <w:jc w:val="center"/>
              <w:outlineLvl w:val="9"/>
              <w:rPr>
                <w:color w:val="auto"/>
              </w:rPr>
            </w:pPr>
            <w:bookmarkStart w:id="2346" w:name="_Toc23730"/>
            <w:bookmarkStart w:id="2347" w:name="_Toc2128"/>
            <w:bookmarkStart w:id="2348" w:name="_Toc31088"/>
            <w:r>
              <w:rPr>
                <w:rFonts w:hint="eastAsia"/>
                <w:color w:val="auto"/>
              </w:rPr>
              <w:t>1.15E-07</w:t>
            </w:r>
            <w:bookmarkEnd w:id="2346"/>
            <w:bookmarkEnd w:id="2347"/>
            <w:bookmarkEnd w:id="2348"/>
          </w:p>
        </w:tc>
        <w:tc>
          <w:tcPr>
            <w:tcW w:w="1279" w:type="dxa"/>
            <w:tcBorders>
              <w:tl2br w:val="nil"/>
              <w:tr2bl w:val="nil"/>
            </w:tcBorders>
            <w:vAlign w:val="center"/>
          </w:tcPr>
          <w:p>
            <w:pPr>
              <w:jc w:val="center"/>
              <w:outlineLvl w:val="9"/>
              <w:rPr>
                <w:color w:val="auto"/>
              </w:rPr>
            </w:pPr>
            <w:bookmarkStart w:id="2349" w:name="_Toc26834"/>
            <w:bookmarkStart w:id="2350" w:name="_Toc13617"/>
            <w:bookmarkStart w:id="2351" w:name="_Toc25852"/>
            <w:r>
              <w:rPr>
                <w:rFonts w:hint="eastAsia"/>
                <w:color w:val="auto"/>
              </w:rPr>
              <w:t>1.53</w:t>
            </w:r>
            <w:bookmarkEnd w:id="2349"/>
            <w:bookmarkEnd w:id="2350"/>
            <w:bookmarkEnd w:id="2351"/>
          </w:p>
        </w:tc>
        <w:tc>
          <w:tcPr>
            <w:tcW w:w="1278" w:type="dxa"/>
            <w:tcBorders>
              <w:tl2br w:val="nil"/>
              <w:tr2bl w:val="nil"/>
            </w:tcBorders>
            <w:vAlign w:val="center"/>
          </w:tcPr>
          <w:p>
            <w:pPr>
              <w:jc w:val="center"/>
              <w:outlineLvl w:val="9"/>
              <w:rPr>
                <w:color w:val="auto"/>
              </w:rPr>
            </w:pPr>
            <w:bookmarkStart w:id="2352" w:name="_Toc6133"/>
            <w:bookmarkStart w:id="2353" w:name="_Toc24333"/>
            <w:bookmarkStart w:id="2354" w:name="_Toc26719"/>
            <w:r>
              <w:rPr>
                <w:rFonts w:hint="eastAsia"/>
                <w:color w:val="auto"/>
              </w:rPr>
              <w:t>9.76E-04</w:t>
            </w:r>
            <w:bookmarkEnd w:id="2352"/>
            <w:bookmarkEnd w:id="2353"/>
            <w:bookmarkEnd w:id="2354"/>
          </w:p>
        </w:tc>
        <w:tc>
          <w:tcPr>
            <w:tcW w:w="1279" w:type="dxa"/>
            <w:tcBorders>
              <w:tl2br w:val="nil"/>
              <w:tr2bl w:val="nil"/>
            </w:tcBorders>
            <w:vAlign w:val="center"/>
          </w:tcPr>
          <w:p>
            <w:pPr>
              <w:jc w:val="center"/>
              <w:outlineLvl w:val="9"/>
              <w:rPr>
                <w:color w:val="auto"/>
              </w:rPr>
            </w:pPr>
            <w:bookmarkStart w:id="2355" w:name="_Toc19868"/>
            <w:bookmarkStart w:id="2356" w:name="_Toc9154"/>
            <w:bookmarkStart w:id="2357" w:name="_Toc8265"/>
            <w:r>
              <w:rPr>
                <w:rFonts w:hint="eastAsia"/>
                <w:color w:val="auto"/>
              </w:rPr>
              <w:t>0.49</w:t>
            </w:r>
            <w:bookmarkEnd w:id="2355"/>
            <w:bookmarkEnd w:id="2356"/>
            <w:bookmarkEnd w:id="235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358" w:name="_Toc28479"/>
            <w:bookmarkStart w:id="2359" w:name="_Toc16767"/>
            <w:bookmarkStart w:id="2360" w:name="_Toc17187"/>
            <w:r>
              <w:rPr>
                <w:color w:val="auto"/>
                <w:szCs w:val="21"/>
              </w:rPr>
              <w:t>375</w:t>
            </w:r>
            <w:bookmarkEnd w:id="2358"/>
            <w:bookmarkEnd w:id="2359"/>
            <w:bookmarkEnd w:id="2360"/>
          </w:p>
        </w:tc>
        <w:tc>
          <w:tcPr>
            <w:tcW w:w="1278" w:type="dxa"/>
            <w:tcBorders>
              <w:tl2br w:val="nil"/>
              <w:tr2bl w:val="nil"/>
            </w:tcBorders>
            <w:vAlign w:val="center"/>
          </w:tcPr>
          <w:p>
            <w:pPr>
              <w:jc w:val="center"/>
              <w:outlineLvl w:val="9"/>
              <w:rPr>
                <w:color w:val="auto"/>
                <w:szCs w:val="21"/>
              </w:rPr>
            </w:pPr>
            <w:bookmarkStart w:id="2361" w:name="_Toc22662"/>
            <w:bookmarkStart w:id="2362" w:name="_Toc19591"/>
            <w:bookmarkStart w:id="2363" w:name="_Toc3857"/>
            <w:r>
              <w:rPr>
                <w:rFonts w:hint="eastAsia"/>
                <w:color w:val="auto"/>
              </w:rPr>
              <w:t>1.17E-02</w:t>
            </w:r>
            <w:bookmarkEnd w:id="2361"/>
            <w:bookmarkEnd w:id="2362"/>
            <w:bookmarkEnd w:id="2363"/>
          </w:p>
        </w:tc>
        <w:tc>
          <w:tcPr>
            <w:tcW w:w="1278" w:type="dxa"/>
            <w:tcBorders>
              <w:tl2br w:val="nil"/>
              <w:tr2bl w:val="nil"/>
            </w:tcBorders>
            <w:vAlign w:val="center"/>
          </w:tcPr>
          <w:p>
            <w:pPr>
              <w:jc w:val="center"/>
              <w:outlineLvl w:val="9"/>
              <w:rPr>
                <w:color w:val="auto"/>
                <w:szCs w:val="21"/>
              </w:rPr>
            </w:pPr>
            <w:bookmarkStart w:id="2364" w:name="_Toc31598"/>
            <w:bookmarkStart w:id="2365" w:name="_Toc18343"/>
            <w:bookmarkStart w:id="2366" w:name="_Toc17768"/>
            <w:r>
              <w:rPr>
                <w:rFonts w:hint="eastAsia"/>
                <w:color w:val="auto"/>
              </w:rPr>
              <w:t>0.00</w:t>
            </w:r>
            <w:bookmarkEnd w:id="2364"/>
            <w:bookmarkEnd w:id="2365"/>
            <w:bookmarkEnd w:id="2366"/>
          </w:p>
        </w:tc>
        <w:tc>
          <w:tcPr>
            <w:tcW w:w="1278" w:type="dxa"/>
            <w:tcBorders>
              <w:tl2br w:val="nil"/>
              <w:tr2bl w:val="nil"/>
            </w:tcBorders>
            <w:vAlign w:val="center"/>
          </w:tcPr>
          <w:p>
            <w:pPr>
              <w:jc w:val="center"/>
              <w:outlineLvl w:val="9"/>
              <w:rPr>
                <w:color w:val="auto"/>
              </w:rPr>
            </w:pPr>
            <w:bookmarkStart w:id="2367" w:name="_Toc15624"/>
            <w:bookmarkStart w:id="2368" w:name="_Toc26319"/>
            <w:bookmarkStart w:id="2369" w:name="_Toc2767"/>
            <w:r>
              <w:rPr>
                <w:rFonts w:hint="eastAsia"/>
                <w:color w:val="auto"/>
              </w:rPr>
              <w:t>1.05E-07</w:t>
            </w:r>
            <w:bookmarkEnd w:id="2367"/>
            <w:bookmarkEnd w:id="2368"/>
            <w:bookmarkEnd w:id="2369"/>
          </w:p>
        </w:tc>
        <w:tc>
          <w:tcPr>
            <w:tcW w:w="1279" w:type="dxa"/>
            <w:tcBorders>
              <w:tl2br w:val="nil"/>
              <w:tr2bl w:val="nil"/>
            </w:tcBorders>
            <w:vAlign w:val="center"/>
          </w:tcPr>
          <w:p>
            <w:pPr>
              <w:jc w:val="center"/>
              <w:outlineLvl w:val="9"/>
              <w:rPr>
                <w:color w:val="auto"/>
              </w:rPr>
            </w:pPr>
            <w:bookmarkStart w:id="2370" w:name="_Toc26667"/>
            <w:bookmarkStart w:id="2371" w:name="_Toc7390"/>
            <w:bookmarkStart w:id="2372" w:name="_Toc26007"/>
            <w:r>
              <w:rPr>
                <w:rFonts w:hint="eastAsia"/>
                <w:color w:val="auto"/>
              </w:rPr>
              <w:t>1.40</w:t>
            </w:r>
            <w:bookmarkEnd w:id="2370"/>
            <w:bookmarkEnd w:id="2371"/>
            <w:bookmarkEnd w:id="2372"/>
          </w:p>
        </w:tc>
        <w:tc>
          <w:tcPr>
            <w:tcW w:w="1278" w:type="dxa"/>
            <w:tcBorders>
              <w:tl2br w:val="nil"/>
              <w:tr2bl w:val="nil"/>
            </w:tcBorders>
            <w:vAlign w:val="center"/>
          </w:tcPr>
          <w:p>
            <w:pPr>
              <w:jc w:val="center"/>
              <w:outlineLvl w:val="9"/>
              <w:rPr>
                <w:color w:val="auto"/>
              </w:rPr>
            </w:pPr>
            <w:bookmarkStart w:id="2373" w:name="_Toc24456"/>
            <w:bookmarkStart w:id="2374" w:name="_Toc27800"/>
            <w:bookmarkStart w:id="2375" w:name="_Toc18751"/>
            <w:r>
              <w:rPr>
                <w:rFonts w:hint="eastAsia"/>
                <w:color w:val="auto"/>
              </w:rPr>
              <w:t>8.88E-04</w:t>
            </w:r>
            <w:bookmarkEnd w:id="2373"/>
            <w:bookmarkEnd w:id="2374"/>
            <w:bookmarkEnd w:id="2375"/>
          </w:p>
        </w:tc>
        <w:tc>
          <w:tcPr>
            <w:tcW w:w="1279" w:type="dxa"/>
            <w:tcBorders>
              <w:tl2br w:val="nil"/>
              <w:tr2bl w:val="nil"/>
            </w:tcBorders>
            <w:vAlign w:val="center"/>
          </w:tcPr>
          <w:p>
            <w:pPr>
              <w:jc w:val="center"/>
              <w:outlineLvl w:val="9"/>
              <w:rPr>
                <w:color w:val="auto"/>
              </w:rPr>
            </w:pPr>
            <w:bookmarkStart w:id="2376" w:name="_Toc9160"/>
            <w:bookmarkStart w:id="2377" w:name="_Toc15513"/>
            <w:bookmarkStart w:id="2378" w:name="_Toc9640"/>
            <w:r>
              <w:rPr>
                <w:rFonts w:hint="eastAsia"/>
                <w:color w:val="auto"/>
              </w:rPr>
              <w:t>0.44</w:t>
            </w:r>
            <w:bookmarkEnd w:id="2376"/>
            <w:bookmarkEnd w:id="2377"/>
            <w:bookmarkEnd w:id="237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379" w:name="_Toc12632"/>
            <w:bookmarkStart w:id="2380" w:name="_Toc23035"/>
            <w:bookmarkStart w:id="2381" w:name="_Toc5102"/>
            <w:r>
              <w:rPr>
                <w:color w:val="auto"/>
                <w:szCs w:val="21"/>
              </w:rPr>
              <w:t>400</w:t>
            </w:r>
            <w:bookmarkEnd w:id="2379"/>
            <w:bookmarkEnd w:id="2380"/>
            <w:bookmarkEnd w:id="2381"/>
          </w:p>
        </w:tc>
        <w:tc>
          <w:tcPr>
            <w:tcW w:w="1278" w:type="dxa"/>
            <w:tcBorders>
              <w:tl2br w:val="nil"/>
              <w:tr2bl w:val="nil"/>
            </w:tcBorders>
            <w:vAlign w:val="center"/>
          </w:tcPr>
          <w:p>
            <w:pPr>
              <w:jc w:val="center"/>
              <w:outlineLvl w:val="9"/>
              <w:rPr>
                <w:color w:val="auto"/>
                <w:szCs w:val="21"/>
              </w:rPr>
            </w:pPr>
            <w:bookmarkStart w:id="2382" w:name="_Toc3170"/>
            <w:bookmarkStart w:id="2383" w:name="_Toc8957"/>
            <w:bookmarkStart w:id="2384" w:name="_Toc1585"/>
            <w:r>
              <w:rPr>
                <w:rFonts w:hint="eastAsia"/>
                <w:color w:val="auto"/>
              </w:rPr>
              <w:t>1.07E-02</w:t>
            </w:r>
            <w:bookmarkEnd w:id="2382"/>
            <w:bookmarkEnd w:id="2383"/>
            <w:bookmarkEnd w:id="2384"/>
          </w:p>
        </w:tc>
        <w:tc>
          <w:tcPr>
            <w:tcW w:w="1278" w:type="dxa"/>
            <w:tcBorders>
              <w:tl2br w:val="nil"/>
              <w:tr2bl w:val="nil"/>
            </w:tcBorders>
            <w:vAlign w:val="center"/>
          </w:tcPr>
          <w:p>
            <w:pPr>
              <w:jc w:val="center"/>
              <w:outlineLvl w:val="9"/>
              <w:rPr>
                <w:color w:val="auto"/>
                <w:szCs w:val="21"/>
              </w:rPr>
            </w:pPr>
            <w:bookmarkStart w:id="2385" w:name="_Toc7128"/>
            <w:bookmarkStart w:id="2386" w:name="_Toc26588"/>
            <w:bookmarkStart w:id="2387" w:name="_Toc7777"/>
            <w:r>
              <w:rPr>
                <w:rFonts w:hint="eastAsia"/>
                <w:color w:val="auto"/>
              </w:rPr>
              <w:t>0.00</w:t>
            </w:r>
            <w:bookmarkEnd w:id="2385"/>
            <w:bookmarkEnd w:id="2386"/>
            <w:bookmarkEnd w:id="2387"/>
          </w:p>
        </w:tc>
        <w:tc>
          <w:tcPr>
            <w:tcW w:w="1278" w:type="dxa"/>
            <w:tcBorders>
              <w:tl2br w:val="nil"/>
              <w:tr2bl w:val="nil"/>
            </w:tcBorders>
            <w:vAlign w:val="center"/>
          </w:tcPr>
          <w:p>
            <w:pPr>
              <w:jc w:val="center"/>
              <w:outlineLvl w:val="9"/>
              <w:rPr>
                <w:color w:val="auto"/>
              </w:rPr>
            </w:pPr>
            <w:bookmarkStart w:id="2388" w:name="_Toc27265"/>
            <w:bookmarkStart w:id="2389" w:name="_Toc21057"/>
            <w:bookmarkStart w:id="2390" w:name="_Toc20862"/>
            <w:r>
              <w:rPr>
                <w:rFonts w:hint="eastAsia"/>
                <w:color w:val="auto"/>
              </w:rPr>
              <w:t>9.59E-08</w:t>
            </w:r>
            <w:bookmarkEnd w:id="2388"/>
            <w:bookmarkEnd w:id="2389"/>
            <w:bookmarkEnd w:id="2390"/>
          </w:p>
        </w:tc>
        <w:tc>
          <w:tcPr>
            <w:tcW w:w="1279" w:type="dxa"/>
            <w:tcBorders>
              <w:tl2br w:val="nil"/>
              <w:tr2bl w:val="nil"/>
            </w:tcBorders>
            <w:vAlign w:val="center"/>
          </w:tcPr>
          <w:p>
            <w:pPr>
              <w:jc w:val="center"/>
              <w:outlineLvl w:val="9"/>
              <w:rPr>
                <w:color w:val="auto"/>
              </w:rPr>
            </w:pPr>
            <w:bookmarkStart w:id="2391" w:name="_Toc4316"/>
            <w:bookmarkStart w:id="2392" w:name="_Toc25608"/>
            <w:bookmarkStart w:id="2393" w:name="_Toc16246"/>
            <w:r>
              <w:rPr>
                <w:rFonts w:hint="eastAsia"/>
                <w:color w:val="auto"/>
              </w:rPr>
              <w:t>1.28</w:t>
            </w:r>
            <w:bookmarkEnd w:id="2391"/>
            <w:bookmarkEnd w:id="2392"/>
            <w:bookmarkEnd w:id="2393"/>
          </w:p>
        </w:tc>
        <w:tc>
          <w:tcPr>
            <w:tcW w:w="1278" w:type="dxa"/>
            <w:tcBorders>
              <w:tl2br w:val="nil"/>
              <w:tr2bl w:val="nil"/>
            </w:tcBorders>
            <w:vAlign w:val="center"/>
          </w:tcPr>
          <w:p>
            <w:pPr>
              <w:jc w:val="center"/>
              <w:outlineLvl w:val="9"/>
              <w:rPr>
                <w:color w:val="auto"/>
              </w:rPr>
            </w:pPr>
            <w:bookmarkStart w:id="2394" w:name="_Toc25405"/>
            <w:bookmarkStart w:id="2395" w:name="_Toc18956"/>
            <w:bookmarkStart w:id="2396" w:name="_Toc5515"/>
            <w:r>
              <w:rPr>
                <w:rFonts w:hint="eastAsia"/>
                <w:color w:val="auto"/>
              </w:rPr>
              <w:t>8.14E-04</w:t>
            </w:r>
            <w:bookmarkEnd w:id="2394"/>
            <w:bookmarkEnd w:id="2395"/>
            <w:bookmarkEnd w:id="2396"/>
          </w:p>
        </w:tc>
        <w:tc>
          <w:tcPr>
            <w:tcW w:w="1279" w:type="dxa"/>
            <w:tcBorders>
              <w:tl2br w:val="nil"/>
              <w:tr2bl w:val="nil"/>
            </w:tcBorders>
            <w:vAlign w:val="center"/>
          </w:tcPr>
          <w:p>
            <w:pPr>
              <w:jc w:val="center"/>
              <w:outlineLvl w:val="9"/>
              <w:rPr>
                <w:color w:val="auto"/>
              </w:rPr>
            </w:pPr>
            <w:bookmarkStart w:id="2397" w:name="_Toc11673"/>
            <w:bookmarkStart w:id="2398" w:name="_Toc32587"/>
            <w:bookmarkStart w:id="2399" w:name="_Toc26223"/>
            <w:r>
              <w:rPr>
                <w:rFonts w:hint="eastAsia"/>
                <w:color w:val="auto"/>
              </w:rPr>
              <w:t>0.41</w:t>
            </w:r>
            <w:bookmarkEnd w:id="2397"/>
            <w:bookmarkEnd w:id="2398"/>
            <w:bookmarkEnd w:id="239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400" w:name="_Toc19254"/>
            <w:bookmarkStart w:id="2401" w:name="_Toc23075"/>
            <w:bookmarkStart w:id="2402" w:name="_Toc19908"/>
            <w:r>
              <w:rPr>
                <w:color w:val="auto"/>
                <w:szCs w:val="21"/>
              </w:rPr>
              <w:t>425</w:t>
            </w:r>
            <w:bookmarkEnd w:id="2400"/>
            <w:bookmarkEnd w:id="2401"/>
            <w:bookmarkEnd w:id="2402"/>
          </w:p>
        </w:tc>
        <w:tc>
          <w:tcPr>
            <w:tcW w:w="1278" w:type="dxa"/>
            <w:tcBorders>
              <w:tl2br w:val="nil"/>
              <w:tr2bl w:val="nil"/>
            </w:tcBorders>
            <w:vAlign w:val="center"/>
          </w:tcPr>
          <w:p>
            <w:pPr>
              <w:jc w:val="center"/>
              <w:outlineLvl w:val="9"/>
              <w:rPr>
                <w:color w:val="auto"/>
                <w:szCs w:val="21"/>
              </w:rPr>
            </w:pPr>
            <w:bookmarkStart w:id="2403" w:name="_Toc2180"/>
            <w:bookmarkStart w:id="2404" w:name="_Toc25347"/>
            <w:bookmarkStart w:id="2405" w:name="_Toc25910"/>
            <w:r>
              <w:rPr>
                <w:rFonts w:hint="eastAsia"/>
                <w:color w:val="auto"/>
              </w:rPr>
              <w:t>9.85E-03</w:t>
            </w:r>
            <w:bookmarkEnd w:id="2403"/>
            <w:bookmarkEnd w:id="2404"/>
            <w:bookmarkEnd w:id="2405"/>
          </w:p>
        </w:tc>
        <w:tc>
          <w:tcPr>
            <w:tcW w:w="1278" w:type="dxa"/>
            <w:tcBorders>
              <w:tl2br w:val="nil"/>
              <w:tr2bl w:val="nil"/>
            </w:tcBorders>
            <w:vAlign w:val="center"/>
          </w:tcPr>
          <w:p>
            <w:pPr>
              <w:jc w:val="center"/>
              <w:outlineLvl w:val="9"/>
              <w:rPr>
                <w:color w:val="auto"/>
                <w:szCs w:val="21"/>
              </w:rPr>
            </w:pPr>
            <w:bookmarkStart w:id="2406" w:name="_Toc5629"/>
            <w:bookmarkStart w:id="2407" w:name="_Toc11615"/>
            <w:bookmarkStart w:id="2408" w:name="_Toc27416"/>
            <w:r>
              <w:rPr>
                <w:rFonts w:hint="eastAsia"/>
                <w:color w:val="auto"/>
              </w:rPr>
              <w:t>0.00</w:t>
            </w:r>
            <w:bookmarkEnd w:id="2406"/>
            <w:bookmarkEnd w:id="2407"/>
            <w:bookmarkEnd w:id="2408"/>
          </w:p>
        </w:tc>
        <w:tc>
          <w:tcPr>
            <w:tcW w:w="1278" w:type="dxa"/>
            <w:tcBorders>
              <w:tl2br w:val="nil"/>
              <w:tr2bl w:val="nil"/>
            </w:tcBorders>
            <w:vAlign w:val="center"/>
          </w:tcPr>
          <w:p>
            <w:pPr>
              <w:jc w:val="center"/>
              <w:outlineLvl w:val="9"/>
              <w:rPr>
                <w:color w:val="auto"/>
              </w:rPr>
            </w:pPr>
            <w:bookmarkStart w:id="2409" w:name="_Toc11769"/>
            <w:bookmarkStart w:id="2410" w:name="_Toc15074"/>
            <w:bookmarkStart w:id="2411" w:name="_Toc16386"/>
            <w:r>
              <w:rPr>
                <w:rFonts w:hint="eastAsia"/>
                <w:color w:val="auto"/>
              </w:rPr>
              <w:t>8.83E-08</w:t>
            </w:r>
            <w:bookmarkEnd w:id="2409"/>
            <w:bookmarkEnd w:id="2410"/>
            <w:bookmarkEnd w:id="2411"/>
          </w:p>
        </w:tc>
        <w:tc>
          <w:tcPr>
            <w:tcW w:w="1279" w:type="dxa"/>
            <w:tcBorders>
              <w:tl2br w:val="nil"/>
              <w:tr2bl w:val="nil"/>
            </w:tcBorders>
            <w:vAlign w:val="center"/>
          </w:tcPr>
          <w:p>
            <w:pPr>
              <w:jc w:val="center"/>
              <w:outlineLvl w:val="9"/>
              <w:rPr>
                <w:color w:val="auto"/>
              </w:rPr>
            </w:pPr>
            <w:bookmarkStart w:id="2412" w:name="_Toc25313"/>
            <w:bookmarkStart w:id="2413" w:name="_Toc3663"/>
            <w:bookmarkStart w:id="2414" w:name="_Toc26581"/>
            <w:r>
              <w:rPr>
                <w:rFonts w:hint="eastAsia"/>
                <w:color w:val="auto"/>
              </w:rPr>
              <w:t>1.18</w:t>
            </w:r>
            <w:bookmarkEnd w:id="2412"/>
            <w:bookmarkEnd w:id="2413"/>
            <w:bookmarkEnd w:id="2414"/>
          </w:p>
        </w:tc>
        <w:tc>
          <w:tcPr>
            <w:tcW w:w="1278" w:type="dxa"/>
            <w:tcBorders>
              <w:tl2br w:val="nil"/>
              <w:tr2bl w:val="nil"/>
            </w:tcBorders>
            <w:vAlign w:val="center"/>
          </w:tcPr>
          <w:p>
            <w:pPr>
              <w:jc w:val="center"/>
              <w:outlineLvl w:val="9"/>
              <w:rPr>
                <w:color w:val="auto"/>
              </w:rPr>
            </w:pPr>
            <w:bookmarkStart w:id="2415" w:name="_Toc848"/>
            <w:bookmarkStart w:id="2416" w:name="_Toc11751"/>
            <w:bookmarkStart w:id="2417" w:name="_Toc27393"/>
            <w:r>
              <w:rPr>
                <w:rFonts w:hint="eastAsia"/>
                <w:color w:val="auto"/>
              </w:rPr>
              <w:t>7.49E-04</w:t>
            </w:r>
            <w:bookmarkEnd w:id="2415"/>
            <w:bookmarkEnd w:id="2416"/>
            <w:bookmarkEnd w:id="2417"/>
          </w:p>
        </w:tc>
        <w:tc>
          <w:tcPr>
            <w:tcW w:w="1279" w:type="dxa"/>
            <w:tcBorders>
              <w:tl2br w:val="nil"/>
              <w:tr2bl w:val="nil"/>
            </w:tcBorders>
            <w:vAlign w:val="center"/>
          </w:tcPr>
          <w:p>
            <w:pPr>
              <w:jc w:val="center"/>
              <w:outlineLvl w:val="9"/>
              <w:rPr>
                <w:color w:val="auto"/>
              </w:rPr>
            </w:pPr>
            <w:bookmarkStart w:id="2418" w:name="_Toc27892"/>
            <w:bookmarkStart w:id="2419" w:name="_Toc16314"/>
            <w:bookmarkStart w:id="2420" w:name="_Toc21892"/>
            <w:r>
              <w:rPr>
                <w:rFonts w:hint="eastAsia"/>
                <w:color w:val="auto"/>
              </w:rPr>
              <w:t>0.37</w:t>
            </w:r>
            <w:bookmarkEnd w:id="2418"/>
            <w:bookmarkEnd w:id="2419"/>
            <w:bookmarkEnd w:id="242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421" w:name="_Toc30211"/>
            <w:bookmarkStart w:id="2422" w:name="_Toc6628"/>
            <w:bookmarkStart w:id="2423" w:name="_Toc29168"/>
            <w:r>
              <w:rPr>
                <w:color w:val="auto"/>
                <w:szCs w:val="21"/>
              </w:rPr>
              <w:t>450</w:t>
            </w:r>
            <w:bookmarkEnd w:id="2421"/>
            <w:bookmarkEnd w:id="2422"/>
            <w:bookmarkEnd w:id="2423"/>
          </w:p>
        </w:tc>
        <w:tc>
          <w:tcPr>
            <w:tcW w:w="1278" w:type="dxa"/>
            <w:tcBorders>
              <w:tl2br w:val="nil"/>
              <w:tr2bl w:val="nil"/>
            </w:tcBorders>
            <w:vAlign w:val="center"/>
          </w:tcPr>
          <w:p>
            <w:pPr>
              <w:jc w:val="center"/>
              <w:outlineLvl w:val="9"/>
              <w:rPr>
                <w:color w:val="auto"/>
                <w:szCs w:val="21"/>
              </w:rPr>
            </w:pPr>
            <w:bookmarkStart w:id="2424" w:name="_Toc26903"/>
            <w:bookmarkStart w:id="2425" w:name="_Toc24842"/>
            <w:bookmarkStart w:id="2426" w:name="_Toc8987"/>
            <w:r>
              <w:rPr>
                <w:rFonts w:hint="eastAsia"/>
                <w:color w:val="auto"/>
              </w:rPr>
              <w:t>9.10E-03</w:t>
            </w:r>
            <w:bookmarkEnd w:id="2424"/>
            <w:bookmarkEnd w:id="2425"/>
            <w:bookmarkEnd w:id="2426"/>
          </w:p>
        </w:tc>
        <w:tc>
          <w:tcPr>
            <w:tcW w:w="1278" w:type="dxa"/>
            <w:tcBorders>
              <w:tl2br w:val="nil"/>
              <w:tr2bl w:val="nil"/>
            </w:tcBorders>
            <w:vAlign w:val="center"/>
          </w:tcPr>
          <w:p>
            <w:pPr>
              <w:jc w:val="center"/>
              <w:outlineLvl w:val="9"/>
              <w:rPr>
                <w:color w:val="auto"/>
                <w:szCs w:val="21"/>
              </w:rPr>
            </w:pPr>
            <w:bookmarkStart w:id="2427" w:name="_Toc1159"/>
            <w:bookmarkStart w:id="2428" w:name="_Toc15606"/>
            <w:bookmarkStart w:id="2429" w:name="_Toc28007"/>
            <w:r>
              <w:rPr>
                <w:rFonts w:hint="eastAsia"/>
                <w:color w:val="auto"/>
              </w:rPr>
              <w:t>0.00</w:t>
            </w:r>
            <w:bookmarkEnd w:id="2427"/>
            <w:bookmarkEnd w:id="2428"/>
            <w:bookmarkEnd w:id="2429"/>
          </w:p>
        </w:tc>
        <w:tc>
          <w:tcPr>
            <w:tcW w:w="1278" w:type="dxa"/>
            <w:tcBorders>
              <w:tl2br w:val="nil"/>
              <w:tr2bl w:val="nil"/>
            </w:tcBorders>
            <w:vAlign w:val="center"/>
          </w:tcPr>
          <w:p>
            <w:pPr>
              <w:jc w:val="center"/>
              <w:outlineLvl w:val="9"/>
              <w:rPr>
                <w:color w:val="auto"/>
              </w:rPr>
            </w:pPr>
            <w:bookmarkStart w:id="2430" w:name="_Toc13792"/>
            <w:bookmarkStart w:id="2431" w:name="_Toc5514"/>
            <w:bookmarkStart w:id="2432" w:name="_Toc2694"/>
            <w:r>
              <w:rPr>
                <w:rFonts w:hint="eastAsia"/>
                <w:color w:val="auto"/>
              </w:rPr>
              <w:t>8.16E-08</w:t>
            </w:r>
            <w:bookmarkEnd w:id="2430"/>
            <w:bookmarkEnd w:id="2431"/>
            <w:bookmarkEnd w:id="2432"/>
          </w:p>
        </w:tc>
        <w:tc>
          <w:tcPr>
            <w:tcW w:w="1279" w:type="dxa"/>
            <w:tcBorders>
              <w:tl2br w:val="nil"/>
              <w:tr2bl w:val="nil"/>
            </w:tcBorders>
            <w:vAlign w:val="center"/>
          </w:tcPr>
          <w:p>
            <w:pPr>
              <w:jc w:val="center"/>
              <w:outlineLvl w:val="9"/>
              <w:rPr>
                <w:color w:val="auto"/>
              </w:rPr>
            </w:pPr>
            <w:bookmarkStart w:id="2433" w:name="_Toc26298"/>
            <w:bookmarkStart w:id="2434" w:name="_Toc12745"/>
            <w:bookmarkStart w:id="2435" w:name="_Toc23946"/>
            <w:r>
              <w:rPr>
                <w:rFonts w:hint="eastAsia"/>
                <w:color w:val="auto"/>
              </w:rPr>
              <w:t>1.09</w:t>
            </w:r>
            <w:bookmarkEnd w:id="2433"/>
            <w:bookmarkEnd w:id="2434"/>
            <w:bookmarkEnd w:id="2435"/>
          </w:p>
        </w:tc>
        <w:tc>
          <w:tcPr>
            <w:tcW w:w="1278" w:type="dxa"/>
            <w:tcBorders>
              <w:tl2br w:val="nil"/>
              <w:tr2bl w:val="nil"/>
            </w:tcBorders>
            <w:vAlign w:val="center"/>
          </w:tcPr>
          <w:p>
            <w:pPr>
              <w:jc w:val="center"/>
              <w:outlineLvl w:val="9"/>
              <w:rPr>
                <w:color w:val="auto"/>
              </w:rPr>
            </w:pPr>
            <w:bookmarkStart w:id="2436" w:name="_Toc21077"/>
            <w:bookmarkStart w:id="2437" w:name="_Toc32104"/>
            <w:bookmarkStart w:id="2438" w:name="_Toc14929"/>
            <w:r>
              <w:rPr>
                <w:rFonts w:hint="eastAsia"/>
                <w:color w:val="auto"/>
              </w:rPr>
              <w:t>6.93E-04</w:t>
            </w:r>
            <w:bookmarkEnd w:id="2436"/>
            <w:bookmarkEnd w:id="2437"/>
            <w:bookmarkEnd w:id="2438"/>
          </w:p>
        </w:tc>
        <w:tc>
          <w:tcPr>
            <w:tcW w:w="1279" w:type="dxa"/>
            <w:tcBorders>
              <w:tl2br w:val="nil"/>
              <w:tr2bl w:val="nil"/>
            </w:tcBorders>
            <w:vAlign w:val="center"/>
          </w:tcPr>
          <w:p>
            <w:pPr>
              <w:jc w:val="center"/>
              <w:outlineLvl w:val="9"/>
              <w:rPr>
                <w:color w:val="auto"/>
              </w:rPr>
            </w:pPr>
            <w:bookmarkStart w:id="2439" w:name="_Toc1955"/>
            <w:bookmarkStart w:id="2440" w:name="_Toc15943"/>
            <w:bookmarkStart w:id="2441" w:name="_Toc20205"/>
            <w:r>
              <w:rPr>
                <w:rFonts w:hint="eastAsia"/>
                <w:color w:val="auto"/>
              </w:rPr>
              <w:t>0.35</w:t>
            </w:r>
            <w:bookmarkEnd w:id="2439"/>
            <w:bookmarkEnd w:id="2440"/>
            <w:bookmarkEnd w:id="244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442" w:name="_Toc31143"/>
            <w:bookmarkStart w:id="2443" w:name="_Toc9701"/>
            <w:bookmarkStart w:id="2444" w:name="_Toc21786"/>
            <w:r>
              <w:rPr>
                <w:color w:val="auto"/>
                <w:szCs w:val="21"/>
              </w:rPr>
              <w:t>475</w:t>
            </w:r>
            <w:bookmarkEnd w:id="2442"/>
            <w:bookmarkEnd w:id="2443"/>
            <w:bookmarkEnd w:id="2444"/>
          </w:p>
        </w:tc>
        <w:tc>
          <w:tcPr>
            <w:tcW w:w="1278" w:type="dxa"/>
            <w:tcBorders>
              <w:tl2br w:val="nil"/>
              <w:tr2bl w:val="nil"/>
            </w:tcBorders>
            <w:vAlign w:val="center"/>
          </w:tcPr>
          <w:p>
            <w:pPr>
              <w:jc w:val="center"/>
              <w:outlineLvl w:val="9"/>
              <w:rPr>
                <w:color w:val="auto"/>
                <w:szCs w:val="21"/>
              </w:rPr>
            </w:pPr>
            <w:bookmarkStart w:id="2445" w:name="_Toc27455"/>
            <w:bookmarkStart w:id="2446" w:name="_Toc26480"/>
            <w:bookmarkStart w:id="2447" w:name="_Toc17490"/>
            <w:r>
              <w:rPr>
                <w:rFonts w:hint="eastAsia"/>
                <w:color w:val="auto"/>
              </w:rPr>
              <w:t>8.46E-03</w:t>
            </w:r>
            <w:bookmarkEnd w:id="2445"/>
            <w:bookmarkEnd w:id="2446"/>
            <w:bookmarkEnd w:id="2447"/>
          </w:p>
        </w:tc>
        <w:tc>
          <w:tcPr>
            <w:tcW w:w="1278" w:type="dxa"/>
            <w:tcBorders>
              <w:tl2br w:val="nil"/>
              <w:tr2bl w:val="nil"/>
            </w:tcBorders>
            <w:vAlign w:val="center"/>
          </w:tcPr>
          <w:p>
            <w:pPr>
              <w:jc w:val="center"/>
              <w:outlineLvl w:val="9"/>
              <w:rPr>
                <w:color w:val="auto"/>
                <w:szCs w:val="21"/>
              </w:rPr>
            </w:pPr>
            <w:bookmarkStart w:id="2448" w:name="_Toc11579"/>
            <w:bookmarkStart w:id="2449" w:name="_Toc6435"/>
            <w:bookmarkStart w:id="2450" w:name="_Toc7492"/>
            <w:r>
              <w:rPr>
                <w:rFonts w:hint="eastAsia"/>
                <w:color w:val="auto"/>
              </w:rPr>
              <w:t>0.00</w:t>
            </w:r>
            <w:bookmarkEnd w:id="2448"/>
            <w:bookmarkEnd w:id="2449"/>
            <w:bookmarkEnd w:id="2450"/>
          </w:p>
        </w:tc>
        <w:tc>
          <w:tcPr>
            <w:tcW w:w="1278" w:type="dxa"/>
            <w:tcBorders>
              <w:tl2br w:val="nil"/>
              <w:tr2bl w:val="nil"/>
            </w:tcBorders>
            <w:vAlign w:val="center"/>
          </w:tcPr>
          <w:p>
            <w:pPr>
              <w:jc w:val="center"/>
              <w:outlineLvl w:val="9"/>
              <w:rPr>
                <w:color w:val="auto"/>
              </w:rPr>
            </w:pPr>
            <w:bookmarkStart w:id="2451" w:name="_Toc15027"/>
            <w:bookmarkStart w:id="2452" w:name="_Toc23397"/>
            <w:bookmarkStart w:id="2453" w:name="_Toc8555"/>
            <w:r>
              <w:rPr>
                <w:rFonts w:hint="eastAsia"/>
                <w:color w:val="auto"/>
              </w:rPr>
              <w:t>7.59E-08</w:t>
            </w:r>
            <w:bookmarkEnd w:id="2451"/>
            <w:bookmarkEnd w:id="2452"/>
            <w:bookmarkEnd w:id="2453"/>
          </w:p>
        </w:tc>
        <w:tc>
          <w:tcPr>
            <w:tcW w:w="1279" w:type="dxa"/>
            <w:tcBorders>
              <w:tl2br w:val="nil"/>
              <w:tr2bl w:val="nil"/>
            </w:tcBorders>
            <w:vAlign w:val="center"/>
          </w:tcPr>
          <w:p>
            <w:pPr>
              <w:jc w:val="center"/>
              <w:outlineLvl w:val="9"/>
              <w:rPr>
                <w:color w:val="auto"/>
              </w:rPr>
            </w:pPr>
            <w:bookmarkStart w:id="2454" w:name="_Toc31358"/>
            <w:bookmarkStart w:id="2455" w:name="_Toc13802"/>
            <w:bookmarkStart w:id="2456" w:name="_Toc8126"/>
            <w:r>
              <w:rPr>
                <w:rFonts w:hint="eastAsia"/>
                <w:color w:val="auto"/>
              </w:rPr>
              <w:t>1.01</w:t>
            </w:r>
            <w:bookmarkEnd w:id="2454"/>
            <w:bookmarkEnd w:id="2455"/>
            <w:bookmarkEnd w:id="2456"/>
          </w:p>
        </w:tc>
        <w:tc>
          <w:tcPr>
            <w:tcW w:w="1278" w:type="dxa"/>
            <w:tcBorders>
              <w:tl2br w:val="nil"/>
              <w:tr2bl w:val="nil"/>
            </w:tcBorders>
            <w:vAlign w:val="center"/>
          </w:tcPr>
          <w:p>
            <w:pPr>
              <w:jc w:val="center"/>
              <w:outlineLvl w:val="9"/>
              <w:rPr>
                <w:color w:val="auto"/>
              </w:rPr>
            </w:pPr>
            <w:bookmarkStart w:id="2457" w:name="_Toc22592"/>
            <w:bookmarkStart w:id="2458" w:name="_Toc31584"/>
            <w:bookmarkStart w:id="2459" w:name="_Toc28952"/>
            <w:r>
              <w:rPr>
                <w:rFonts w:hint="eastAsia"/>
                <w:color w:val="auto"/>
              </w:rPr>
              <w:t>6.44E-04</w:t>
            </w:r>
            <w:bookmarkEnd w:id="2457"/>
            <w:bookmarkEnd w:id="2458"/>
            <w:bookmarkEnd w:id="2459"/>
          </w:p>
        </w:tc>
        <w:tc>
          <w:tcPr>
            <w:tcW w:w="1279" w:type="dxa"/>
            <w:tcBorders>
              <w:tl2br w:val="nil"/>
              <w:tr2bl w:val="nil"/>
            </w:tcBorders>
            <w:vAlign w:val="center"/>
          </w:tcPr>
          <w:p>
            <w:pPr>
              <w:jc w:val="center"/>
              <w:outlineLvl w:val="9"/>
              <w:rPr>
                <w:color w:val="auto"/>
              </w:rPr>
            </w:pPr>
            <w:bookmarkStart w:id="2460" w:name="_Toc24155"/>
            <w:bookmarkStart w:id="2461" w:name="_Toc30910"/>
            <w:bookmarkStart w:id="2462" w:name="_Toc8835"/>
            <w:r>
              <w:rPr>
                <w:rFonts w:hint="eastAsia"/>
                <w:color w:val="auto"/>
              </w:rPr>
              <w:t>0.32</w:t>
            </w:r>
            <w:bookmarkEnd w:id="2460"/>
            <w:bookmarkEnd w:id="2461"/>
            <w:bookmarkEnd w:id="246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8" w:type="dxa"/>
            <w:tcBorders>
              <w:tl2br w:val="nil"/>
              <w:tr2bl w:val="nil"/>
            </w:tcBorders>
            <w:vAlign w:val="center"/>
          </w:tcPr>
          <w:p>
            <w:pPr>
              <w:jc w:val="center"/>
              <w:outlineLvl w:val="9"/>
              <w:rPr>
                <w:color w:val="auto"/>
                <w:szCs w:val="21"/>
              </w:rPr>
            </w:pPr>
            <w:bookmarkStart w:id="2463" w:name="_Toc25500"/>
            <w:bookmarkStart w:id="2464" w:name="_Toc9906"/>
            <w:bookmarkStart w:id="2465" w:name="_Toc26934"/>
            <w:r>
              <w:rPr>
                <w:color w:val="auto"/>
                <w:szCs w:val="21"/>
              </w:rPr>
              <w:t>500</w:t>
            </w:r>
            <w:bookmarkEnd w:id="2463"/>
            <w:bookmarkEnd w:id="2464"/>
            <w:bookmarkEnd w:id="2465"/>
          </w:p>
        </w:tc>
        <w:tc>
          <w:tcPr>
            <w:tcW w:w="1278" w:type="dxa"/>
            <w:tcBorders>
              <w:tl2br w:val="nil"/>
              <w:tr2bl w:val="nil"/>
            </w:tcBorders>
            <w:vAlign w:val="center"/>
          </w:tcPr>
          <w:p>
            <w:pPr>
              <w:jc w:val="center"/>
              <w:outlineLvl w:val="9"/>
              <w:rPr>
                <w:color w:val="auto"/>
                <w:szCs w:val="21"/>
              </w:rPr>
            </w:pPr>
            <w:bookmarkStart w:id="2466" w:name="_Toc11819"/>
            <w:bookmarkStart w:id="2467" w:name="_Toc21320"/>
            <w:bookmarkStart w:id="2468" w:name="_Toc10409"/>
            <w:r>
              <w:rPr>
                <w:rFonts w:hint="eastAsia"/>
                <w:color w:val="auto"/>
              </w:rPr>
              <w:t>7.89E-03</w:t>
            </w:r>
            <w:bookmarkEnd w:id="2466"/>
            <w:bookmarkEnd w:id="2467"/>
            <w:bookmarkEnd w:id="2468"/>
          </w:p>
        </w:tc>
        <w:tc>
          <w:tcPr>
            <w:tcW w:w="1278" w:type="dxa"/>
            <w:tcBorders>
              <w:tl2br w:val="nil"/>
              <w:tr2bl w:val="nil"/>
            </w:tcBorders>
            <w:vAlign w:val="center"/>
          </w:tcPr>
          <w:p>
            <w:pPr>
              <w:jc w:val="center"/>
              <w:outlineLvl w:val="9"/>
              <w:rPr>
                <w:color w:val="auto"/>
                <w:szCs w:val="21"/>
              </w:rPr>
            </w:pPr>
            <w:bookmarkStart w:id="2469" w:name="_Toc29067"/>
            <w:bookmarkStart w:id="2470" w:name="_Toc25520"/>
            <w:bookmarkStart w:id="2471" w:name="_Toc28778"/>
            <w:r>
              <w:rPr>
                <w:rFonts w:hint="eastAsia"/>
                <w:color w:val="auto"/>
              </w:rPr>
              <w:t>0.00</w:t>
            </w:r>
            <w:bookmarkEnd w:id="2469"/>
            <w:bookmarkEnd w:id="2470"/>
            <w:bookmarkEnd w:id="2471"/>
          </w:p>
        </w:tc>
        <w:tc>
          <w:tcPr>
            <w:tcW w:w="1278" w:type="dxa"/>
            <w:tcBorders>
              <w:tl2br w:val="nil"/>
              <w:tr2bl w:val="nil"/>
            </w:tcBorders>
            <w:vAlign w:val="center"/>
          </w:tcPr>
          <w:p>
            <w:pPr>
              <w:jc w:val="center"/>
              <w:outlineLvl w:val="9"/>
              <w:rPr>
                <w:color w:val="auto"/>
              </w:rPr>
            </w:pPr>
            <w:bookmarkStart w:id="2472" w:name="_Toc2164"/>
            <w:bookmarkStart w:id="2473" w:name="_Toc21830"/>
            <w:bookmarkStart w:id="2474" w:name="_Toc679"/>
            <w:r>
              <w:rPr>
                <w:rFonts w:hint="eastAsia"/>
                <w:color w:val="auto"/>
              </w:rPr>
              <w:t>7.08E-08</w:t>
            </w:r>
            <w:bookmarkEnd w:id="2472"/>
            <w:bookmarkEnd w:id="2473"/>
            <w:bookmarkEnd w:id="2474"/>
          </w:p>
        </w:tc>
        <w:tc>
          <w:tcPr>
            <w:tcW w:w="1279" w:type="dxa"/>
            <w:tcBorders>
              <w:tl2br w:val="nil"/>
              <w:tr2bl w:val="nil"/>
            </w:tcBorders>
            <w:vAlign w:val="center"/>
          </w:tcPr>
          <w:p>
            <w:pPr>
              <w:jc w:val="center"/>
              <w:outlineLvl w:val="9"/>
              <w:rPr>
                <w:color w:val="auto"/>
              </w:rPr>
            </w:pPr>
            <w:bookmarkStart w:id="2475" w:name="_Toc17179"/>
            <w:bookmarkStart w:id="2476" w:name="_Toc16653"/>
            <w:bookmarkStart w:id="2477" w:name="_Toc524"/>
            <w:r>
              <w:rPr>
                <w:rFonts w:hint="eastAsia"/>
                <w:color w:val="auto"/>
              </w:rPr>
              <w:t>0.94</w:t>
            </w:r>
            <w:bookmarkEnd w:id="2475"/>
            <w:bookmarkEnd w:id="2476"/>
            <w:bookmarkEnd w:id="2477"/>
          </w:p>
        </w:tc>
        <w:tc>
          <w:tcPr>
            <w:tcW w:w="1278" w:type="dxa"/>
            <w:tcBorders>
              <w:tl2br w:val="nil"/>
              <w:tr2bl w:val="nil"/>
            </w:tcBorders>
            <w:vAlign w:val="center"/>
          </w:tcPr>
          <w:p>
            <w:pPr>
              <w:jc w:val="center"/>
              <w:outlineLvl w:val="9"/>
              <w:rPr>
                <w:color w:val="auto"/>
              </w:rPr>
            </w:pPr>
            <w:bookmarkStart w:id="2478" w:name="_Toc20904"/>
            <w:bookmarkStart w:id="2479" w:name="_Toc28883"/>
            <w:bookmarkStart w:id="2480" w:name="_Toc30204"/>
            <w:r>
              <w:rPr>
                <w:rFonts w:hint="eastAsia"/>
                <w:color w:val="auto"/>
              </w:rPr>
              <w:t>6.01E-04</w:t>
            </w:r>
            <w:bookmarkEnd w:id="2478"/>
            <w:bookmarkEnd w:id="2479"/>
            <w:bookmarkEnd w:id="2480"/>
          </w:p>
        </w:tc>
        <w:tc>
          <w:tcPr>
            <w:tcW w:w="1279" w:type="dxa"/>
            <w:tcBorders>
              <w:tl2br w:val="nil"/>
              <w:tr2bl w:val="nil"/>
            </w:tcBorders>
            <w:vAlign w:val="center"/>
          </w:tcPr>
          <w:p>
            <w:pPr>
              <w:jc w:val="center"/>
              <w:outlineLvl w:val="9"/>
              <w:rPr>
                <w:color w:val="auto"/>
              </w:rPr>
            </w:pPr>
            <w:bookmarkStart w:id="2481" w:name="_Toc25847"/>
            <w:bookmarkStart w:id="2482" w:name="_Toc23732"/>
            <w:bookmarkStart w:id="2483" w:name="_Toc9058"/>
            <w:r>
              <w:rPr>
                <w:rFonts w:hint="eastAsia"/>
                <w:color w:val="auto"/>
              </w:rPr>
              <w:t>0.30</w:t>
            </w:r>
            <w:bookmarkEnd w:id="2481"/>
            <w:bookmarkEnd w:id="2482"/>
            <w:bookmarkEnd w:id="2483"/>
          </w:p>
        </w:tc>
      </w:tr>
    </w:tbl>
    <w:p>
      <w:pPr>
        <w:spacing w:line="360" w:lineRule="auto"/>
        <w:ind w:firstLine="480" w:firstLineChars="200"/>
        <w:outlineLvl w:val="9"/>
        <w:rPr>
          <w:bCs/>
          <w:color w:val="auto"/>
          <w:sz w:val="24"/>
        </w:rPr>
      </w:pPr>
      <w:r>
        <w:rPr>
          <w:bCs/>
          <w:color w:val="auto"/>
          <w:sz w:val="24"/>
        </w:rPr>
        <w:t>由上表可知，正常工况下，项目排气筒G1有组织排放的污染物最大落地浓度出现在距离排气筒</w:t>
      </w:r>
      <w:r>
        <w:rPr>
          <w:rFonts w:hint="eastAsia"/>
          <w:bCs/>
          <w:color w:val="auto"/>
          <w:sz w:val="24"/>
        </w:rPr>
        <w:t>225</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1.08E-03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.00</w:t>
      </w:r>
      <w:r>
        <w:rPr>
          <w:bCs/>
          <w:color w:val="auto"/>
          <w:sz w:val="24"/>
        </w:rPr>
        <w:t>%</w:t>
      </w:r>
      <w:r>
        <w:rPr>
          <w:rFonts w:hint="eastAsia"/>
          <w:bCs/>
          <w:color w:val="auto"/>
          <w:sz w:val="24"/>
        </w:rPr>
        <w:t>，苯并[a]芘</w:t>
      </w:r>
      <w:r>
        <w:rPr>
          <w:bCs/>
          <w:color w:val="auto"/>
          <w:sz w:val="24"/>
        </w:rPr>
        <w:t>下风向最大落地浓度为</w:t>
      </w:r>
      <w:r>
        <w:rPr>
          <w:rFonts w:hint="eastAsia"/>
          <w:color w:val="auto"/>
          <w:sz w:val="24"/>
        </w:rPr>
        <w:t>1.82E-07</w:t>
      </w:r>
      <w:r>
        <w:rPr>
          <w:bCs/>
          <w:color w:val="auto"/>
          <w:sz w:val="24"/>
        </w:rPr>
        <w:t>mg/m</w:t>
      </w:r>
      <w:r>
        <w:rPr>
          <w:bCs/>
          <w:color w:val="auto"/>
          <w:sz w:val="24"/>
          <w:vertAlign w:val="superscript"/>
        </w:rPr>
        <w:t>3</w:t>
      </w:r>
      <w:r>
        <w:rPr>
          <w:bCs/>
          <w:color w:val="auto"/>
          <w:sz w:val="24"/>
        </w:rPr>
        <w:t>，占标率为</w:t>
      </w:r>
      <w:r>
        <w:rPr>
          <w:rFonts w:hint="eastAsia"/>
          <w:bCs/>
          <w:color w:val="auto"/>
          <w:sz w:val="24"/>
        </w:rPr>
        <w:t>2.42</w:t>
      </w:r>
      <w:r>
        <w:rPr>
          <w:bCs/>
          <w:color w:val="auto"/>
          <w:sz w:val="24"/>
        </w:rPr>
        <w:t>%</w:t>
      </w:r>
      <w:r>
        <w:rPr>
          <w:rFonts w:hint="eastAsia"/>
          <w:bCs/>
          <w:color w:val="auto"/>
          <w:sz w:val="24"/>
        </w:rPr>
        <w:t>，</w:t>
      </w:r>
      <w:r>
        <w:rPr>
          <w:bCs/>
          <w:color w:val="auto"/>
          <w:sz w:val="24"/>
        </w:rPr>
        <w:t>非甲烷总烃下风向最大落地浓度为</w:t>
      </w:r>
      <w:r>
        <w:rPr>
          <w:rFonts w:hint="eastAsia"/>
          <w:bCs/>
          <w:color w:val="auto"/>
          <w:sz w:val="24"/>
        </w:rPr>
        <w:t>1.03</w:t>
      </w:r>
      <w:r>
        <w:rPr>
          <w:rFonts w:hint="eastAsia"/>
          <w:color w:val="auto"/>
          <w:sz w:val="24"/>
        </w:rPr>
        <w:t>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51</w:t>
      </w:r>
      <w:r>
        <w:rPr>
          <w:bCs/>
          <w:color w:val="auto"/>
          <w:sz w:val="24"/>
        </w:rPr>
        <w:t>%。项目排气筒G</w:t>
      </w:r>
      <w:r>
        <w:rPr>
          <w:rFonts w:hint="eastAsia"/>
          <w:bCs/>
          <w:color w:val="auto"/>
          <w:sz w:val="24"/>
        </w:rPr>
        <w:t>2</w:t>
      </w:r>
      <w:r>
        <w:rPr>
          <w:bCs/>
          <w:color w:val="auto"/>
          <w:sz w:val="24"/>
        </w:rPr>
        <w:t>有组织排放的污染物最大落地浓度出现在距离排气筒</w:t>
      </w:r>
      <w:r>
        <w:rPr>
          <w:rFonts w:hint="eastAsia"/>
          <w:bCs/>
          <w:color w:val="auto"/>
          <w:sz w:val="24"/>
        </w:rPr>
        <w:t>92</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7.83E-03</w:t>
      </w:r>
      <w:r>
        <w:rPr>
          <w:bCs/>
          <w:color w:val="auto"/>
          <w:sz w:val="24"/>
        </w:rPr>
        <w:t>mg/m</w:t>
      </w:r>
      <w:r>
        <w:rPr>
          <w:bCs/>
          <w:color w:val="auto"/>
          <w:sz w:val="24"/>
          <w:vertAlign w:val="superscript"/>
        </w:rPr>
        <w:t>3</w:t>
      </w:r>
      <w:r>
        <w:rPr>
          <w:bCs/>
          <w:color w:val="auto"/>
          <w:sz w:val="24"/>
        </w:rPr>
        <w:t>，占标率为0</w:t>
      </w:r>
      <w:r>
        <w:rPr>
          <w:rFonts w:hint="eastAsia"/>
          <w:bCs/>
          <w:color w:val="auto"/>
          <w:sz w:val="24"/>
        </w:rPr>
        <w:t>.00</w:t>
      </w:r>
      <w:r>
        <w:rPr>
          <w:bCs/>
          <w:color w:val="auto"/>
          <w:sz w:val="24"/>
        </w:rPr>
        <w:t>%</w:t>
      </w:r>
      <w:r>
        <w:rPr>
          <w:rFonts w:hint="eastAsia"/>
          <w:bCs/>
          <w:color w:val="auto"/>
          <w:sz w:val="24"/>
        </w:rPr>
        <w:t>。车间无组织排放的污染物</w:t>
      </w:r>
      <w:r>
        <w:rPr>
          <w:bCs/>
          <w:color w:val="auto"/>
          <w:sz w:val="24"/>
        </w:rPr>
        <w:t>最大落地浓度出现在距离</w:t>
      </w:r>
      <w:r>
        <w:rPr>
          <w:rFonts w:hint="eastAsia"/>
          <w:bCs/>
          <w:color w:val="auto"/>
          <w:sz w:val="24"/>
        </w:rPr>
        <w:t>车间95</w:t>
      </w:r>
      <w:r>
        <w:rPr>
          <w:bCs/>
          <w:color w:val="auto"/>
          <w:sz w:val="24"/>
        </w:rPr>
        <w:t>m处，</w:t>
      </w:r>
      <w:r>
        <w:rPr>
          <w:rFonts w:hint="eastAsia"/>
          <w:bCs/>
          <w:color w:val="auto"/>
          <w:sz w:val="24"/>
        </w:rPr>
        <w:t>颗粒物</w:t>
      </w:r>
      <w:r>
        <w:rPr>
          <w:bCs/>
          <w:color w:val="auto"/>
          <w:sz w:val="24"/>
        </w:rPr>
        <w:t>下风向最大落地浓度为</w:t>
      </w:r>
      <w:r>
        <w:rPr>
          <w:rFonts w:hint="eastAsia"/>
          <w:color w:val="auto"/>
          <w:sz w:val="24"/>
        </w:rPr>
        <w:t>7.55</w:t>
      </w:r>
      <w:r>
        <w:rPr>
          <w:color w:val="auto"/>
          <w:sz w:val="24"/>
        </w:rPr>
        <w:t>E-0</w:t>
      </w:r>
      <w:r>
        <w:rPr>
          <w:rFonts w:hint="eastAsia"/>
          <w:color w:val="auto"/>
          <w:sz w:val="24"/>
        </w:rPr>
        <w:t>2</w:t>
      </w:r>
      <w:r>
        <w:rPr>
          <w:bCs/>
          <w:color w:val="auto"/>
          <w:sz w:val="24"/>
        </w:rPr>
        <w:t>mg/m</w:t>
      </w:r>
      <w:r>
        <w:rPr>
          <w:bCs/>
          <w:color w:val="auto"/>
          <w:sz w:val="24"/>
          <w:vertAlign w:val="superscript"/>
        </w:rPr>
        <w:t>3</w:t>
      </w:r>
      <w:r>
        <w:rPr>
          <w:bCs/>
          <w:color w:val="auto"/>
          <w:sz w:val="24"/>
        </w:rPr>
        <w:t>，占标率为0.01%，苯并[a]芘下风向最大落地浓度为</w:t>
      </w:r>
      <w:r>
        <w:rPr>
          <w:color w:val="auto"/>
          <w:sz w:val="24"/>
        </w:rPr>
        <w:t>6.</w:t>
      </w:r>
      <w:r>
        <w:rPr>
          <w:rFonts w:hint="eastAsia"/>
          <w:color w:val="auto"/>
          <w:sz w:val="24"/>
        </w:rPr>
        <w:t>77</w:t>
      </w:r>
      <w:r>
        <w:rPr>
          <w:color w:val="auto"/>
          <w:sz w:val="24"/>
        </w:rPr>
        <w:t>E-07</w:t>
      </w:r>
      <w:r>
        <w:rPr>
          <w:bCs/>
          <w:color w:val="auto"/>
          <w:sz w:val="24"/>
        </w:rPr>
        <w:t>mg/m</w:t>
      </w:r>
      <w:r>
        <w:rPr>
          <w:bCs/>
          <w:color w:val="auto"/>
          <w:sz w:val="24"/>
          <w:vertAlign w:val="superscript"/>
        </w:rPr>
        <w:t>3</w:t>
      </w:r>
      <w:r>
        <w:rPr>
          <w:bCs/>
          <w:color w:val="auto"/>
          <w:sz w:val="24"/>
        </w:rPr>
        <w:t>，占标率为9.</w:t>
      </w:r>
      <w:r>
        <w:rPr>
          <w:rFonts w:hint="eastAsia"/>
          <w:bCs/>
          <w:color w:val="auto"/>
          <w:sz w:val="24"/>
        </w:rPr>
        <w:t>0</w:t>
      </w:r>
      <w:r>
        <w:rPr>
          <w:bCs/>
          <w:color w:val="auto"/>
          <w:sz w:val="24"/>
        </w:rPr>
        <w:t>3%，非甲烷总烃下风向最大落地浓度为</w:t>
      </w:r>
      <w:r>
        <w:rPr>
          <w:rFonts w:hint="eastAsia"/>
          <w:color w:val="auto"/>
          <w:sz w:val="24"/>
        </w:rPr>
        <w:t>5.75</w:t>
      </w:r>
      <w:r>
        <w:rPr>
          <w:color w:val="auto"/>
          <w:sz w:val="24"/>
        </w:rPr>
        <w:t>E-03</w:t>
      </w:r>
      <w:r>
        <w:rPr>
          <w:bCs/>
          <w:color w:val="auto"/>
          <w:sz w:val="24"/>
        </w:rPr>
        <w:t>mg/m</w:t>
      </w:r>
      <w:r>
        <w:rPr>
          <w:bCs/>
          <w:color w:val="auto"/>
          <w:sz w:val="24"/>
          <w:vertAlign w:val="superscript"/>
        </w:rPr>
        <w:t>3</w:t>
      </w:r>
      <w:r>
        <w:rPr>
          <w:bCs/>
          <w:color w:val="auto"/>
          <w:sz w:val="24"/>
        </w:rPr>
        <w:t>，占标率为</w:t>
      </w:r>
      <w:r>
        <w:rPr>
          <w:rFonts w:hint="eastAsia"/>
          <w:bCs/>
          <w:color w:val="auto"/>
          <w:sz w:val="24"/>
        </w:rPr>
        <w:t>2.87</w:t>
      </w:r>
      <w:r>
        <w:rPr>
          <w:bCs/>
          <w:color w:val="auto"/>
          <w:sz w:val="24"/>
        </w:rPr>
        <w:t>%。</w:t>
      </w:r>
    </w:p>
    <w:p>
      <w:pPr>
        <w:spacing w:line="360" w:lineRule="auto"/>
        <w:ind w:firstLine="480" w:firstLineChars="200"/>
        <w:outlineLvl w:val="9"/>
        <w:rPr>
          <w:bCs/>
          <w:color w:val="auto"/>
          <w:sz w:val="24"/>
        </w:rPr>
      </w:pPr>
      <w:r>
        <w:rPr>
          <w:bCs/>
          <w:color w:val="auto"/>
          <w:sz w:val="24"/>
        </w:rPr>
        <w:t>非正常工况下，项目排气筒G1有组织排放的污染物最大落地浓度出现在距离排气筒</w:t>
      </w:r>
      <w:r>
        <w:rPr>
          <w:rFonts w:hint="eastAsia"/>
          <w:bCs/>
          <w:color w:val="auto"/>
          <w:sz w:val="24"/>
        </w:rPr>
        <w:t>89</w:t>
      </w:r>
      <w:r>
        <w:rPr>
          <w:bCs/>
          <w:color w:val="auto"/>
          <w:sz w:val="24"/>
        </w:rPr>
        <w:t>m处，颗粒物下风向最大落地浓度为</w:t>
      </w:r>
      <w:r>
        <w:rPr>
          <w:rFonts w:hint="eastAsia"/>
          <w:color w:val="auto"/>
          <w:sz w:val="24"/>
        </w:rPr>
        <w:t>8.17E-02</w:t>
      </w:r>
      <w:r>
        <w:rPr>
          <w:bCs/>
          <w:color w:val="auto"/>
          <w:sz w:val="24"/>
        </w:rPr>
        <w:t>mg/m</w:t>
      </w:r>
      <w:r>
        <w:rPr>
          <w:bCs/>
          <w:color w:val="auto"/>
          <w:sz w:val="24"/>
          <w:vertAlign w:val="superscript"/>
        </w:rPr>
        <w:t>3</w:t>
      </w:r>
      <w:r>
        <w:rPr>
          <w:bCs/>
          <w:color w:val="auto"/>
          <w:sz w:val="24"/>
        </w:rPr>
        <w:t>，占标率为0.0</w:t>
      </w:r>
      <w:r>
        <w:rPr>
          <w:rFonts w:hint="eastAsia"/>
          <w:bCs/>
          <w:color w:val="auto"/>
          <w:sz w:val="24"/>
        </w:rPr>
        <w:t>1</w:t>
      </w:r>
      <w:r>
        <w:rPr>
          <w:bCs/>
          <w:color w:val="auto"/>
          <w:sz w:val="24"/>
        </w:rPr>
        <w:t>%，苯并[a]芘下风向最大落地浓度为</w:t>
      </w:r>
      <w:r>
        <w:rPr>
          <w:rFonts w:hint="eastAsia"/>
          <w:color w:val="auto"/>
          <w:sz w:val="24"/>
        </w:rPr>
        <w:t>6.84E-06</w:t>
      </w:r>
      <w:r>
        <w:rPr>
          <w:bCs/>
          <w:color w:val="auto"/>
          <w:sz w:val="24"/>
        </w:rPr>
        <w:t>mg/m</w:t>
      </w:r>
      <w:r>
        <w:rPr>
          <w:bCs/>
          <w:color w:val="auto"/>
          <w:sz w:val="24"/>
          <w:vertAlign w:val="superscript"/>
        </w:rPr>
        <w:t>3</w:t>
      </w:r>
      <w:r>
        <w:rPr>
          <w:bCs/>
          <w:color w:val="auto"/>
          <w:sz w:val="24"/>
        </w:rPr>
        <w:t>，占标率为</w:t>
      </w:r>
      <w:r>
        <w:rPr>
          <w:rFonts w:hint="eastAsia"/>
          <w:color w:val="auto"/>
          <w:sz w:val="24"/>
        </w:rPr>
        <w:t>91.27</w:t>
      </w:r>
      <w:r>
        <w:rPr>
          <w:bCs/>
          <w:color w:val="auto"/>
          <w:sz w:val="24"/>
        </w:rPr>
        <w:t>%，非甲烷总烃下风向最大落地浓度为</w:t>
      </w:r>
      <w:r>
        <w:rPr>
          <w:rFonts w:hint="eastAsia"/>
          <w:color w:val="auto"/>
          <w:sz w:val="24"/>
        </w:rPr>
        <w:t>3.84E-02</w:t>
      </w:r>
      <w:r>
        <w:rPr>
          <w:bCs/>
          <w:color w:val="auto"/>
          <w:sz w:val="24"/>
        </w:rPr>
        <w:t>mg/m</w:t>
      </w:r>
      <w:r>
        <w:rPr>
          <w:bCs/>
          <w:color w:val="auto"/>
          <w:sz w:val="24"/>
          <w:vertAlign w:val="superscript"/>
        </w:rPr>
        <w:t>3</w:t>
      </w:r>
      <w:r>
        <w:rPr>
          <w:bCs/>
          <w:color w:val="auto"/>
          <w:sz w:val="24"/>
        </w:rPr>
        <w:t>，占标率为</w:t>
      </w:r>
      <w:r>
        <w:rPr>
          <w:rFonts w:hint="eastAsia"/>
          <w:color w:val="auto"/>
          <w:sz w:val="24"/>
        </w:rPr>
        <w:t>19.21</w:t>
      </w:r>
      <w:r>
        <w:rPr>
          <w:bCs/>
          <w:color w:val="auto"/>
          <w:sz w:val="24"/>
        </w:rPr>
        <w:t>%。项目排气筒G2有组织排放的污染物最大落地浓度出现在距离排气筒</w:t>
      </w:r>
      <w:r>
        <w:rPr>
          <w:rFonts w:hint="eastAsia"/>
          <w:bCs/>
          <w:color w:val="auto"/>
          <w:sz w:val="24"/>
        </w:rPr>
        <w:t>67</w:t>
      </w:r>
      <w:r>
        <w:rPr>
          <w:bCs/>
          <w:color w:val="auto"/>
          <w:sz w:val="24"/>
        </w:rPr>
        <w:t>m处，颗粒物下风向最大落地浓度为</w:t>
      </w:r>
      <w:r>
        <w:rPr>
          <w:rFonts w:hint="eastAsia"/>
          <w:color w:val="auto"/>
          <w:sz w:val="24"/>
        </w:rPr>
        <w:t>2.76E-01</w:t>
      </w:r>
      <w:r>
        <w:rPr>
          <w:bCs/>
          <w:color w:val="auto"/>
          <w:sz w:val="24"/>
        </w:rPr>
        <w:t>mg/m</w:t>
      </w:r>
      <w:r>
        <w:rPr>
          <w:bCs/>
          <w:color w:val="auto"/>
          <w:sz w:val="24"/>
          <w:vertAlign w:val="superscript"/>
        </w:rPr>
        <w:t>3</w:t>
      </w:r>
      <w:r>
        <w:rPr>
          <w:bCs/>
          <w:color w:val="auto"/>
          <w:sz w:val="24"/>
        </w:rPr>
        <w:t>，占标率为0.0</w:t>
      </w:r>
      <w:r>
        <w:rPr>
          <w:rFonts w:hint="eastAsia"/>
          <w:bCs/>
          <w:color w:val="auto"/>
          <w:sz w:val="24"/>
        </w:rPr>
        <w:t>3</w:t>
      </w:r>
      <w:r>
        <w:rPr>
          <w:bCs/>
          <w:color w:val="auto"/>
          <w:sz w:val="24"/>
        </w:rPr>
        <w:t>%。</w:t>
      </w:r>
    </w:p>
    <w:p>
      <w:pPr>
        <w:spacing w:line="360" w:lineRule="auto"/>
        <w:ind w:firstLine="480" w:firstLineChars="200"/>
        <w:outlineLvl w:val="9"/>
        <w:rPr>
          <w:bCs/>
          <w:color w:val="auto"/>
          <w:sz w:val="24"/>
        </w:rPr>
      </w:pPr>
      <w:r>
        <w:rPr>
          <w:bCs/>
          <w:color w:val="auto"/>
          <w:sz w:val="24"/>
        </w:rPr>
        <w:t>综上可得，无论在正常工况下，本项目外排的</w:t>
      </w:r>
      <w:r>
        <w:rPr>
          <w:rFonts w:hint="eastAsia"/>
          <w:bCs/>
          <w:color w:val="auto"/>
          <w:sz w:val="24"/>
        </w:rPr>
        <w:t>非甲烷总烃</w:t>
      </w:r>
      <w:r>
        <w:rPr>
          <w:bCs/>
          <w:color w:val="auto"/>
          <w:sz w:val="24"/>
        </w:rPr>
        <w:t>下风向最大落地浓度</w:t>
      </w:r>
      <w:r>
        <w:rPr>
          <w:rFonts w:hint="eastAsia"/>
          <w:bCs/>
          <w:color w:val="auto"/>
          <w:sz w:val="24"/>
        </w:rPr>
        <w:t>远</w:t>
      </w:r>
      <w:r>
        <w:rPr>
          <w:bCs/>
          <w:color w:val="auto"/>
          <w:sz w:val="24"/>
        </w:rPr>
        <w:t>小于《</w:t>
      </w:r>
      <w:r>
        <w:rPr>
          <w:rFonts w:hint="eastAsia"/>
          <w:bCs/>
          <w:color w:val="auto"/>
          <w:sz w:val="24"/>
        </w:rPr>
        <w:t>环境空气质量 非甲烷总烃限值</w:t>
      </w:r>
      <w:r>
        <w:rPr>
          <w:bCs/>
          <w:color w:val="auto"/>
          <w:sz w:val="24"/>
        </w:rPr>
        <w:t>》中选用的标准值，</w:t>
      </w:r>
      <w:r>
        <w:rPr>
          <w:rFonts w:hint="eastAsia"/>
          <w:bCs/>
          <w:color w:val="auto"/>
          <w:sz w:val="24"/>
        </w:rPr>
        <w:t>外排的颗粒物和</w:t>
      </w:r>
      <w:r>
        <w:rPr>
          <w:bCs/>
          <w:color w:val="auto"/>
          <w:sz w:val="24"/>
        </w:rPr>
        <w:t>苯并[a]芘下风向最大落地浓度均小于</w:t>
      </w:r>
      <w:r>
        <w:rPr>
          <w:rFonts w:hint="eastAsia"/>
          <w:bCs/>
          <w:color w:val="auto"/>
          <w:sz w:val="24"/>
        </w:rPr>
        <w:t>《环境空气质量标准》（HJ2.2-2018）及其修改单中相应标准值对应的小时平均值，且占标率低于10%，</w:t>
      </w:r>
      <w:r>
        <w:rPr>
          <w:bCs/>
          <w:color w:val="auto"/>
          <w:sz w:val="24"/>
        </w:rPr>
        <w:t>对周围大气环境与环境敏感点的影响较小。但在</w:t>
      </w:r>
      <w:r>
        <w:rPr>
          <w:rFonts w:hint="eastAsia"/>
          <w:bCs/>
          <w:color w:val="auto"/>
          <w:sz w:val="24"/>
        </w:rPr>
        <w:t>非</w:t>
      </w:r>
      <w:r>
        <w:rPr>
          <w:bCs/>
          <w:color w:val="auto"/>
          <w:sz w:val="24"/>
        </w:rPr>
        <w:t>正常工况下，外排的苯并[a]芘下风向最大落地浓度</w:t>
      </w:r>
      <w:r>
        <w:rPr>
          <w:rFonts w:hint="eastAsia"/>
          <w:bCs/>
          <w:color w:val="auto"/>
          <w:sz w:val="24"/>
        </w:rPr>
        <w:t>虽然</w:t>
      </w:r>
      <w:r>
        <w:rPr>
          <w:bCs/>
          <w:color w:val="auto"/>
          <w:sz w:val="24"/>
        </w:rPr>
        <w:t>小于</w:t>
      </w:r>
      <w:r>
        <w:rPr>
          <w:rFonts w:hint="eastAsia"/>
          <w:bCs/>
          <w:color w:val="auto"/>
          <w:sz w:val="24"/>
        </w:rPr>
        <w:t>《环境空气质量标准》（HJ2.2-2018）及其修改单中标准值对应的小时平均值，但占标率较大于10%，</w:t>
      </w:r>
      <w:r>
        <w:rPr>
          <w:bCs/>
          <w:color w:val="auto"/>
          <w:sz w:val="24"/>
        </w:rPr>
        <w:t>对周围大气环境</w:t>
      </w:r>
      <w:r>
        <w:rPr>
          <w:rFonts w:hint="eastAsia"/>
          <w:bCs/>
          <w:color w:val="auto"/>
          <w:sz w:val="24"/>
        </w:rPr>
        <w:t>有一定的影响</w:t>
      </w:r>
      <w:r>
        <w:rPr>
          <w:bCs/>
          <w:color w:val="auto"/>
          <w:sz w:val="24"/>
        </w:rPr>
        <w:t>。为保护大气环境，控制废气排放量，建设单位应立即停止项目的运行，直至环保设备运行良好才能重新启动项目。同时在日常运营期间应加强环保管理工作，杜绝事故排放，以减少大气污染物的排放。</w:t>
      </w:r>
    </w:p>
    <w:p>
      <w:pPr>
        <w:pStyle w:val="44"/>
        <w:numPr>
          <w:ilvl w:val="2"/>
          <w:numId w:val="0"/>
        </w:numPr>
        <w:tabs>
          <w:tab w:val="clear" w:pos="720"/>
        </w:tabs>
        <w:spacing w:before="159" w:after="159" w:line="360" w:lineRule="auto"/>
        <w:rPr>
          <w:color w:val="auto"/>
          <w:sz w:val="28"/>
          <w:szCs w:val="28"/>
        </w:rPr>
      </w:pPr>
      <w:bookmarkStart w:id="2484" w:name="_Toc18193"/>
      <w:bookmarkStart w:id="2485" w:name="_Toc27105"/>
      <w:r>
        <w:rPr>
          <w:rFonts w:hint="eastAsia"/>
          <w:color w:val="auto"/>
          <w:sz w:val="28"/>
          <w:szCs w:val="28"/>
        </w:rPr>
        <w:t>6</w:t>
      </w:r>
      <w:r>
        <w:rPr>
          <w:color w:val="auto"/>
          <w:sz w:val="28"/>
          <w:szCs w:val="28"/>
        </w:rPr>
        <w:t>.4.4</w:t>
      </w:r>
      <w:r>
        <w:rPr>
          <w:rFonts w:hint="eastAsia"/>
          <w:color w:val="auto"/>
          <w:sz w:val="28"/>
          <w:szCs w:val="28"/>
        </w:rPr>
        <w:t xml:space="preserve">  </w:t>
      </w:r>
      <w:r>
        <w:rPr>
          <w:color w:val="auto"/>
          <w:sz w:val="28"/>
          <w:szCs w:val="28"/>
        </w:rPr>
        <w:t>排放量核算</w:t>
      </w:r>
      <w:bookmarkEnd w:id="2484"/>
      <w:bookmarkEnd w:id="2485"/>
    </w:p>
    <w:p>
      <w:pPr>
        <w:spacing w:line="360" w:lineRule="auto"/>
        <w:ind w:firstLine="480" w:firstLineChars="200"/>
        <w:rPr>
          <w:color w:val="auto"/>
          <w:sz w:val="24"/>
        </w:rPr>
      </w:pPr>
      <w:r>
        <w:rPr>
          <w:color w:val="auto"/>
          <w:sz w:val="24"/>
        </w:rPr>
        <w:t>本项目大气环境评价等级为二级，根据《环境影响评价技术导则 大气环境》（HJ 2.2－2018），二级评价项目不进行进一步预测与评价，只对污染物排放量进行核算具体如下。</w:t>
      </w:r>
    </w:p>
    <w:p>
      <w:pPr>
        <w:ind w:left="420" w:leftChars="200"/>
        <w:rPr>
          <w:color w:val="auto"/>
          <w:sz w:val="24"/>
        </w:rPr>
      </w:pPr>
      <w:r>
        <w:rPr>
          <w:color w:val="auto"/>
          <w:sz w:val="24"/>
        </w:rPr>
        <w:drawing>
          <wp:inline distT="0" distB="0" distL="114300" distR="114300">
            <wp:extent cx="4352925" cy="295275"/>
            <wp:effectExtent l="0" t="0" r="0" b="7620"/>
            <wp:docPr id="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
                    <pic:cNvPicPr>
                      <a:picLocks noChangeAspect="1"/>
                    </pic:cNvPicPr>
                  </pic:nvPicPr>
                  <pic:blipFill>
                    <a:blip r:embed="rId91"/>
                    <a:stretch>
                      <a:fillRect/>
                    </a:stretch>
                  </pic:blipFill>
                  <pic:spPr>
                    <a:xfrm>
                      <a:off x="0" y="0"/>
                      <a:ext cx="4352925" cy="295275"/>
                    </a:xfrm>
                    <a:prstGeom prst="rect">
                      <a:avLst/>
                    </a:prstGeom>
                    <a:noFill/>
                    <a:ln w="9525">
                      <a:noFill/>
                    </a:ln>
                  </pic:spPr>
                </pic:pic>
              </a:graphicData>
            </a:graphic>
          </wp:inline>
        </w:drawing>
      </w:r>
    </w:p>
    <w:p>
      <w:pPr>
        <w:ind w:left="420" w:leftChars="200"/>
        <w:rPr>
          <w:color w:val="auto"/>
          <w:sz w:val="24"/>
        </w:rPr>
      </w:pPr>
      <w:r>
        <w:rPr>
          <w:color w:val="auto"/>
          <w:sz w:val="24"/>
        </w:rPr>
        <w:drawing>
          <wp:inline distT="0" distB="0" distL="114300" distR="114300">
            <wp:extent cx="3257550" cy="238125"/>
            <wp:effectExtent l="0" t="0" r="0" b="8890"/>
            <wp:docPr id="1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4"/>
                    <pic:cNvPicPr>
                      <a:picLocks noChangeAspect="1"/>
                    </pic:cNvPicPr>
                  </pic:nvPicPr>
                  <pic:blipFill>
                    <a:blip r:embed="rId92"/>
                    <a:stretch>
                      <a:fillRect/>
                    </a:stretch>
                  </pic:blipFill>
                  <pic:spPr>
                    <a:xfrm>
                      <a:off x="0" y="0"/>
                      <a:ext cx="3257550" cy="238125"/>
                    </a:xfrm>
                    <a:prstGeom prst="rect">
                      <a:avLst/>
                    </a:prstGeom>
                    <a:noFill/>
                    <a:ln w="9525">
                      <a:noFill/>
                    </a:ln>
                  </pic:spPr>
                </pic:pic>
              </a:graphicData>
            </a:graphic>
          </wp:inline>
        </w:drawing>
      </w:r>
    </w:p>
    <w:p>
      <w:pPr>
        <w:ind w:left="420" w:leftChars="200"/>
        <w:jc w:val="left"/>
        <w:rPr>
          <w:color w:val="auto"/>
          <w:sz w:val="24"/>
        </w:rPr>
      </w:pPr>
      <w:r>
        <w:rPr>
          <w:color w:val="auto"/>
          <w:sz w:val="24"/>
        </w:rPr>
        <w:drawing>
          <wp:inline distT="0" distB="0" distL="114300" distR="114300">
            <wp:extent cx="3762375" cy="238125"/>
            <wp:effectExtent l="0" t="0" r="9525" b="8890"/>
            <wp:docPr id="1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5"/>
                    <pic:cNvPicPr>
                      <a:picLocks noChangeAspect="1"/>
                    </pic:cNvPicPr>
                  </pic:nvPicPr>
                  <pic:blipFill>
                    <a:blip r:embed="rId93"/>
                    <a:stretch>
                      <a:fillRect/>
                    </a:stretch>
                  </pic:blipFill>
                  <pic:spPr>
                    <a:xfrm>
                      <a:off x="0" y="0"/>
                      <a:ext cx="3762375" cy="238125"/>
                    </a:xfrm>
                    <a:prstGeom prst="rect">
                      <a:avLst/>
                    </a:prstGeom>
                    <a:noFill/>
                    <a:ln w="9525">
                      <a:noFill/>
                    </a:ln>
                  </pic:spPr>
                </pic:pic>
              </a:graphicData>
            </a:graphic>
          </wp:inline>
        </w:drawing>
      </w:r>
      <w:r>
        <w:rPr>
          <w:color w:val="auto"/>
          <w:sz w:val="24"/>
        </w:rPr>
        <w:drawing>
          <wp:inline distT="0" distB="0" distL="114300" distR="114300">
            <wp:extent cx="3324225" cy="238125"/>
            <wp:effectExtent l="0" t="0" r="9525" b="8890"/>
            <wp:docPr id="1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6"/>
                    <pic:cNvPicPr>
                      <a:picLocks noChangeAspect="1"/>
                    </pic:cNvPicPr>
                  </pic:nvPicPr>
                  <pic:blipFill>
                    <a:blip r:embed="rId94"/>
                    <a:stretch>
                      <a:fillRect/>
                    </a:stretch>
                  </pic:blipFill>
                  <pic:spPr>
                    <a:xfrm>
                      <a:off x="0" y="0"/>
                      <a:ext cx="3324225" cy="238125"/>
                    </a:xfrm>
                    <a:prstGeom prst="rect">
                      <a:avLst/>
                    </a:prstGeom>
                    <a:noFill/>
                    <a:ln w="9525">
                      <a:noFill/>
                    </a:ln>
                  </pic:spPr>
                </pic:pic>
              </a:graphicData>
            </a:graphic>
          </wp:inline>
        </w:drawing>
      </w:r>
    </w:p>
    <w:p>
      <w:pPr>
        <w:ind w:left="420" w:leftChars="200"/>
        <w:jc w:val="left"/>
        <w:rPr>
          <w:color w:val="auto"/>
          <w:sz w:val="24"/>
        </w:rPr>
      </w:pPr>
    </w:p>
    <w:p>
      <w:pPr>
        <w:ind w:left="420" w:leftChars="200"/>
        <w:jc w:val="left"/>
        <w:rPr>
          <w:color w:val="auto"/>
          <w:sz w:val="24"/>
        </w:rPr>
      </w:pPr>
      <w:r>
        <w:rPr>
          <w:color w:val="auto"/>
          <w:sz w:val="24"/>
        </w:rPr>
        <w:t>1、有组织排放量核算</w:t>
      </w:r>
    </w:p>
    <w:p>
      <w:pPr>
        <w:tabs>
          <w:tab w:val="left" w:pos="1081"/>
        </w:tabs>
        <w:adjustRightInd w:val="0"/>
        <w:spacing w:line="360" w:lineRule="auto"/>
        <w:jc w:val="center"/>
        <w:rPr>
          <w:b/>
          <w:color w:val="auto"/>
          <w:spacing w:val="-1"/>
          <w:kern w:val="30"/>
          <w:position w:val="-1"/>
          <w:szCs w:val="21"/>
        </w:rPr>
      </w:pPr>
      <w:r>
        <w:rPr>
          <w:b/>
          <w:color w:val="auto"/>
          <w:szCs w:val="21"/>
        </w:rPr>
        <w:t>表</w:t>
      </w:r>
      <w:r>
        <w:rPr>
          <w:rFonts w:hint="eastAsia"/>
          <w:b/>
          <w:color w:val="auto"/>
          <w:szCs w:val="21"/>
        </w:rPr>
        <w:t>6</w:t>
      </w:r>
      <w:r>
        <w:rPr>
          <w:b/>
          <w:color w:val="auto"/>
          <w:szCs w:val="21"/>
        </w:rPr>
        <w:t>.4-</w:t>
      </w:r>
      <w:r>
        <w:rPr>
          <w:rFonts w:hint="eastAsia"/>
          <w:b/>
          <w:color w:val="auto"/>
          <w:szCs w:val="21"/>
        </w:rPr>
        <w:t xml:space="preserve">12  </w:t>
      </w:r>
      <w:r>
        <w:rPr>
          <w:b/>
          <w:color w:val="auto"/>
          <w:spacing w:val="-1"/>
          <w:kern w:val="30"/>
          <w:position w:val="-1"/>
          <w:szCs w:val="21"/>
        </w:rPr>
        <w:t>大气污染物有组织排放量核算表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389"/>
        <w:gridCol w:w="1447"/>
        <w:gridCol w:w="1790"/>
        <w:gridCol w:w="1789"/>
        <w:gridCol w:w="1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2" w:type="dxa"/>
            <w:tcBorders>
              <w:tl2br w:val="nil"/>
              <w:tr2bl w:val="nil"/>
            </w:tcBorders>
            <w:vAlign w:val="center"/>
          </w:tcPr>
          <w:p>
            <w:pPr>
              <w:tabs>
                <w:tab w:val="left" w:pos="1081"/>
              </w:tabs>
              <w:adjustRightInd w:val="0"/>
              <w:jc w:val="center"/>
              <w:rPr>
                <w:color w:val="auto"/>
                <w:szCs w:val="21"/>
              </w:rPr>
            </w:pPr>
            <w:r>
              <w:rPr>
                <w:color w:val="auto"/>
                <w:szCs w:val="21"/>
              </w:rPr>
              <w:t>序号</w:t>
            </w:r>
          </w:p>
        </w:tc>
        <w:tc>
          <w:tcPr>
            <w:tcW w:w="1389" w:type="dxa"/>
            <w:tcBorders>
              <w:tl2br w:val="nil"/>
              <w:tr2bl w:val="nil"/>
            </w:tcBorders>
            <w:vAlign w:val="center"/>
          </w:tcPr>
          <w:p>
            <w:pPr>
              <w:tabs>
                <w:tab w:val="left" w:pos="1081"/>
              </w:tabs>
              <w:adjustRightInd w:val="0"/>
              <w:jc w:val="center"/>
              <w:rPr>
                <w:color w:val="auto"/>
                <w:szCs w:val="21"/>
              </w:rPr>
            </w:pPr>
            <w:r>
              <w:rPr>
                <w:color w:val="auto"/>
                <w:szCs w:val="21"/>
              </w:rPr>
              <w:t>排放口编号</w:t>
            </w:r>
          </w:p>
        </w:tc>
        <w:tc>
          <w:tcPr>
            <w:tcW w:w="1447" w:type="dxa"/>
            <w:tcBorders>
              <w:tl2br w:val="nil"/>
              <w:tr2bl w:val="nil"/>
            </w:tcBorders>
            <w:vAlign w:val="center"/>
          </w:tcPr>
          <w:p>
            <w:pPr>
              <w:tabs>
                <w:tab w:val="left" w:pos="1081"/>
              </w:tabs>
              <w:adjustRightInd w:val="0"/>
              <w:jc w:val="center"/>
              <w:rPr>
                <w:color w:val="auto"/>
                <w:szCs w:val="21"/>
              </w:rPr>
            </w:pPr>
            <w:r>
              <w:rPr>
                <w:color w:val="auto"/>
                <w:szCs w:val="21"/>
              </w:rPr>
              <w:t>污染物</w:t>
            </w:r>
          </w:p>
        </w:tc>
        <w:tc>
          <w:tcPr>
            <w:tcW w:w="1790" w:type="dxa"/>
            <w:tcBorders>
              <w:tl2br w:val="nil"/>
              <w:tr2bl w:val="nil"/>
            </w:tcBorders>
            <w:vAlign w:val="center"/>
          </w:tcPr>
          <w:p>
            <w:pPr>
              <w:tabs>
                <w:tab w:val="left" w:pos="1081"/>
              </w:tabs>
              <w:adjustRightInd w:val="0"/>
              <w:jc w:val="center"/>
              <w:rPr>
                <w:color w:val="auto"/>
                <w:szCs w:val="21"/>
              </w:rPr>
            </w:pPr>
            <w:r>
              <w:rPr>
                <w:color w:val="auto"/>
                <w:szCs w:val="21"/>
              </w:rPr>
              <w:t>核算排放浓度/（mg/m</w:t>
            </w:r>
            <w:r>
              <w:rPr>
                <w:color w:val="auto"/>
                <w:szCs w:val="21"/>
                <w:vertAlign w:val="superscript"/>
              </w:rPr>
              <w:t>3</w:t>
            </w:r>
            <w:r>
              <w:rPr>
                <w:color w:val="auto"/>
                <w:szCs w:val="21"/>
              </w:rPr>
              <w:t>）</w:t>
            </w:r>
          </w:p>
        </w:tc>
        <w:tc>
          <w:tcPr>
            <w:tcW w:w="1789" w:type="dxa"/>
            <w:tcBorders>
              <w:tl2br w:val="nil"/>
              <w:tr2bl w:val="nil"/>
            </w:tcBorders>
            <w:vAlign w:val="center"/>
          </w:tcPr>
          <w:p>
            <w:pPr>
              <w:tabs>
                <w:tab w:val="left" w:pos="1081"/>
              </w:tabs>
              <w:adjustRightInd w:val="0"/>
              <w:jc w:val="center"/>
              <w:rPr>
                <w:color w:val="auto"/>
                <w:szCs w:val="21"/>
              </w:rPr>
            </w:pPr>
            <w:r>
              <w:rPr>
                <w:color w:val="auto"/>
                <w:szCs w:val="21"/>
              </w:rPr>
              <w:t>核算排放速率/（kg/h）</w:t>
            </w:r>
          </w:p>
        </w:tc>
        <w:tc>
          <w:tcPr>
            <w:tcW w:w="1791" w:type="dxa"/>
            <w:tcBorders>
              <w:tl2br w:val="nil"/>
              <w:tr2bl w:val="nil"/>
            </w:tcBorders>
            <w:vAlign w:val="center"/>
          </w:tcPr>
          <w:p>
            <w:pPr>
              <w:tabs>
                <w:tab w:val="left" w:pos="1081"/>
              </w:tabs>
              <w:adjustRightInd w:val="0"/>
              <w:jc w:val="center"/>
              <w:rPr>
                <w:color w:val="auto"/>
                <w:szCs w:val="21"/>
              </w:rPr>
            </w:pPr>
            <w:r>
              <w:rPr>
                <w:color w:val="auto"/>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2" w:type="dxa"/>
            <w:vMerge w:val="restart"/>
            <w:tcBorders>
              <w:tl2br w:val="nil"/>
              <w:tr2bl w:val="nil"/>
            </w:tcBorders>
            <w:vAlign w:val="center"/>
          </w:tcPr>
          <w:p>
            <w:pPr>
              <w:tabs>
                <w:tab w:val="left" w:pos="1081"/>
              </w:tabs>
              <w:adjustRightInd w:val="0"/>
              <w:jc w:val="center"/>
              <w:rPr>
                <w:color w:val="auto"/>
                <w:szCs w:val="21"/>
              </w:rPr>
            </w:pPr>
            <w:r>
              <w:rPr>
                <w:color w:val="auto"/>
                <w:szCs w:val="21"/>
              </w:rPr>
              <w:t>1</w:t>
            </w:r>
          </w:p>
        </w:tc>
        <w:tc>
          <w:tcPr>
            <w:tcW w:w="1389" w:type="dxa"/>
            <w:vMerge w:val="restart"/>
            <w:tcBorders>
              <w:tl2br w:val="nil"/>
              <w:tr2bl w:val="nil"/>
            </w:tcBorders>
            <w:vAlign w:val="center"/>
          </w:tcPr>
          <w:p>
            <w:pPr>
              <w:tabs>
                <w:tab w:val="left" w:pos="1081"/>
              </w:tabs>
              <w:adjustRightInd w:val="0"/>
              <w:jc w:val="center"/>
              <w:rPr>
                <w:color w:val="auto"/>
                <w:szCs w:val="21"/>
              </w:rPr>
            </w:pPr>
            <w:r>
              <w:rPr>
                <w:color w:val="auto"/>
                <w:szCs w:val="21"/>
              </w:rPr>
              <w:t>排气筒G1</w:t>
            </w:r>
          </w:p>
        </w:tc>
        <w:tc>
          <w:tcPr>
            <w:tcW w:w="1447" w:type="dxa"/>
            <w:tcBorders>
              <w:tl2br w:val="nil"/>
              <w:tr2bl w:val="nil"/>
            </w:tcBorders>
            <w:vAlign w:val="center"/>
          </w:tcPr>
          <w:p>
            <w:pPr>
              <w:tabs>
                <w:tab w:val="left" w:pos="1081"/>
              </w:tabs>
              <w:adjustRightInd w:val="0"/>
              <w:jc w:val="center"/>
              <w:rPr>
                <w:color w:val="auto"/>
                <w:szCs w:val="21"/>
              </w:rPr>
            </w:pPr>
            <w:r>
              <w:rPr>
                <w:rFonts w:hint="eastAsia"/>
                <w:color w:val="auto"/>
                <w:szCs w:val="21"/>
              </w:rPr>
              <w:t>颗粒物</w:t>
            </w:r>
          </w:p>
        </w:tc>
        <w:tc>
          <w:tcPr>
            <w:tcW w:w="1790" w:type="dxa"/>
            <w:tcBorders>
              <w:tl2br w:val="nil"/>
              <w:tr2bl w:val="nil"/>
            </w:tcBorders>
            <w:vAlign w:val="center"/>
          </w:tcPr>
          <w:p>
            <w:pPr>
              <w:widowControl/>
              <w:jc w:val="center"/>
              <w:textAlignment w:val="center"/>
              <w:rPr>
                <w:color w:val="auto"/>
                <w:szCs w:val="21"/>
              </w:rPr>
            </w:pPr>
            <w:r>
              <w:rPr>
                <w:rFonts w:hint="eastAsia"/>
                <w:color w:val="auto"/>
                <w:szCs w:val="21"/>
              </w:rPr>
              <w:t>0.9937</w:t>
            </w:r>
          </w:p>
        </w:tc>
        <w:tc>
          <w:tcPr>
            <w:tcW w:w="1789" w:type="dxa"/>
            <w:tcBorders>
              <w:tl2br w:val="nil"/>
              <w:tr2bl w:val="nil"/>
            </w:tcBorders>
            <w:vAlign w:val="center"/>
          </w:tcPr>
          <w:p>
            <w:pPr>
              <w:widowControl/>
              <w:jc w:val="center"/>
              <w:textAlignment w:val="center"/>
              <w:rPr>
                <w:color w:val="auto"/>
                <w:szCs w:val="21"/>
              </w:rPr>
            </w:pPr>
            <w:r>
              <w:rPr>
                <w:rFonts w:hint="eastAsia"/>
                <w:color w:val="auto"/>
                <w:szCs w:val="21"/>
              </w:rPr>
              <w:t>0.0298</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0.2361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2" w:type="dxa"/>
            <w:vMerge w:val="continue"/>
            <w:tcBorders>
              <w:tl2br w:val="nil"/>
              <w:tr2bl w:val="nil"/>
            </w:tcBorders>
            <w:vAlign w:val="center"/>
          </w:tcPr>
          <w:p>
            <w:pPr>
              <w:tabs>
                <w:tab w:val="left" w:pos="1081"/>
              </w:tabs>
              <w:adjustRightInd w:val="0"/>
              <w:jc w:val="center"/>
              <w:rPr>
                <w:color w:val="auto"/>
                <w:szCs w:val="21"/>
              </w:rPr>
            </w:pPr>
          </w:p>
        </w:tc>
        <w:tc>
          <w:tcPr>
            <w:tcW w:w="1389" w:type="dxa"/>
            <w:vMerge w:val="continue"/>
            <w:tcBorders>
              <w:tl2br w:val="nil"/>
              <w:tr2bl w:val="nil"/>
            </w:tcBorders>
            <w:vAlign w:val="center"/>
          </w:tcPr>
          <w:p>
            <w:pPr>
              <w:tabs>
                <w:tab w:val="left" w:pos="1081"/>
              </w:tabs>
              <w:adjustRightInd w:val="0"/>
              <w:jc w:val="center"/>
              <w:rPr>
                <w:color w:val="auto"/>
                <w:szCs w:val="21"/>
              </w:rPr>
            </w:pPr>
          </w:p>
        </w:tc>
        <w:tc>
          <w:tcPr>
            <w:tcW w:w="1447" w:type="dxa"/>
            <w:tcBorders>
              <w:tl2br w:val="nil"/>
              <w:tr2bl w:val="nil"/>
            </w:tcBorders>
            <w:vAlign w:val="center"/>
          </w:tcPr>
          <w:p>
            <w:pPr>
              <w:tabs>
                <w:tab w:val="left" w:pos="1081"/>
              </w:tabs>
              <w:adjustRightInd w:val="0"/>
              <w:jc w:val="center"/>
              <w:rPr>
                <w:color w:val="auto"/>
                <w:szCs w:val="21"/>
              </w:rPr>
            </w:pPr>
            <w:r>
              <w:rPr>
                <w:bCs/>
                <w:color w:val="auto"/>
                <w:szCs w:val="21"/>
              </w:rPr>
              <w:t>苯并[a]芘</w:t>
            </w:r>
          </w:p>
        </w:tc>
        <w:tc>
          <w:tcPr>
            <w:tcW w:w="1790" w:type="dxa"/>
            <w:tcBorders>
              <w:tl2br w:val="nil"/>
              <w:tr2bl w:val="nil"/>
            </w:tcBorders>
            <w:vAlign w:val="center"/>
          </w:tcPr>
          <w:p>
            <w:pPr>
              <w:widowControl/>
              <w:jc w:val="center"/>
              <w:textAlignment w:val="center"/>
              <w:rPr>
                <w:color w:val="auto"/>
                <w:szCs w:val="21"/>
              </w:rPr>
            </w:pPr>
            <w:r>
              <w:rPr>
                <w:rFonts w:hint="eastAsia"/>
                <w:color w:val="auto"/>
                <w:szCs w:val="21"/>
              </w:rPr>
              <w:t>0.000167</w:t>
            </w:r>
          </w:p>
        </w:tc>
        <w:tc>
          <w:tcPr>
            <w:tcW w:w="1789" w:type="dxa"/>
            <w:tcBorders>
              <w:tl2br w:val="nil"/>
              <w:tr2bl w:val="nil"/>
            </w:tcBorders>
            <w:vAlign w:val="center"/>
          </w:tcPr>
          <w:p>
            <w:pPr>
              <w:widowControl/>
              <w:jc w:val="center"/>
              <w:textAlignment w:val="center"/>
              <w:rPr>
                <w:color w:val="auto"/>
                <w:szCs w:val="21"/>
              </w:rPr>
            </w:pPr>
            <w:r>
              <w:rPr>
                <w:rFonts w:hint="eastAsia"/>
                <w:color w:val="auto"/>
                <w:szCs w:val="21"/>
              </w:rPr>
              <w:t>0.000005</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0.000040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2" w:type="dxa"/>
            <w:vMerge w:val="continue"/>
            <w:tcBorders>
              <w:tl2br w:val="nil"/>
              <w:tr2bl w:val="nil"/>
            </w:tcBorders>
            <w:vAlign w:val="center"/>
          </w:tcPr>
          <w:p>
            <w:pPr>
              <w:tabs>
                <w:tab w:val="left" w:pos="1081"/>
              </w:tabs>
              <w:adjustRightInd w:val="0"/>
              <w:jc w:val="center"/>
              <w:rPr>
                <w:color w:val="auto"/>
                <w:szCs w:val="21"/>
              </w:rPr>
            </w:pPr>
          </w:p>
        </w:tc>
        <w:tc>
          <w:tcPr>
            <w:tcW w:w="1389" w:type="dxa"/>
            <w:vMerge w:val="continue"/>
            <w:tcBorders>
              <w:tl2br w:val="nil"/>
              <w:tr2bl w:val="nil"/>
            </w:tcBorders>
            <w:vAlign w:val="center"/>
          </w:tcPr>
          <w:p>
            <w:pPr>
              <w:tabs>
                <w:tab w:val="left" w:pos="1081"/>
              </w:tabs>
              <w:adjustRightInd w:val="0"/>
              <w:jc w:val="center"/>
              <w:rPr>
                <w:color w:val="auto"/>
                <w:szCs w:val="21"/>
              </w:rPr>
            </w:pPr>
          </w:p>
        </w:tc>
        <w:tc>
          <w:tcPr>
            <w:tcW w:w="1447" w:type="dxa"/>
            <w:tcBorders>
              <w:tl2br w:val="nil"/>
              <w:tr2bl w:val="nil"/>
            </w:tcBorders>
            <w:vAlign w:val="center"/>
          </w:tcPr>
          <w:p>
            <w:pPr>
              <w:tabs>
                <w:tab w:val="left" w:pos="1081"/>
              </w:tabs>
              <w:adjustRightInd w:val="0"/>
              <w:jc w:val="center"/>
              <w:rPr>
                <w:color w:val="auto"/>
                <w:szCs w:val="21"/>
              </w:rPr>
            </w:pPr>
            <w:r>
              <w:rPr>
                <w:color w:val="auto"/>
                <w:szCs w:val="21"/>
              </w:rPr>
              <w:t>非甲烷总烃</w:t>
            </w:r>
          </w:p>
        </w:tc>
        <w:tc>
          <w:tcPr>
            <w:tcW w:w="1790" w:type="dxa"/>
            <w:tcBorders>
              <w:tl2br w:val="nil"/>
              <w:tr2bl w:val="nil"/>
            </w:tcBorders>
            <w:vAlign w:val="center"/>
          </w:tcPr>
          <w:p>
            <w:pPr>
              <w:widowControl/>
              <w:jc w:val="center"/>
              <w:textAlignment w:val="center"/>
              <w:rPr>
                <w:color w:val="auto"/>
                <w:szCs w:val="21"/>
              </w:rPr>
            </w:pPr>
            <w:r>
              <w:rPr>
                <w:rFonts w:hint="eastAsia"/>
                <w:color w:val="auto"/>
                <w:szCs w:val="21"/>
              </w:rPr>
              <w:t>0.0042</w:t>
            </w:r>
          </w:p>
        </w:tc>
        <w:tc>
          <w:tcPr>
            <w:tcW w:w="1789" w:type="dxa"/>
            <w:tcBorders>
              <w:tl2br w:val="nil"/>
              <w:tr2bl w:val="nil"/>
            </w:tcBorders>
            <w:vAlign w:val="center"/>
          </w:tcPr>
          <w:p>
            <w:pPr>
              <w:widowControl/>
              <w:jc w:val="center"/>
              <w:textAlignment w:val="center"/>
              <w:rPr>
                <w:color w:val="auto"/>
                <w:szCs w:val="21"/>
              </w:rPr>
            </w:pPr>
            <w:r>
              <w:rPr>
                <w:rFonts w:hint="eastAsia"/>
                <w:color w:val="auto"/>
                <w:szCs w:val="21"/>
              </w:rPr>
              <w:t>0.0001</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2" w:type="dxa"/>
            <w:tcBorders>
              <w:tl2br w:val="nil"/>
              <w:tr2bl w:val="nil"/>
            </w:tcBorders>
            <w:vAlign w:val="center"/>
          </w:tcPr>
          <w:p>
            <w:pPr>
              <w:tabs>
                <w:tab w:val="left" w:pos="1081"/>
              </w:tabs>
              <w:adjustRightInd w:val="0"/>
              <w:jc w:val="center"/>
              <w:rPr>
                <w:color w:val="auto"/>
                <w:szCs w:val="21"/>
              </w:rPr>
            </w:pPr>
            <w:r>
              <w:rPr>
                <w:rFonts w:hint="eastAsia"/>
                <w:color w:val="auto"/>
                <w:szCs w:val="21"/>
              </w:rPr>
              <w:t>2</w:t>
            </w:r>
          </w:p>
        </w:tc>
        <w:tc>
          <w:tcPr>
            <w:tcW w:w="1389" w:type="dxa"/>
            <w:tcBorders>
              <w:tl2br w:val="nil"/>
              <w:tr2bl w:val="nil"/>
            </w:tcBorders>
            <w:vAlign w:val="center"/>
          </w:tcPr>
          <w:p>
            <w:pPr>
              <w:tabs>
                <w:tab w:val="left" w:pos="1081"/>
              </w:tabs>
              <w:adjustRightInd w:val="0"/>
              <w:jc w:val="center"/>
              <w:rPr>
                <w:color w:val="auto"/>
                <w:szCs w:val="21"/>
              </w:rPr>
            </w:pPr>
            <w:r>
              <w:rPr>
                <w:rFonts w:hint="eastAsia"/>
                <w:color w:val="auto"/>
                <w:szCs w:val="21"/>
              </w:rPr>
              <w:t>排气筒G2</w:t>
            </w:r>
          </w:p>
        </w:tc>
        <w:tc>
          <w:tcPr>
            <w:tcW w:w="1447" w:type="dxa"/>
            <w:tcBorders>
              <w:tl2br w:val="nil"/>
              <w:tr2bl w:val="nil"/>
            </w:tcBorders>
            <w:vAlign w:val="center"/>
          </w:tcPr>
          <w:p>
            <w:pPr>
              <w:tabs>
                <w:tab w:val="left" w:pos="1081"/>
              </w:tabs>
              <w:adjustRightInd w:val="0"/>
              <w:jc w:val="center"/>
              <w:rPr>
                <w:color w:val="auto"/>
                <w:szCs w:val="21"/>
              </w:rPr>
            </w:pPr>
            <w:r>
              <w:rPr>
                <w:rFonts w:hint="eastAsia"/>
                <w:color w:val="auto"/>
                <w:szCs w:val="21"/>
              </w:rPr>
              <w:t>颗粒物</w:t>
            </w:r>
          </w:p>
        </w:tc>
        <w:tc>
          <w:tcPr>
            <w:tcW w:w="1790" w:type="dxa"/>
            <w:tcBorders>
              <w:tl2br w:val="nil"/>
              <w:tr2bl w:val="nil"/>
            </w:tcBorders>
            <w:vAlign w:val="center"/>
          </w:tcPr>
          <w:p>
            <w:pPr>
              <w:widowControl/>
              <w:jc w:val="center"/>
              <w:textAlignment w:val="center"/>
              <w:rPr>
                <w:color w:val="auto"/>
                <w:szCs w:val="21"/>
              </w:rPr>
            </w:pPr>
            <w:r>
              <w:rPr>
                <w:rFonts w:hint="eastAsia"/>
                <w:color w:val="auto"/>
                <w:szCs w:val="21"/>
              </w:rPr>
              <w:t>2.9830</w:t>
            </w:r>
          </w:p>
        </w:tc>
        <w:tc>
          <w:tcPr>
            <w:tcW w:w="1789" w:type="dxa"/>
            <w:tcBorders>
              <w:tl2br w:val="nil"/>
              <w:tr2bl w:val="nil"/>
            </w:tcBorders>
            <w:vAlign w:val="center"/>
          </w:tcPr>
          <w:p>
            <w:pPr>
              <w:widowControl/>
              <w:jc w:val="center"/>
              <w:textAlignment w:val="center"/>
              <w:rPr>
                <w:color w:val="auto"/>
                <w:szCs w:val="21"/>
              </w:rPr>
            </w:pPr>
            <w:r>
              <w:rPr>
                <w:rFonts w:hint="eastAsia"/>
                <w:color w:val="auto"/>
                <w:szCs w:val="21"/>
              </w:rPr>
              <w:t>0.0358</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0.0945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1" w:type="dxa"/>
            <w:gridSpan w:val="2"/>
            <w:vMerge w:val="restart"/>
            <w:tcBorders>
              <w:tl2br w:val="nil"/>
              <w:tr2bl w:val="nil"/>
            </w:tcBorders>
            <w:vAlign w:val="center"/>
          </w:tcPr>
          <w:p>
            <w:pPr>
              <w:tabs>
                <w:tab w:val="left" w:pos="1081"/>
              </w:tabs>
              <w:adjustRightInd w:val="0"/>
              <w:jc w:val="center"/>
              <w:rPr>
                <w:color w:val="auto"/>
                <w:szCs w:val="21"/>
              </w:rPr>
            </w:pPr>
            <w:r>
              <w:rPr>
                <w:color w:val="auto"/>
                <w:szCs w:val="21"/>
              </w:rPr>
              <w:t>主要排放口合计/</w:t>
            </w:r>
          </w:p>
          <w:p>
            <w:pPr>
              <w:tabs>
                <w:tab w:val="left" w:pos="1081"/>
              </w:tabs>
              <w:adjustRightInd w:val="0"/>
              <w:jc w:val="center"/>
              <w:rPr>
                <w:color w:val="auto"/>
                <w:szCs w:val="21"/>
              </w:rPr>
            </w:pPr>
            <w:r>
              <w:rPr>
                <w:color w:val="auto"/>
                <w:szCs w:val="21"/>
              </w:rPr>
              <w:t>有组织排放总计</w:t>
            </w:r>
          </w:p>
        </w:tc>
        <w:tc>
          <w:tcPr>
            <w:tcW w:w="5026" w:type="dxa"/>
            <w:gridSpan w:val="3"/>
            <w:tcBorders>
              <w:tl2br w:val="nil"/>
              <w:tr2bl w:val="nil"/>
            </w:tcBorders>
            <w:vAlign w:val="center"/>
          </w:tcPr>
          <w:p>
            <w:pPr>
              <w:tabs>
                <w:tab w:val="left" w:pos="1081"/>
              </w:tabs>
              <w:adjustRightInd w:val="0"/>
              <w:jc w:val="center"/>
              <w:rPr>
                <w:color w:val="auto"/>
                <w:szCs w:val="21"/>
              </w:rPr>
            </w:pPr>
            <w:r>
              <w:rPr>
                <w:rFonts w:hint="eastAsia"/>
                <w:color w:val="auto"/>
                <w:szCs w:val="21"/>
              </w:rPr>
              <w:t>颗粒物</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0.3306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1" w:type="dxa"/>
            <w:gridSpan w:val="2"/>
            <w:vMerge w:val="continue"/>
            <w:tcBorders>
              <w:tl2br w:val="nil"/>
              <w:tr2bl w:val="nil"/>
            </w:tcBorders>
            <w:vAlign w:val="center"/>
          </w:tcPr>
          <w:p>
            <w:pPr>
              <w:tabs>
                <w:tab w:val="left" w:pos="1081"/>
              </w:tabs>
              <w:adjustRightInd w:val="0"/>
              <w:jc w:val="center"/>
              <w:rPr>
                <w:color w:val="auto"/>
                <w:szCs w:val="21"/>
              </w:rPr>
            </w:pPr>
          </w:p>
        </w:tc>
        <w:tc>
          <w:tcPr>
            <w:tcW w:w="5026" w:type="dxa"/>
            <w:gridSpan w:val="3"/>
            <w:tcBorders>
              <w:tl2br w:val="nil"/>
              <w:tr2bl w:val="nil"/>
            </w:tcBorders>
            <w:vAlign w:val="center"/>
          </w:tcPr>
          <w:p>
            <w:pPr>
              <w:tabs>
                <w:tab w:val="left" w:pos="1081"/>
              </w:tabs>
              <w:adjustRightInd w:val="0"/>
              <w:jc w:val="center"/>
              <w:rPr>
                <w:color w:val="auto"/>
                <w:szCs w:val="21"/>
              </w:rPr>
            </w:pPr>
            <w:r>
              <w:rPr>
                <w:bCs/>
                <w:color w:val="auto"/>
                <w:szCs w:val="21"/>
              </w:rPr>
              <w:t>苯并[a]芘</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0.000040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1" w:type="dxa"/>
            <w:gridSpan w:val="2"/>
            <w:vMerge w:val="continue"/>
            <w:tcBorders>
              <w:tl2br w:val="nil"/>
              <w:tr2bl w:val="nil"/>
            </w:tcBorders>
            <w:vAlign w:val="center"/>
          </w:tcPr>
          <w:p>
            <w:pPr>
              <w:tabs>
                <w:tab w:val="left" w:pos="1081"/>
              </w:tabs>
              <w:adjustRightInd w:val="0"/>
              <w:jc w:val="center"/>
              <w:rPr>
                <w:color w:val="auto"/>
                <w:szCs w:val="21"/>
              </w:rPr>
            </w:pPr>
          </w:p>
        </w:tc>
        <w:tc>
          <w:tcPr>
            <w:tcW w:w="5026" w:type="dxa"/>
            <w:gridSpan w:val="3"/>
            <w:tcBorders>
              <w:tl2br w:val="nil"/>
              <w:tr2bl w:val="nil"/>
            </w:tcBorders>
            <w:vAlign w:val="center"/>
          </w:tcPr>
          <w:p>
            <w:pPr>
              <w:tabs>
                <w:tab w:val="left" w:pos="1081"/>
              </w:tabs>
              <w:adjustRightInd w:val="0"/>
              <w:jc w:val="center"/>
              <w:rPr>
                <w:color w:val="auto"/>
                <w:szCs w:val="21"/>
              </w:rPr>
            </w:pPr>
            <w:r>
              <w:rPr>
                <w:color w:val="auto"/>
                <w:szCs w:val="21"/>
              </w:rPr>
              <w:t>非甲烷总烃</w:t>
            </w:r>
          </w:p>
        </w:tc>
        <w:tc>
          <w:tcPr>
            <w:tcW w:w="1791" w:type="dxa"/>
            <w:tcBorders>
              <w:tl2br w:val="nil"/>
              <w:tr2bl w:val="nil"/>
            </w:tcBorders>
            <w:vAlign w:val="center"/>
          </w:tcPr>
          <w:p>
            <w:pPr>
              <w:widowControl/>
              <w:jc w:val="center"/>
              <w:textAlignment w:val="center"/>
              <w:rPr>
                <w:color w:val="auto"/>
                <w:szCs w:val="21"/>
              </w:rPr>
            </w:pPr>
            <w:r>
              <w:rPr>
                <w:rFonts w:hint="eastAsia"/>
                <w:color w:val="auto"/>
                <w:szCs w:val="21"/>
              </w:rPr>
              <w:t>0.0010</w:t>
            </w:r>
          </w:p>
        </w:tc>
      </w:tr>
    </w:tbl>
    <w:p>
      <w:pPr>
        <w:spacing w:line="360" w:lineRule="auto"/>
        <w:ind w:firstLine="480" w:firstLineChars="200"/>
        <w:rPr>
          <w:color w:val="auto"/>
          <w:sz w:val="24"/>
        </w:rPr>
      </w:pPr>
      <w:r>
        <w:rPr>
          <w:color w:val="auto"/>
          <w:sz w:val="24"/>
        </w:rPr>
        <w:t>2、无组织核算</w:t>
      </w:r>
    </w:p>
    <w:p>
      <w:pPr>
        <w:tabs>
          <w:tab w:val="left" w:pos="1081"/>
        </w:tabs>
        <w:adjustRightInd w:val="0"/>
        <w:spacing w:line="360" w:lineRule="auto"/>
        <w:jc w:val="center"/>
        <w:rPr>
          <w:b/>
          <w:color w:val="auto"/>
          <w:szCs w:val="21"/>
        </w:rPr>
      </w:pPr>
      <w:r>
        <w:rPr>
          <w:b/>
          <w:color w:val="auto"/>
          <w:szCs w:val="21"/>
        </w:rPr>
        <w:t>表</w:t>
      </w:r>
      <w:r>
        <w:rPr>
          <w:rFonts w:hint="eastAsia"/>
          <w:b/>
          <w:color w:val="auto"/>
          <w:szCs w:val="21"/>
        </w:rPr>
        <w:t>6.4-13</w:t>
      </w:r>
      <w:r>
        <w:rPr>
          <w:b/>
          <w:color w:val="auto"/>
          <w:szCs w:val="21"/>
        </w:rPr>
        <w:t xml:space="preserve"> </w:t>
      </w:r>
      <w:r>
        <w:rPr>
          <w:rFonts w:hint="eastAsia"/>
          <w:b/>
          <w:color w:val="auto"/>
          <w:szCs w:val="21"/>
        </w:rPr>
        <w:t xml:space="preserve"> </w:t>
      </w:r>
      <w:r>
        <w:rPr>
          <w:b/>
          <w:color w:val="auto"/>
          <w:szCs w:val="21"/>
        </w:rPr>
        <w:t>大气污染物无组织排放量核算表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658"/>
        <w:gridCol w:w="1220"/>
        <w:gridCol w:w="863"/>
        <w:gridCol w:w="1937"/>
        <w:gridCol w:w="1683"/>
        <w:gridCol w:w="1067"/>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Merge w:val="restart"/>
            <w:tcBorders>
              <w:tl2br w:val="nil"/>
              <w:tr2bl w:val="nil"/>
            </w:tcBorders>
            <w:vAlign w:val="center"/>
          </w:tcPr>
          <w:p>
            <w:pPr>
              <w:tabs>
                <w:tab w:val="left" w:pos="1081"/>
              </w:tabs>
              <w:adjustRightInd w:val="0"/>
              <w:spacing w:line="300" w:lineRule="auto"/>
              <w:jc w:val="center"/>
              <w:rPr>
                <w:color w:val="auto"/>
                <w:szCs w:val="21"/>
              </w:rPr>
            </w:pPr>
            <w:r>
              <w:rPr>
                <w:color w:val="auto"/>
                <w:szCs w:val="21"/>
              </w:rPr>
              <w:t>序号</w:t>
            </w:r>
          </w:p>
        </w:tc>
        <w:tc>
          <w:tcPr>
            <w:tcW w:w="658" w:type="dxa"/>
            <w:vMerge w:val="restart"/>
            <w:tcBorders>
              <w:tl2br w:val="nil"/>
              <w:tr2bl w:val="nil"/>
            </w:tcBorders>
            <w:vAlign w:val="center"/>
          </w:tcPr>
          <w:p>
            <w:pPr>
              <w:widowControl/>
              <w:spacing w:line="300" w:lineRule="auto"/>
              <w:jc w:val="center"/>
              <w:textAlignment w:val="center"/>
              <w:rPr>
                <w:color w:val="auto"/>
                <w:szCs w:val="21"/>
              </w:rPr>
            </w:pPr>
            <w:r>
              <w:rPr>
                <w:color w:val="auto"/>
                <w:szCs w:val="21"/>
              </w:rPr>
              <w:t>排放口编号</w:t>
            </w:r>
          </w:p>
        </w:tc>
        <w:tc>
          <w:tcPr>
            <w:tcW w:w="1220" w:type="dxa"/>
            <w:vMerge w:val="restart"/>
            <w:tcBorders>
              <w:tl2br w:val="nil"/>
              <w:tr2bl w:val="nil"/>
            </w:tcBorders>
            <w:vAlign w:val="center"/>
          </w:tcPr>
          <w:p>
            <w:pPr>
              <w:widowControl/>
              <w:spacing w:line="300" w:lineRule="auto"/>
              <w:jc w:val="center"/>
              <w:textAlignment w:val="center"/>
              <w:rPr>
                <w:color w:val="auto"/>
                <w:szCs w:val="21"/>
              </w:rPr>
            </w:pPr>
            <w:r>
              <w:rPr>
                <w:color w:val="auto"/>
                <w:szCs w:val="21"/>
              </w:rPr>
              <w:t>产污环节</w:t>
            </w:r>
          </w:p>
        </w:tc>
        <w:tc>
          <w:tcPr>
            <w:tcW w:w="863" w:type="dxa"/>
            <w:vMerge w:val="restart"/>
            <w:tcBorders>
              <w:tl2br w:val="nil"/>
              <w:tr2bl w:val="nil"/>
            </w:tcBorders>
            <w:vAlign w:val="center"/>
          </w:tcPr>
          <w:p>
            <w:pPr>
              <w:widowControl/>
              <w:spacing w:line="300" w:lineRule="auto"/>
              <w:jc w:val="center"/>
              <w:textAlignment w:val="center"/>
              <w:rPr>
                <w:color w:val="auto"/>
                <w:szCs w:val="21"/>
              </w:rPr>
            </w:pPr>
            <w:r>
              <w:rPr>
                <w:color w:val="auto"/>
                <w:szCs w:val="21"/>
              </w:rPr>
              <w:t>污染物</w:t>
            </w:r>
          </w:p>
        </w:tc>
        <w:tc>
          <w:tcPr>
            <w:tcW w:w="1937" w:type="dxa"/>
            <w:vMerge w:val="restart"/>
            <w:tcBorders>
              <w:tl2br w:val="nil"/>
              <w:tr2bl w:val="nil"/>
            </w:tcBorders>
            <w:vAlign w:val="center"/>
          </w:tcPr>
          <w:p>
            <w:pPr>
              <w:widowControl/>
              <w:spacing w:line="300" w:lineRule="auto"/>
              <w:jc w:val="center"/>
              <w:textAlignment w:val="center"/>
              <w:rPr>
                <w:color w:val="auto"/>
                <w:szCs w:val="21"/>
              </w:rPr>
            </w:pPr>
            <w:r>
              <w:rPr>
                <w:color w:val="auto"/>
                <w:szCs w:val="21"/>
              </w:rPr>
              <w:t>主要污染防治措施</w:t>
            </w:r>
          </w:p>
        </w:tc>
        <w:tc>
          <w:tcPr>
            <w:tcW w:w="2750" w:type="dxa"/>
            <w:gridSpan w:val="2"/>
            <w:tcBorders>
              <w:tl2br w:val="nil"/>
              <w:tr2bl w:val="nil"/>
            </w:tcBorders>
            <w:vAlign w:val="center"/>
          </w:tcPr>
          <w:p>
            <w:pPr>
              <w:tabs>
                <w:tab w:val="left" w:pos="1081"/>
              </w:tabs>
              <w:adjustRightInd w:val="0"/>
              <w:spacing w:line="300" w:lineRule="auto"/>
              <w:jc w:val="center"/>
              <w:rPr>
                <w:color w:val="auto"/>
                <w:szCs w:val="21"/>
              </w:rPr>
            </w:pPr>
            <w:r>
              <w:rPr>
                <w:color w:val="auto"/>
                <w:szCs w:val="21"/>
              </w:rPr>
              <w:t>国家或地方污染物排放标准</w:t>
            </w:r>
          </w:p>
        </w:tc>
        <w:tc>
          <w:tcPr>
            <w:tcW w:w="1093" w:type="dxa"/>
            <w:vMerge w:val="restart"/>
            <w:tcBorders>
              <w:tl2br w:val="nil"/>
              <w:tr2bl w:val="nil"/>
            </w:tcBorders>
            <w:vAlign w:val="center"/>
          </w:tcPr>
          <w:p>
            <w:pPr>
              <w:tabs>
                <w:tab w:val="left" w:pos="1081"/>
              </w:tabs>
              <w:adjustRightInd w:val="0"/>
              <w:spacing w:line="300" w:lineRule="auto"/>
              <w:jc w:val="center"/>
              <w:rPr>
                <w:color w:val="auto"/>
                <w:szCs w:val="21"/>
              </w:rPr>
            </w:pPr>
            <w:r>
              <w:rPr>
                <w:color w:val="auto"/>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c>
          <w:tcPr>
            <w:tcW w:w="658" w:type="dxa"/>
            <w:vMerge w:val="continue"/>
            <w:tcBorders>
              <w:tl2br w:val="nil"/>
              <w:tr2bl w:val="nil"/>
            </w:tcBorders>
            <w:vAlign w:val="center"/>
          </w:tcPr>
          <w:p>
            <w:pPr>
              <w:widowControl/>
              <w:spacing w:line="300" w:lineRule="auto"/>
              <w:jc w:val="center"/>
              <w:textAlignment w:val="center"/>
              <w:rPr>
                <w:color w:val="auto"/>
                <w:szCs w:val="21"/>
              </w:rPr>
            </w:pPr>
          </w:p>
        </w:tc>
        <w:tc>
          <w:tcPr>
            <w:tcW w:w="1220" w:type="dxa"/>
            <w:vMerge w:val="continue"/>
            <w:tcBorders>
              <w:tl2br w:val="nil"/>
              <w:tr2bl w:val="nil"/>
            </w:tcBorders>
            <w:vAlign w:val="center"/>
          </w:tcPr>
          <w:p>
            <w:pPr>
              <w:widowControl/>
              <w:spacing w:line="300" w:lineRule="auto"/>
              <w:jc w:val="center"/>
              <w:textAlignment w:val="center"/>
              <w:rPr>
                <w:color w:val="auto"/>
                <w:szCs w:val="21"/>
              </w:rPr>
            </w:pPr>
          </w:p>
        </w:tc>
        <w:tc>
          <w:tcPr>
            <w:tcW w:w="863" w:type="dxa"/>
            <w:vMerge w:val="continue"/>
            <w:tcBorders>
              <w:tl2br w:val="nil"/>
              <w:tr2bl w:val="nil"/>
            </w:tcBorders>
            <w:vAlign w:val="center"/>
          </w:tcPr>
          <w:p>
            <w:pPr>
              <w:widowControl/>
              <w:spacing w:line="300" w:lineRule="auto"/>
              <w:jc w:val="center"/>
              <w:textAlignment w:val="center"/>
              <w:rPr>
                <w:color w:val="auto"/>
                <w:szCs w:val="21"/>
              </w:rPr>
            </w:pPr>
          </w:p>
        </w:tc>
        <w:tc>
          <w:tcPr>
            <w:tcW w:w="1937" w:type="dxa"/>
            <w:vMerge w:val="continue"/>
            <w:tcBorders>
              <w:tl2br w:val="nil"/>
              <w:tr2bl w:val="nil"/>
            </w:tcBorders>
            <w:vAlign w:val="center"/>
          </w:tcPr>
          <w:p>
            <w:pPr>
              <w:widowControl/>
              <w:spacing w:line="300" w:lineRule="auto"/>
              <w:jc w:val="center"/>
              <w:textAlignment w:val="center"/>
              <w:rPr>
                <w:color w:val="auto"/>
                <w:szCs w:val="21"/>
              </w:rPr>
            </w:pPr>
          </w:p>
        </w:tc>
        <w:tc>
          <w:tcPr>
            <w:tcW w:w="1683" w:type="dxa"/>
            <w:tcBorders>
              <w:tl2br w:val="nil"/>
              <w:tr2bl w:val="nil"/>
            </w:tcBorders>
            <w:vAlign w:val="center"/>
          </w:tcPr>
          <w:p>
            <w:pPr>
              <w:widowControl/>
              <w:spacing w:line="300" w:lineRule="auto"/>
              <w:jc w:val="center"/>
              <w:textAlignment w:val="center"/>
              <w:rPr>
                <w:color w:val="auto"/>
                <w:kern w:val="0"/>
                <w:szCs w:val="21"/>
                <w:lang w:bidi="ar"/>
              </w:rPr>
            </w:pPr>
            <w:r>
              <w:rPr>
                <w:color w:val="auto"/>
                <w:kern w:val="0"/>
                <w:szCs w:val="21"/>
                <w:lang w:bidi="ar"/>
              </w:rPr>
              <w:t>标准名称</w:t>
            </w:r>
          </w:p>
        </w:tc>
        <w:tc>
          <w:tcPr>
            <w:tcW w:w="1067" w:type="dxa"/>
            <w:tcBorders>
              <w:tl2br w:val="nil"/>
              <w:tr2bl w:val="nil"/>
            </w:tcBorders>
            <w:vAlign w:val="center"/>
          </w:tcPr>
          <w:p>
            <w:pPr>
              <w:widowControl/>
              <w:spacing w:line="300" w:lineRule="auto"/>
              <w:jc w:val="center"/>
              <w:textAlignment w:val="center"/>
              <w:rPr>
                <w:color w:val="auto"/>
                <w:kern w:val="0"/>
                <w:szCs w:val="21"/>
                <w:lang w:bidi="ar"/>
              </w:rPr>
            </w:pPr>
            <w:r>
              <w:rPr>
                <w:color w:val="auto"/>
                <w:szCs w:val="21"/>
              </w:rPr>
              <w:t>浓度限值/（μg/m</w:t>
            </w:r>
            <w:r>
              <w:rPr>
                <w:color w:val="auto"/>
                <w:szCs w:val="21"/>
                <w:vertAlign w:val="superscript"/>
              </w:rPr>
              <w:t>3</w:t>
            </w:r>
            <w:r>
              <w:rPr>
                <w:color w:val="auto"/>
                <w:szCs w:val="21"/>
              </w:rPr>
              <w:t>）</w:t>
            </w:r>
          </w:p>
        </w:tc>
        <w:tc>
          <w:tcPr>
            <w:tcW w:w="1093" w:type="dxa"/>
            <w:vMerge w:val="continue"/>
            <w:tcBorders>
              <w:tl2br w:val="nil"/>
              <w:tr2bl w:val="nil"/>
            </w:tcBorders>
            <w:vAlign w:val="center"/>
          </w:tcPr>
          <w:p>
            <w:pPr>
              <w:widowControl/>
              <w:spacing w:line="300" w:lineRule="auto"/>
              <w:jc w:val="center"/>
              <w:textAlignment w:val="center"/>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427" w:type="dxa"/>
            <w:vMerge w:val="restart"/>
            <w:tcBorders>
              <w:tl2br w:val="nil"/>
              <w:tr2bl w:val="nil"/>
            </w:tcBorders>
            <w:vAlign w:val="center"/>
          </w:tcPr>
          <w:p>
            <w:pPr>
              <w:tabs>
                <w:tab w:val="left" w:pos="1081"/>
              </w:tabs>
              <w:adjustRightInd w:val="0"/>
              <w:spacing w:line="300" w:lineRule="auto"/>
              <w:jc w:val="center"/>
              <w:rPr>
                <w:color w:val="auto"/>
                <w:szCs w:val="21"/>
              </w:rPr>
            </w:pPr>
            <w:r>
              <w:rPr>
                <w:color w:val="auto"/>
                <w:szCs w:val="21"/>
              </w:rPr>
              <w:t>1</w:t>
            </w:r>
          </w:p>
        </w:tc>
        <w:tc>
          <w:tcPr>
            <w:tcW w:w="658" w:type="dxa"/>
            <w:vMerge w:val="restart"/>
            <w:tcBorders>
              <w:tl2br w:val="nil"/>
              <w:tr2bl w:val="nil"/>
            </w:tcBorders>
            <w:vAlign w:val="center"/>
          </w:tcPr>
          <w:p>
            <w:pPr>
              <w:widowControl/>
              <w:spacing w:line="300" w:lineRule="auto"/>
              <w:jc w:val="center"/>
              <w:textAlignment w:val="center"/>
              <w:rPr>
                <w:color w:val="auto"/>
                <w:szCs w:val="21"/>
              </w:rPr>
            </w:pPr>
            <w:r>
              <w:rPr>
                <w:color w:val="auto"/>
                <w:szCs w:val="21"/>
              </w:rPr>
              <w:t>车间</w:t>
            </w:r>
          </w:p>
        </w:tc>
        <w:tc>
          <w:tcPr>
            <w:tcW w:w="1220"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一破</w:t>
            </w:r>
            <w:r>
              <w:rPr>
                <w:color w:val="auto"/>
                <w:szCs w:val="21"/>
              </w:rPr>
              <w:t>工序</w:t>
            </w:r>
            <w:r>
              <w:rPr>
                <w:rFonts w:hint="eastAsia"/>
                <w:color w:val="auto"/>
                <w:szCs w:val="21"/>
              </w:rPr>
              <w:t>、配料工序</w:t>
            </w:r>
          </w:p>
        </w:tc>
        <w:tc>
          <w:tcPr>
            <w:tcW w:w="863" w:type="dxa"/>
            <w:tcBorders>
              <w:tl2br w:val="nil"/>
              <w:tr2bl w:val="nil"/>
            </w:tcBorders>
            <w:vAlign w:val="center"/>
          </w:tcPr>
          <w:p>
            <w:pPr>
              <w:tabs>
                <w:tab w:val="left" w:pos="1081"/>
              </w:tabs>
              <w:adjustRightInd w:val="0"/>
              <w:spacing w:line="300" w:lineRule="auto"/>
              <w:jc w:val="center"/>
              <w:rPr>
                <w:color w:val="auto"/>
                <w:szCs w:val="21"/>
              </w:rPr>
            </w:pPr>
            <w:r>
              <w:rPr>
                <w:rFonts w:hint="eastAsia"/>
                <w:color w:val="auto"/>
                <w:szCs w:val="21"/>
              </w:rPr>
              <w:t>颗粒物</w:t>
            </w:r>
          </w:p>
        </w:tc>
        <w:tc>
          <w:tcPr>
            <w:tcW w:w="1937" w:type="dxa"/>
            <w:tcBorders>
              <w:tl2br w:val="nil"/>
              <w:tr2bl w:val="nil"/>
            </w:tcBorders>
            <w:vAlign w:val="center"/>
          </w:tcPr>
          <w:p>
            <w:pPr>
              <w:widowControl/>
              <w:spacing w:line="300" w:lineRule="auto"/>
              <w:jc w:val="center"/>
              <w:textAlignment w:val="center"/>
              <w:rPr>
                <w:color w:val="auto"/>
                <w:szCs w:val="21"/>
              </w:rPr>
            </w:pPr>
            <w:r>
              <w:rPr>
                <w:color w:val="auto"/>
                <w:kern w:val="0"/>
                <w:szCs w:val="21"/>
              </w:rPr>
              <w:t>收集，</w:t>
            </w:r>
            <w:r>
              <w:rPr>
                <w:rFonts w:hint="eastAsia"/>
                <w:color w:val="auto"/>
                <w:kern w:val="0"/>
                <w:szCs w:val="21"/>
              </w:rPr>
              <w:t>经旋风除尘+冷凝+油烟净化器+催化燃烧</w:t>
            </w:r>
            <w:r>
              <w:rPr>
                <w:color w:val="auto"/>
                <w:kern w:val="0"/>
                <w:szCs w:val="21"/>
              </w:rPr>
              <w:t>处理后于2</w:t>
            </w:r>
            <w:r>
              <w:rPr>
                <w:rFonts w:hint="eastAsia"/>
                <w:color w:val="auto"/>
                <w:kern w:val="0"/>
                <w:szCs w:val="21"/>
              </w:rPr>
              <w:t>0m</w:t>
            </w:r>
            <w:r>
              <w:rPr>
                <w:color w:val="auto"/>
                <w:kern w:val="0"/>
                <w:szCs w:val="21"/>
              </w:rPr>
              <w:t>高的排气筒G1</w:t>
            </w:r>
            <w:r>
              <w:rPr>
                <w:rFonts w:hint="eastAsia"/>
                <w:color w:val="auto"/>
                <w:kern w:val="0"/>
                <w:szCs w:val="21"/>
              </w:rPr>
              <w:t>外排或旋风布袋除尘器处理后于15m高的排气筒G2</w:t>
            </w:r>
            <w:r>
              <w:rPr>
                <w:color w:val="auto"/>
                <w:kern w:val="0"/>
                <w:szCs w:val="21"/>
              </w:rPr>
              <w:t>外排</w:t>
            </w:r>
          </w:p>
        </w:tc>
        <w:tc>
          <w:tcPr>
            <w:tcW w:w="1683" w:type="dxa"/>
            <w:vMerge w:val="restart"/>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《广东省大气污染物排放限值》（DB44 27—2001）</w:t>
            </w:r>
          </w:p>
        </w:tc>
        <w:tc>
          <w:tcPr>
            <w:tcW w:w="1067" w:type="dxa"/>
            <w:tcBorders>
              <w:tl2br w:val="nil"/>
              <w:tr2bl w:val="nil"/>
            </w:tcBorders>
            <w:vAlign w:val="center"/>
          </w:tcPr>
          <w:p>
            <w:pPr>
              <w:adjustRightInd w:val="0"/>
              <w:snapToGrid w:val="0"/>
              <w:spacing w:line="300" w:lineRule="auto"/>
              <w:jc w:val="center"/>
              <w:rPr>
                <w:color w:val="auto"/>
                <w:szCs w:val="21"/>
              </w:rPr>
            </w:pPr>
            <w:r>
              <w:rPr>
                <w:rFonts w:hint="eastAsia"/>
                <w:color w:val="auto"/>
                <w:szCs w:val="21"/>
              </w:rPr>
              <w:t>1000</w:t>
            </w:r>
          </w:p>
        </w:tc>
        <w:tc>
          <w:tcPr>
            <w:tcW w:w="1093"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0.4585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427" w:type="dxa"/>
            <w:vMerge w:val="continue"/>
            <w:tcBorders>
              <w:tl2br w:val="nil"/>
              <w:tr2bl w:val="nil"/>
            </w:tcBorders>
            <w:vAlign w:val="center"/>
          </w:tcPr>
          <w:p>
            <w:pPr>
              <w:tabs>
                <w:tab w:val="left" w:pos="1081"/>
              </w:tabs>
              <w:adjustRightInd w:val="0"/>
              <w:spacing w:line="300" w:lineRule="auto"/>
              <w:jc w:val="center"/>
              <w:rPr>
                <w:color w:val="auto"/>
                <w:szCs w:val="21"/>
              </w:rPr>
            </w:pPr>
          </w:p>
        </w:tc>
        <w:tc>
          <w:tcPr>
            <w:tcW w:w="658" w:type="dxa"/>
            <w:vMerge w:val="continue"/>
            <w:tcBorders>
              <w:tl2br w:val="nil"/>
              <w:tr2bl w:val="nil"/>
            </w:tcBorders>
            <w:vAlign w:val="center"/>
          </w:tcPr>
          <w:p>
            <w:pPr>
              <w:widowControl/>
              <w:spacing w:line="300" w:lineRule="auto"/>
              <w:jc w:val="center"/>
              <w:textAlignment w:val="center"/>
              <w:rPr>
                <w:color w:val="auto"/>
                <w:szCs w:val="21"/>
              </w:rPr>
            </w:pPr>
          </w:p>
        </w:tc>
        <w:tc>
          <w:tcPr>
            <w:tcW w:w="1220" w:type="dxa"/>
            <w:vMerge w:val="restart"/>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配料工序、预浸工序、浸涂工序、覆膜工序、冷却工序</w:t>
            </w:r>
          </w:p>
        </w:tc>
        <w:tc>
          <w:tcPr>
            <w:tcW w:w="863" w:type="dxa"/>
            <w:tcBorders>
              <w:tl2br w:val="nil"/>
              <w:tr2bl w:val="nil"/>
            </w:tcBorders>
            <w:vAlign w:val="center"/>
          </w:tcPr>
          <w:p>
            <w:pPr>
              <w:tabs>
                <w:tab w:val="left" w:pos="1081"/>
              </w:tabs>
              <w:adjustRightInd w:val="0"/>
              <w:spacing w:line="300" w:lineRule="auto"/>
              <w:jc w:val="center"/>
              <w:rPr>
                <w:color w:val="auto"/>
                <w:szCs w:val="21"/>
              </w:rPr>
            </w:pPr>
            <w:r>
              <w:rPr>
                <w:bCs/>
                <w:color w:val="auto"/>
                <w:szCs w:val="21"/>
              </w:rPr>
              <w:t>苯并[a]芘</w:t>
            </w:r>
          </w:p>
        </w:tc>
        <w:tc>
          <w:tcPr>
            <w:tcW w:w="1937" w:type="dxa"/>
            <w:vMerge w:val="restart"/>
            <w:tcBorders>
              <w:tl2br w:val="nil"/>
              <w:tr2bl w:val="nil"/>
            </w:tcBorders>
            <w:vAlign w:val="center"/>
          </w:tcPr>
          <w:p>
            <w:pPr>
              <w:widowControl/>
              <w:spacing w:line="300" w:lineRule="auto"/>
              <w:jc w:val="center"/>
              <w:textAlignment w:val="center"/>
              <w:rPr>
                <w:color w:val="auto"/>
                <w:kern w:val="0"/>
                <w:szCs w:val="21"/>
              </w:rPr>
            </w:pPr>
            <w:r>
              <w:rPr>
                <w:rFonts w:hint="eastAsia"/>
                <w:color w:val="auto"/>
                <w:kern w:val="0"/>
                <w:szCs w:val="21"/>
              </w:rPr>
              <w:t>整室</w:t>
            </w:r>
            <w:r>
              <w:rPr>
                <w:color w:val="auto"/>
                <w:kern w:val="0"/>
                <w:szCs w:val="21"/>
              </w:rPr>
              <w:t>收集</w:t>
            </w:r>
            <w:r>
              <w:rPr>
                <w:rFonts w:hint="eastAsia"/>
                <w:color w:val="auto"/>
                <w:kern w:val="0"/>
                <w:szCs w:val="21"/>
              </w:rPr>
              <w:t>后经旋风除尘+冷凝+油烟净化器+催化燃烧</w:t>
            </w:r>
            <w:r>
              <w:rPr>
                <w:color w:val="auto"/>
                <w:kern w:val="0"/>
                <w:szCs w:val="21"/>
              </w:rPr>
              <w:t>处理后于2</w:t>
            </w:r>
            <w:r>
              <w:rPr>
                <w:rFonts w:hint="eastAsia"/>
                <w:color w:val="auto"/>
                <w:kern w:val="0"/>
                <w:szCs w:val="21"/>
              </w:rPr>
              <w:t>0m</w:t>
            </w:r>
            <w:r>
              <w:rPr>
                <w:color w:val="auto"/>
                <w:kern w:val="0"/>
                <w:szCs w:val="21"/>
              </w:rPr>
              <w:t>高的排气筒G1</w:t>
            </w:r>
            <w:r>
              <w:rPr>
                <w:rFonts w:hint="eastAsia"/>
                <w:color w:val="auto"/>
                <w:kern w:val="0"/>
                <w:szCs w:val="21"/>
              </w:rPr>
              <w:t>外排</w:t>
            </w:r>
          </w:p>
        </w:tc>
        <w:tc>
          <w:tcPr>
            <w:tcW w:w="1683" w:type="dxa"/>
            <w:vMerge w:val="continue"/>
            <w:tcBorders>
              <w:tl2br w:val="nil"/>
              <w:tr2bl w:val="nil"/>
            </w:tcBorders>
            <w:vAlign w:val="center"/>
          </w:tcPr>
          <w:p>
            <w:pPr>
              <w:widowControl/>
              <w:spacing w:line="300" w:lineRule="auto"/>
              <w:jc w:val="center"/>
              <w:textAlignment w:val="center"/>
              <w:rPr>
                <w:color w:val="auto"/>
                <w:szCs w:val="21"/>
              </w:rPr>
            </w:pPr>
          </w:p>
        </w:tc>
        <w:tc>
          <w:tcPr>
            <w:tcW w:w="1067" w:type="dxa"/>
            <w:tcBorders>
              <w:tl2br w:val="nil"/>
              <w:tr2bl w:val="nil"/>
            </w:tcBorders>
            <w:vAlign w:val="center"/>
          </w:tcPr>
          <w:p>
            <w:pPr>
              <w:adjustRightInd w:val="0"/>
              <w:snapToGrid w:val="0"/>
              <w:spacing w:line="300" w:lineRule="auto"/>
              <w:jc w:val="center"/>
              <w:rPr>
                <w:color w:val="auto"/>
                <w:szCs w:val="21"/>
              </w:rPr>
            </w:pPr>
            <w:r>
              <w:rPr>
                <w:rFonts w:hint="eastAsia"/>
                <w:color w:val="auto"/>
                <w:szCs w:val="21"/>
              </w:rPr>
              <w:t>0.008</w:t>
            </w:r>
          </w:p>
        </w:tc>
        <w:tc>
          <w:tcPr>
            <w:tcW w:w="1093"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0.000004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427" w:type="dxa"/>
            <w:vMerge w:val="continue"/>
            <w:tcBorders>
              <w:tl2br w:val="nil"/>
              <w:tr2bl w:val="nil"/>
            </w:tcBorders>
            <w:vAlign w:val="center"/>
          </w:tcPr>
          <w:p>
            <w:pPr>
              <w:tabs>
                <w:tab w:val="left" w:pos="1081"/>
              </w:tabs>
              <w:adjustRightInd w:val="0"/>
              <w:spacing w:line="300" w:lineRule="auto"/>
              <w:jc w:val="center"/>
              <w:rPr>
                <w:color w:val="auto"/>
                <w:szCs w:val="21"/>
              </w:rPr>
            </w:pPr>
          </w:p>
        </w:tc>
        <w:tc>
          <w:tcPr>
            <w:tcW w:w="658" w:type="dxa"/>
            <w:vMerge w:val="continue"/>
            <w:tcBorders>
              <w:tl2br w:val="nil"/>
              <w:tr2bl w:val="nil"/>
            </w:tcBorders>
            <w:vAlign w:val="center"/>
          </w:tcPr>
          <w:p>
            <w:pPr>
              <w:widowControl/>
              <w:spacing w:line="300" w:lineRule="auto"/>
              <w:jc w:val="center"/>
              <w:textAlignment w:val="center"/>
              <w:rPr>
                <w:color w:val="auto"/>
                <w:szCs w:val="21"/>
              </w:rPr>
            </w:pPr>
          </w:p>
        </w:tc>
        <w:tc>
          <w:tcPr>
            <w:tcW w:w="1220" w:type="dxa"/>
            <w:vMerge w:val="continue"/>
            <w:tcBorders>
              <w:tl2br w:val="nil"/>
              <w:tr2bl w:val="nil"/>
            </w:tcBorders>
            <w:vAlign w:val="center"/>
          </w:tcPr>
          <w:p>
            <w:pPr>
              <w:widowControl/>
              <w:spacing w:line="300" w:lineRule="auto"/>
              <w:jc w:val="center"/>
              <w:textAlignment w:val="center"/>
              <w:rPr>
                <w:color w:val="auto"/>
                <w:szCs w:val="21"/>
              </w:rPr>
            </w:pPr>
          </w:p>
        </w:tc>
        <w:tc>
          <w:tcPr>
            <w:tcW w:w="863" w:type="dxa"/>
            <w:tcBorders>
              <w:tl2br w:val="nil"/>
              <w:tr2bl w:val="nil"/>
            </w:tcBorders>
            <w:vAlign w:val="center"/>
          </w:tcPr>
          <w:p>
            <w:pPr>
              <w:tabs>
                <w:tab w:val="left" w:pos="1081"/>
              </w:tabs>
              <w:adjustRightInd w:val="0"/>
              <w:spacing w:line="300" w:lineRule="auto"/>
              <w:jc w:val="center"/>
              <w:rPr>
                <w:color w:val="auto"/>
                <w:szCs w:val="21"/>
              </w:rPr>
            </w:pPr>
            <w:r>
              <w:rPr>
                <w:color w:val="auto"/>
                <w:szCs w:val="21"/>
              </w:rPr>
              <w:t>非甲烷总烃</w:t>
            </w:r>
          </w:p>
        </w:tc>
        <w:tc>
          <w:tcPr>
            <w:tcW w:w="1937" w:type="dxa"/>
            <w:vMerge w:val="continue"/>
            <w:tcBorders>
              <w:tl2br w:val="nil"/>
              <w:tr2bl w:val="nil"/>
            </w:tcBorders>
            <w:vAlign w:val="center"/>
          </w:tcPr>
          <w:p>
            <w:pPr>
              <w:widowControl/>
              <w:spacing w:line="300" w:lineRule="auto"/>
              <w:jc w:val="center"/>
              <w:textAlignment w:val="center"/>
              <w:rPr>
                <w:color w:val="auto"/>
                <w:kern w:val="0"/>
                <w:szCs w:val="21"/>
              </w:rPr>
            </w:pPr>
          </w:p>
        </w:tc>
        <w:tc>
          <w:tcPr>
            <w:tcW w:w="1683" w:type="dxa"/>
            <w:vMerge w:val="continue"/>
            <w:tcBorders>
              <w:tl2br w:val="nil"/>
              <w:tr2bl w:val="nil"/>
            </w:tcBorders>
            <w:vAlign w:val="center"/>
          </w:tcPr>
          <w:p>
            <w:pPr>
              <w:widowControl/>
              <w:spacing w:line="300" w:lineRule="auto"/>
              <w:jc w:val="center"/>
              <w:textAlignment w:val="center"/>
              <w:rPr>
                <w:color w:val="auto"/>
                <w:szCs w:val="21"/>
              </w:rPr>
            </w:pPr>
          </w:p>
        </w:tc>
        <w:tc>
          <w:tcPr>
            <w:tcW w:w="1067" w:type="dxa"/>
            <w:tcBorders>
              <w:tl2br w:val="nil"/>
              <w:tr2bl w:val="nil"/>
            </w:tcBorders>
            <w:vAlign w:val="center"/>
          </w:tcPr>
          <w:p>
            <w:pPr>
              <w:adjustRightInd w:val="0"/>
              <w:snapToGrid w:val="0"/>
              <w:spacing w:line="300" w:lineRule="auto"/>
              <w:jc w:val="center"/>
              <w:rPr>
                <w:color w:val="auto"/>
                <w:szCs w:val="21"/>
              </w:rPr>
            </w:pPr>
            <w:r>
              <w:rPr>
                <w:rFonts w:hint="eastAsia"/>
                <w:color w:val="auto"/>
                <w:szCs w:val="21"/>
              </w:rPr>
              <w:t>4000</w:t>
            </w:r>
          </w:p>
        </w:tc>
        <w:tc>
          <w:tcPr>
            <w:tcW w:w="1093"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0.0677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68" w:type="dxa"/>
            <w:gridSpan w:val="4"/>
            <w:vMerge w:val="restart"/>
            <w:tcBorders>
              <w:tl2br w:val="nil"/>
              <w:tr2bl w:val="nil"/>
            </w:tcBorders>
            <w:vAlign w:val="center"/>
          </w:tcPr>
          <w:p>
            <w:pPr>
              <w:tabs>
                <w:tab w:val="left" w:pos="1081"/>
              </w:tabs>
              <w:adjustRightInd w:val="0"/>
              <w:spacing w:line="300" w:lineRule="auto"/>
              <w:jc w:val="center"/>
              <w:rPr>
                <w:color w:val="auto"/>
                <w:szCs w:val="21"/>
              </w:rPr>
            </w:pPr>
            <w:r>
              <w:rPr>
                <w:color w:val="auto"/>
                <w:szCs w:val="21"/>
              </w:rPr>
              <w:t>无组织排放总计</w:t>
            </w:r>
          </w:p>
        </w:tc>
        <w:tc>
          <w:tcPr>
            <w:tcW w:w="4687" w:type="dxa"/>
            <w:gridSpan w:val="3"/>
            <w:tcBorders>
              <w:tl2br w:val="nil"/>
              <w:tr2bl w:val="nil"/>
            </w:tcBorders>
            <w:vAlign w:val="center"/>
          </w:tcPr>
          <w:p>
            <w:pPr>
              <w:tabs>
                <w:tab w:val="left" w:pos="1081"/>
              </w:tabs>
              <w:adjustRightInd w:val="0"/>
              <w:spacing w:line="300" w:lineRule="auto"/>
              <w:jc w:val="center"/>
              <w:rPr>
                <w:color w:val="auto"/>
                <w:kern w:val="0"/>
                <w:szCs w:val="21"/>
                <w:lang w:bidi="ar"/>
              </w:rPr>
            </w:pPr>
            <w:r>
              <w:rPr>
                <w:rFonts w:hint="eastAsia"/>
                <w:color w:val="auto"/>
                <w:szCs w:val="21"/>
              </w:rPr>
              <w:t>颗粒物</w:t>
            </w:r>
          </w:p>
        </w:tc>
        <w:tc>
          <w:tcPr>
            <w:tcW w:w="1093" w:type="dxa"/>
            <w:tcBorders>
              <w:tl2br w:val="nil"/>
              <w:tr2bl w:val="nil"/>
            </w:tcBorders>
            <w:vAlign w:val="center"/>
          </w:tcPr>
          <w:p>
            <w:pPr>
              <w:widowControl/>
              <w:spacing w:line="300" w:lineRule="auto"/>
              <w:jc w:val="center"/>
              <w:textAlignment w:val="center"/>
              <w:rPr>
                <w:color w:val="auto"/>
                <w:kern w:val="0"/>
                <w:szCs w:val="21"/>
                <w:lang w:bidi="ar"/>
              </w:rPr>
            </w:pPr>
            <w:r>
              <w:rPr>
                <w:rFonts w:hint="eastAsia"/>
                <w:color w:val="auto"/>
                <w:kern w:val="0"/>
                <w:szCs w:val="21"/>
                <w:lang w:bidi="ar"/>
              </w:rPr>
              <w:t>0.4585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68" w:type="dxa"/>
            <w:gridSpan w:val="4"/>
            <w:vMerge w:val="continue"/>
            <w:tcBorders>
              <w:tl2br w:val="nil"/>
              <w:tr2bl w:val="nil"/>
            </w:tcBorders>
            <w:vAlign w:val="center"/>
          </w:tcPr>
          <w:p>
            <w:pPr>
              <w:tabs>
                <w:tab w:val="left" w:pos="1081"/>
              </w:tabs>
              <w:adjustRightInd w:val="0"/>
              <w:spacing w:line="300" w:lineRule="auto"/>
              <w:jc w:val="center"/>
              <w:rPr>
                <w:color w:val="auto"/>
                <w:szCs w:val="21"/>
              </w:rPr>
            </w:pPr>
          </w:p>
        </w:tc>
        <w:tc>
          <w:tcPr>
            <w:tcW w:w="4687" w:type="dxa"/>
            <w:gridSpan w:val="3"/>
            <w:tcBorders>
              <w:tl2br w:val="nil"/>
              <w:tr2bl w:val="nil"/>
            </w:tcBorders>
            <w:vAlign w:val="center"/>
          </w:tcPr>
          <w:p>
            <w:pPr>
              <w:tabs>
                <w:tab w:val="left" w:pos="1081"/>
              </w:tabs>
              <w:adjustRightInd w:val="0"/>
              <w:spacing w:line="300" w:lineRule="auto"/>
              <w:jc w:val="center"/>
              <w:rPr>
                <w:color w:val="auto"/>
                <w:szCs w:val="21"/>
              </w:rPr>
            </w:pPr>
            <w:r>
              <w:rPr>
                <w:bCs/>
                <w:color w:val="auto"/>
                <w:szCs w:val="21"/>
              </w:rPr>
              <w:t>苯并[a]芘</w:t>
            </w:r>
          </w:p>
        </w:tc>
        <w:tc>
          <w:tcPr>
            <w:tcW w:w="1093"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0.000004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68" w:type="dxa"/>
            <w:gridSpan w:val="4"/>
            <w:vMerge w:val="continue"/>
            <w:tcBorders>
              <w:tl2br w:val="nil"/>
              <w:tr2bl w:val="nil"/>
            </w:tcBorders>
            <w:vAlign w:val="center"/>
          </w:tcPr>
          <w:p>
            <w:pPr>
              <w:tabs>
                <w:tab w:val="left" w:pos="1081"/>
              </w:tabs>
              <w:adjustRightInd w:val="0"/>
              <w:spacing w:line="300" w:lineRule="auto"/>
              <w:jc w:val="center"/>
              <w:rPr>
                <w:color w:val="auto"/>
                <w:szCs w:val="21"/>
              </w:rPr>
            </w:pPr>
          </w:p>
        </w:tc>
        <w:tc>
          <w:tcPr>
            <w:tcW w:w="4687" w:type="dxa"/>
            <w:gridSpan w:val="3"/>
            <w:tcBorders>
              <w:tl2br w:val="nil"/>
              <w:tr2bl w:val="nil"/>
            </w:tcBorders>
            <w:vAlign w:val="center"/>
          </w:tcPr>
          <w:p>
            <w:pPr>
              <w:tabs>
                <w:tab w:val="left" w:pos="1081"/>
              </w:tabs>
              <w:adjustRightInd w:val="0"/>
              <w:spacing w:line="300" w:lineRule="auto"/>
              <w:jc w:val="center"/>
              <w:rPr>
                <w:color w:val="auto"/>
                <w:szCs w:val="21"/>
              </w:rPr>
            </w:pPr>
            <w:r>
              <w:rPr>
                <w:color w:val="auto"/>
                <w:szCs w:val="21"/>
              </w:rPr>
              <w:t>非甲烷总烃</w:t>
            </w:r>
          </w:p>
        </w:tc>
        <w:tc>
          <w:tcPr>
            <w:tcW w:w="1093"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0.0677</w:t>
            </w:r>
          </w:p>
        </w:tc>
      </w:tr>
    </w:tbl>
    <w:p>
      <w:pPr>
        <w:tabs>
          <w:tab w:val="left" w:pos="1081"/>
        </w:tabs>
        <w:adjustRightInd w:val="0"/>
        <w:spacing w:line="480" w:lineRule="exact"/>
        <w:ind w:firstLine="480" w:firstLineChars="200"/>
        <w:rPr>
          <w:color w:val="auto"/>
          <w:sz w:val="24"/>
        </w:rPr>
      </w:pPr>
      <w:r>
        <w:rPr>
          <w:color w:val="auto"/>
          <w:sz w:val="24"/>
        </w:rPr>
        <w:t>3、项目大气污染物年排放量核算</w:t>
      </w:r>
    </w:p>
    <w:p>
      <w:pPr>
        <w:tabs>
          <w:tab w:val="left" w:pos="1081"/>
        </w:tabs>
        <w:adjustRightInd w:val="0"/>
        <w:spacing w:line="480" w:lineRule="exact"/>
        <w:jc w:val="center"/>
        <w:rPr>
          <w:b/>
          <w:color w:val="auto"/>
          <w:sz w:val="24"/>
        </w:rPr>
      </w:pPr>
    </w:p>
    <w:p>
      <w:pPr>
        <w:tabs>
          <w:tab w:val="left" w:pos="1081"/>
        </w:tabs>
        <w:adjustRightInd w:val="0"/>
        <w:spacing w:line="360" w:lineRule="auto"/>
        <w:jc w:val="center"/>
        <w:rPr>
          <w:b/>
          <w:color w:val="auto"/>
          <w:spacing w:val="-1"/>
          <w:kern w:val="30"/>
          <w:position w:val="-1"/>
          <w:szCs w:val="21"/>
        </w:rPr>
      </w:pPr>
      <w:r>
        <w:rPr>
          <w:b/>
          <w:color w:val="auto"/>
          <w:szCs w:val="21"/>
        </w:rPr>
        <w:t>表</w:t>
      </w:r>
      <w:r>
        <w:rPr>
          <w:rFonts w:hint="eastAsia"/>
          <w:b/>
          <w:color w:val="auto"/>
          <w:szCs w:val="21"/>
        </w:rPr>
        <w:t>6</w:t>
      </w:r>
      <w:r>
        <w:rPr>
          <w:b/>
          <w:color w:val="auto"/>
          <w:szCs w:val="21"/>
        </w:rPr>
        <w:t>.4-1</w:t>
      </w:r>
      <w:r>
        <w:rPr>
          <w:rFonts w:hint="eastAsia"/>
          <w:b/>
          <w:color w:val="auto"/>
          <w:szCs w:val="21"/>
        </w:rPr>
        <w:t xml:space="preserve">4  </w:t>
      </w:r>
      <w:r>
        <w:rPr>
          <w:b/>
          <w:color w:val="auto"/>
          <w:spacing w:val="-1"/>
          <w:kern w:val="30"/>
          <w:position w:val="-1"/>
          <w:szCs w:val="21"/>
        </w:rPr>
        <w:t>大气污染物年排放量核算表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9"/>
        <w:gridCol w:w="3106"/>
        <w:gridCol w:w="3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Borders>
              <w:tl2br w:val="nil"/>
              <w:tr2bl w:val="nil"/>
            </w:tcBorders>
            <w:vAlign w:val="center"/>
          </w:tcPr>
          <w:p>
            <w:pPr>
              <w:pStyle w:val="52"/>
              <w:spacing w:line="360" w:lineRule="auto"/>
              <w:jc w:val="center"/>
              <w:rPr>
                <w:color w:val="auto"/>
                <w:sz w:val="21"/>
                <w:szCs w:val="21"/>
              </w:rPr>
            </w:pPr>
            <w:r>
              <w:rPr>
                <w:color w:val="auto"/>
                <w:sz w:val="21"/>
                <w:szCs w:val="21"/>
              </w:rPr>
              <w:t>序号</w:t>
            </w:r>
          </w:p>
        </w:tc>
        <w:tc>
          <w:tcPr>
            <w:tcW w:w="3106" w:type="dxa"/>
            <w:tcBorders>
              <w:tl2br w:val="nil"/>
              <w:tr2bl w:val="nil"/>
            </w:tcBorders>
            <w:vAlign w:val="center"/>
          </w:tcPr>
          <w:p>
            <w:pPr>
              <w:tabs>
                <w:tab w:val="left" w:pos="1081"/>
              </w:tabs>
              <w:adjustRightInd w:val="0"/>
              <w:spacing w:line="360" w:lineRule="auto"/>
              <w:jc w:val="center"/>
              <w:rPr>
                <w:color w:val="auto"/>
                <w:szCs w:val="21"/>
              </w:rPr>
            </w:pPr>
            <w:r>
              <w:rPr>
                <w:color w:val="auto"/>
                <w:szCs w:val="21"/>
              </w:rPr>
              <w:t>污染物</w:t>
            </w:r>
          </w:p>
        </w:tc>
        <w:tc>
          <w:tcPr>
            <w:tcW w:w="3823" w:type="dxa"/>
            <w:tcBorders>
              <w:tl2br w:val="nil"/>
              <w:tr2bl w:val="nil"/>
            </w:tcBorders>
            <w:vAlign w:val="center"/>
          </w:tcPr>
          <w:p>
            <w:pPr>
              <w:pStyle w:val="52"/>
              <w:spacing w:line="360" w:lineRule="auto"/>
              <w:jc w:val="center"/>
              <w:rPr>
                <w:color w:val="auto"/>
                <w:sz w:val="21"/>
                <w:szCs w:val="21"/>
              </w:rPr>
            </w:pPr>
            <w:r>
              <w:rPr>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Borders>
              <w:tl2br w:val="nil"/>
              <w:tr2bl w:val="nil"/>
            </w:tcBorders>
            <w:vAlign w:val="center"/>
          </w:tcPr>
          <w:p>
            <w:pPr>
              <w:pStyle w:val="52"/>
              <w:spacing w:line="360" w:lineRule="auto"/>
              <w:jc w:val="center"/>
              <w:rPr>
                <w:color w:val="auto"/>
                <w:sz w:val="21"/>
                <w:szCs w:val="21"/>
              </w:rPr>
            </w:pPr>
            <w:r>
              <w:rPr>
                <w:color w:val="auto"/>
                <w:sz w:val="21"/>
                <w:szCs w:val="21"/>
              </w:rPr>
              <w:t>1</w:t>
            </w:r>
          </w:p>
        </w:tc>
        <w:tc>
          <w:tcPr>
            <w:tcW w:w="3106" w:type="dxa"/>
            <w:tcBorders>
              <w:tl2br w:val="nil"/>
              <w:tr2bl w:val="nil"/>
            </w:tcBorders>
            <w:vAlign w:val="center"/>
          </w:tcPr>
          <w:p>
            <w:pPr>
              <w:tabs>
                <w:tab w:val="left" w:pos="1081"/>
              </w:tabs>
              <w:adjustRightInd w:val="0"/>
              <w:jc w:val="center"/>
              <w:rPr>
                <w:color w:val="auto"/>
                <w:szCs w:val="21"/>
              </w:rPr>
            </w:pPr>
            <w:r>
              <w:rPr>
                <w:rFonts w:hint="eastAsia"/>
                <w:color w:val="auto"/>
                <w:szCs w:val="21"/>
              </w:rPr>
              <w:t>颗粒物</w:t>
            </w:r>
          </w:p>
        </w:tc>
        <w:tc>
          <w:tcPr>
            <w:tcW w:w="3823" w:type="dxa"/>
            <w:tcBorders>
              <w:tl2br w:val="nil"/>
              <w:tr2bl w:val="nil"/>
            </w:tcBorders>
            <w:vAlign w:val="center"/>
          </w:tcPr>
          <w:p>
            <w:pPr>
              <w:pStyle w:val="52"/>
              <w:spacing w:line="360" w:lineRule="auto"/>
              <w:ind w:firstLine="0"/>
              <w:jc w:val="center"/>
              <w:rPr>
                <w:color w:val="auto"/>
                <w:kern w:val="2"/>
                <w:sz w:val="21"/>
                <w:szCs w:val="21"/>
              </w:rPr>
            </w:pPr>
            <w:r>
              <w:rPr>
                <w:rFonts w:hint="eastAsia"/>
                <w:color w:val="auto"/>
                <w:kern w:val="2"/>
                <w:sz w:val="21"/>
                <w:szCs w:val="21"/>
              </w:rPr>
              <w:t>0.7891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Borders>
              <w:tl2br w:val="nil"/>
              <w:tr2bl w:val="nil"/>
            </w:tcBorders>
            <w:vAlign w:val="center"/>
          </w:tcPr>
          <w:p>
            <w:pPr>
              <w:pStyle w:val="52"/>
              <w:spacing w:line="360" w:lineRule="auto"/>
              <w:jc w:val="center"/>
              <w:rPr>
                <w:color w:val="auto"/>
                <w:sz w:val="21"/>
                <w:szCs w:val="21"/>
              </w:rPr>
            </w:pPr>
            <w:r>
              <w:rPr>
                <w:rFonts w:hint="eastAsia"/>
                <w:color w:val="auto"/>
                <w:sz w:val="21"/>
                <w:szCs w:val="21"/>
              </w:rPr>
              <w:t>2</w:t>
            </w:r>
          </w:p>
        </w:tc>
        <w:tc>
          <w:tcPr>
            <w:tcW w:w="3106" w:type="dxa"/>
            <w:tcBorders>
              <w:tl2br w:val="nil"/>
              <w:tr2bl w:val="nil"/>
            </w:tcBorders>
            <w:vAlign w:val="center"/>
          </w:tcPr>
          <w:p>
            <w:pPr>
              <w:tabs>
                <w:tab w:val="left" w:pos="1081"/>
              </w:tabs>
              <w:adjustRightInd w:val="0"/>
              <w:jc w:val="center"/>
              <w:rPr>
                <w:color w:val="auto"/>
                <w:szCs w:val="21"/>
              </w:rPr>
            </w:pPr>
            <w:r>
              <w:rPr>
                <w:bCs/>
                <w:color w:val="auto"/>
                <w:szCs w:val="21"/>
              </w:rPr>
              <w:t>苯并[a]芘</w:t>
            </w:r>
          </w:p>
        </w:tc>
        <w:tc>
          <w:tcPr>
            <w:tcW w:w="3823" w:type="dxa"/>
            <w:tcBorders>
              <w:tl2br w:val="nil"/>
              <w:tr2bl w:val="nil"/>
            </w:tcBorders>
            <w:vAlign w:val="center"/>
          </w:tcPr>
          <w:p>
            <w:pPr>
              <w:pStyle w:val="52"/>
              <w:spacing w:line="360" w:lineRule="auto"/>
              <w:ind w:firstLine="0"/>
              <w:jc w:val="center"/>
              <w:rPr>
                <w:color w:val="auto"/>
                <w:kern w:val="2"/>
                <w:sz w:val="21"/>
                <w:szCs w:val="21"/>
              </w:rPr>
            </w:pPr>
            <w:r>
              <w:rPr>
                <w:rFonts w:hint="eastAsia"/>
                <w:color w:val="auto"/>
                <w:kern w:val="2"/>
                <w:sz w:val="21"/>
                <w:szCs w:val="21"/>
              </w:rPr>
              <w:t>0.000044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Borders>
              <w:tl2br w:val="nil"/>
              <w:tr2bl w:val="nil"/>
            </w:tcBorders>
            <w:vAlign w:val="center"/>
          </w:tcPr>
          <w:p>
            <w:pPr>
              <w:pStyle w:val="52"/>
              <w:spacing w:line="360" w:lineRule="auto"/>
              <w:jc w:val="center"/>
              <w:rPr>
                <w:color w:val="auto"/>
                <w:sz w:val="21"/>
                <w:szCs w:val="21"/>
              </w:rPr>
            </w:pPr>
            <w:r>
              <w:rPr>
                <w:rFonts w:hint="eastAsia"/>
                <w:color w:val="auto"/>
                <w:sz w:val="21"/>
                <w:szCs w:val="21"/>
              </w:rPr>
              <w:t>3</w:t>
            </w:r>
          </w:p>
        </w:tc>
        <w:tc>
          <w:tcPr>
            <w:tcW w:w="3106" w:type="dxa"/>
            <w:tcBorders>
              <w:tl2br w:val="nil"/>
              <w:tr2bl w:val="nil"/>
            </w:tcBorders>
            <w:vAlign w:val="center"/>
          </w:tcPr>
          <w:p>
            <w:pPr>
              <w:tabs>
                <w:tab w:val="left" w:pos="1081"/>
              </w:tabs>
              <w:adjustRightInd w:val="0"/>
              <w:jc w:val="center"/>
              <w:rPr>
                <w:color w:val="auto"/>
                <w:szCs w:val="21"/>
              </w:rPr>
            </w:pPr>
            <w:r>
              <w:rPr>
                <w:color w:val="auto"/>
                <w:szCs w:val="21"/>
              </w:rPr>
              <w:t>非甲烷总烃</w:t>
            </w:r>
          </w:p>
        </w:tc>
        <w:tc>
          <w:tcPr>
            <w:tcW w:w="3823" w:type="dxa"/>
            <w:tcBorders>
              <w:tl2br w:val="nil"/>
              <w:tr2bl w:val="nil"/>
            </w:tcBorders>
            <w:vAlign w:val="center"/>
          </w:tcPr>
          <w:p>
            <w:pPr>
              <w:pStyle w:val="52"/>
              <w:spacing w:line="360" w:lineRule="auto"/>
              <w:ind w:firstLine="0"/>
              <w:jc w:val="center"/>
              <w:rPr>
                <w:color w:val="auto"/>
                <w:kern w:val="2"/>
                <w:sz w:val="21"/>
                <w:szCs w:val="21"/>
              </w:rPr>
            </w:pPr>
            <w:r>
              <w:rPr>
                <w:rFonts w:hint="eastAsia"/>
                <w:color w:val="auto"/>
                <w:kern w:val="2"/>
                <w:sz w:val="21"/>
                <w:szCs w:val="21"/>
              </w:rPr>
              <w:t>0.2914</w:t>
            </w:r>
          </w:p>
        </w:tc>
      </w:tr>
    </w:tbl>
    <w:p>
      <w:pPr>
        <w:tabs>
          <w:tab w:val="left" w:pos="1081"/>
        </w:tabs>
        <w:adjustRightInd w:val="0"/>
        <w:spacing w:line="480" w:lineRule="exact"/>
        <w:ind w:firstLine="480" w:firstLineChars="200"/>
        <w:rPr>
          <w:color w:val="auto"/>
          <w:sz w:val="24"/>
        </w:rPr>
      </w:pPr>
      <w:r>
        <w:rPr>
          <w:color w:val="auto"/>
          <w:sz w:val="24"/>
        </w:rPr>
        <w:t>4、非正常排放核算</w:t>
      </w:r>
    </w:p>
    <w:p>
      <w:pPr>
        <w:tabs>
          <w:tab w:val="left" w:pos="1081"/>
        </w:tabs>
        <w:adjustRightInd w:val="0"/>
        <w:spacing w:line="480" w:lineRule="exact"/>
        <w:jc w:val="center"/>
        <w:rPr>
          <w:b/>
          <w:color w:val="auto"/>
          <w:spacing w:val="-1"/>
          <w:kern w:val="30"/>
          <w:position w:val="-1"/>
          <w:sz w:val="24"/>
        </w:rPr>
      </w:pPr>
      <w:r>
        <w:rPr>
          <w:b/>
          <w:color w:val="auto"/>
          <w:szCs w:val="21"/>
        </w:rPr>
        <w:t>表</w:t>
      </w:r>
      <w:r>
        <w:rPr>
          <w:rFonts w:hint="eastAsia"/>
          <w:b/>
          <w:color w:val="auto"/>
          <w:szCs w:val="21"/>
        </w:rPr>
        <w:t xml:space="preserve">6.4-15  </w:t>
      </w:r>
      <w:r>
        <w:rPr>
          <w:rFonts w:hint="eastAsia"/>
          <w:b/>
          <w:color w:val="auto"/>
          <w:spacing w:val="-1"/>
          <w:kern w:val="30"/>
          <w:position w:val="-1"/>
          <w:szCs w:val="21"/>
        </w:rPr>
        <w:t>污染源非正常排</w:t>
      </w:r>
      <w:r>
        <w:rPr>
          <w:b/>
          <w:color w:val="auto"/>
          <w:spacing w:val="-1"/>
          <w:kern w:val="30"/>
          <w:position w:val="-1"/>
          <w:szCs w:val="21"/>
        </w:rPr>
        <w:t>放量核算表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803"/>
        <w:gridCol w:w="1568"/>
        <w:gridCol w:w="852"/>
        <w:gridCol w:w="1247"/>
        <w:gridCol w:w="951"/>
        <w:gridCol w:w="840"/>
        <w:gridCol w:w="2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序号</w:t>
            </w:r>
          </w:p>
        </w:tc>
        <w:tc>
          <w:tcPr>
            <w:tcW w:w="803"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污染源</w:t>
            </w:r>
          </w:p>
        </w:tc>
        <w:tc>
          <w:tcPr>
            <w:tcW w:w="1568"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非正常排放原因</w:t>
            </w:r>
          </w:p>
        </w:tc>
        <w:tc>
          <w:tcPr>
            <w:tcW w:w="852"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污染物</w:t>
            </w:r>
          </w:p>
        </w:tc>
        <w:tc>
          <w:tcPr>
            <w:tcW w:w="1247"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非正常排放速率/（kg/h）</w:t>
            </w:r>
          </w:p>
        </w:tc>
        <w:tc>
          <w:tcPr>
            <w:tcW w:w="951"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单次持续时间/h</w:t>
            </w:r>
          </w:p>
        </w:tc>
        <w:tc>
          <w:tcPr>
            <w:tcW w:w="84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年发生频次/次</w:t>
            </w:r>
          </w:p>
        </w:tc>
        <w:tc>
          <w:tcPr>
            <w:tcW w:w="2017"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67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803" w:type="dxa"/>
            <w:vMerge w:val="restart"/>
            <w:tcBorders>
              <w:tl2br w:val="nil"/>
              <w:tr2bl w:val="nil"/>
            </w:tcBorders>
            <w:vAlign w:val="center"/>
          </w:tcPr>
          <w:p>
            <w:pPr>
              <w:pStyle w:val="52"/>
              <w:spacing w:line="300" w:lineRule="auto"/>
              <w:ind w:firstLine="0"/>
              <w:jc w:val="center"/>
              <w:rPr>
                <w:color w:val="auto"/>
                <w:sz w:val="21"/>
                <w:szCs w:val="21"/>
              </w:rPr>
            </w:pPr>
            <w:r>
              <w:rPr>
                <w:color w:val="auto"/>
                <w:sz w:val="21"/>
                <w:szCs w:val="21"/>
              </w:rPr>
              <w:t>排气筒G1</w:t>
            </w:r>
          </w:p>
        </w:tc>
        <w:tc>
          <w:tcPr>
            <w:tcW w:w="1568" w:type="dxa"/>
            <w:vMerge w:val="restart"/>
            <w:tcBorders>
              <w:tl2br w:val="nil"/>
              <w:tr2bl w:val="nil"/>
            </w:tcBorders>
            <w:vAlign w:val="center"/>
          </w:tcPr>
          <w:p>
            <w:pPr>
              <w:pStyle w:val="52"/>
              <w:spacing w:line="300" w:lineRule="auto"/>
              <w:ind w:firstLine="0"/>
              <w:jc w:val="center"/>
              <w:rPr>
                <w:color w:val="auto"/>
                <w:sz w:val="21"/>
                <w:szCs w:val="21"/>
              </w:rPr>
            </w:pPr>
            <w:r>
              <w:rPr>
                <w:color w:val="auto"/>
                <w:sz w:val="21"/>
                <w:szCs w:val="21"/>
              </w:rPr>
              <w:t>废气收集净化设备发生故障，废气未被处理直接排放</w:t>
            </w:r>
          </w:p>
        </w:tc>
        <w:tc>
          <w:tcPr>
            <w:tcW w:w="852" w:type="dxa"/>
            <w:tcBorders>
              <w:tl2br w:val="nil"/>
              <w:tr2bl w:val="nil"/>
            </w:tcBorders>
            <w:vAlign w:val="center"/>
          </w:tcPr>
          <w:p>
            <w:pPr>
              <w:tabs>
                <w:tab w:val="left" w:pos="1081"/>
              </w:tabs>
              <w:adjustRightInd w:val="0"/>
              <w:spacing w:line="300" w:lineRule="auto"/>
              <w:jc w:val="center"/>
              <w:rPr>
                <w:color w:val="auto"/>
                <w:szCs w:val="21"/>
              </w:rPr>
            </w:pPr>
            <w:r>
              <w:rPr>
                <w:rFonts w:hint="eastAsia"/>
                <w:color w:val="auto"/>
                <w:szCs w:val="21"/>
              </w:rPr>
              <w:t>颗粒物</w:t>
            </w:r>
          </w:p>
        </w:tc>
        <w:tc>
          <w:tcPr>
            <w:tcW w:w="1247"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0.5962</w:t>
            </w:r>
          </w:p>
        </w:tc>
        <w:tc>
          <w:tcPr>
            <w:tcW w:w="951"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84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2017" w:type="dxa"/>
            <w:vMerge w:val="restart"/>
            <w:tcBorders>
              <w:tl2br w:val="nil"/>
              <w:tr2bl w:val="nil"/>
            </w:tcBorders>
            <w:vAlign w:val="center"/>
          </w:tcPr>
          <w:p>
            <w:pPr>
              <w:pStyle w:val="52"/>
              <w:spacing w:line="300" w:lineRule="auto"/>
              <w:ind w:firstLine="0"/>
              <w:jc w:val="center"/>
              <w:rPr>
                <w:color w:val="auto"/>
                <w:sz w:val="21"/>
                <w:szCs w:val="21"/>
              </w:rPr>
            </w:pPr>
            <w:r>
              <w:rPr>
                <w:color w:val="auto"/>
                <w:sz w:val="21"/>
                <w:szCs w:val="21"/>
              </w:rPr>
              <w:t>立即停止作业，杜绝废气继续产生，避免附近大气环境质量变化，并立刻对废气处理设施进行维修，直至废气处理系统有效运行时，方可恢复生产。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670"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2</w:t>
            </w:r>
          </w:p>
        </w:tc>
        <w:tc>
          <w:tcPr>
            <w:tcW w:w="803" w:type="dxa"/>
            <w:vMerge w:val="continue"/>
            <w:tcBorders>
              <w:tl2br w:val="nil"/>
              <w:tr2bl w:val="nil"/>
            </w:tcBorders>
            <w:vAlign w:val="center"/>
          </w:tcPr>
          <w:p>
            <w:pPr>
              <w:pStyle w:val="52"/>
              <w:spacing w:line="300" w:lineRule="auto"/>
              <w:ind w:firstLine="0"/>
              <w:jc w:val="center"/>
              <w:rPr>
                <w:color w:val="auto"/>
                <w:sz w:val="21"/>
                <w:szCs w:val="21"/>
              </w:rPr>
            </w:pPr>
          </w:p>
        </w:tc>
        <w:tc>
          <w:tcPr>
            <w:tcW w:w="1568" w:type="dxa"/>
            <w:vMerge w:val="continue"/>
            <w:tcBorders>
              <w:tl2br w:val="nil"/>
              <w:tr2bl w:val="nil"/>
            </w:tcBorders>
            <w:vAlign w:val="center"/>
          </w:tcPr>
          <w:p>
            <w:pPr>
              <w:pStyle w:val="52"/>
              <w:spacing w:line="300" w:lineRule="auto"/>
              <w:ind w:firstLine="0"/>
              <w:jc w:val="center"/>
              <w:rPr>
                <w:color w:val="auto"/>
                <w:sz w:val="21"/>
                <w:szCs w:val="21"/>
              </w:rPr>
            </w:pPr>
          </w:p>
        </w:tc>
        <w:tc>
          <w:tcPr>
            <w:tcW w:w="852" w:type="dxa"/>
            <w:tcBorders>
              <w:tl2br w:val="nil"/>
              <w:tr2bl w:val="nil"/>
            </w:tcBorders>
            <w:vAlign w:val="center"/>
          </w:tcPr>
          <w:p>
            <w:pPr>
              <w:tabs>
                <w:tab w:val="left" w:pos="1081"/>
              </w:tabs>
              <w:adjustRightInd w:val="0"/>
              <w:spacing w:line="300" w:lineRule="auto"/>
              <w:jc w:val="center"/>
              <w:rPr>
                <w:bCs/>
                <w:color w:val="auto"/>
                <w:szCs w:val="21"/>
              </w:rPr>
            </w:pPr>
            <w:r>
              <w:rPr>
                <w:bCs/>
                <w:color w:val="auto"/>
                <w:szCs w:val="21"/>
              </w:rPr>
              <w:t>苯并</w:t>
            </w:r>
          </w:p>
          <w:p>
            <w:pPr>
              <w:tabs>
                <w:tab w:val="left" w:pos="1081"/>
              </w:tabs>
              <w:adjustRightInd w:val="0"/>
              <w:spacing w:line="300" w:lineRule="auto"/>
              <w:jc w:val="center"/>
              <w:rPr>
                <w:color w:val="auto"/>
                <w:szCs w:val="21"/>
              </w:rPr>
            </w:pPr>
            <w:r>
              <w:rPr>
                <w:bCs/>
                <w:color w:val="auto"/>
                <w:szCs w:val="21"/>
              </w:rPr>
              <w:t>[a]芘</w:t>
            </w:r>
          </w:p>
        </w:tc>
        <w:tc>
          <w:tcPr>
            <w:tcW w:w="1247"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0.00005</w:t>
            </w:r>
          </w:p>
        </w:tc>
        <w:tc>
          <w:tcPr>
            <w:tcW w:w="951"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84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2017" w:type="dxa"/>
            <w:vMerge w:val="continue"/>
            <w:tcBorders>
              <w:tl2br w:val="nil"/>
              <w:tr2bl w:val="nil"/>
            </w:tcBorders>
            <w:vAlign w:val="center"/>
          </w:tcPr>
          <w:p>
            <w:pPr>
              <w:pStyle w:val="52"/>
              <w:spacing w:line="300" w:lineRule="auto"/>
              <w:ind w:firstLine="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670"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3</w:t>
            </w:r>
          </w:p>
        </w:tc>
        <w:tc>
          <w:tcPr>
            <w:tcW w:w="803" w:type="dxa"/>
            <w:vMerge w:val="continue"/>
            <w:tcBorders>
              <w:tl2br w:val="nil"/>
              <w:tr2bl w:val="nil"/>
            </w:tcBorders>
            <w:vAlign w:val="center"/>
          </w:tcPr>
          <w:p>
            <w:pPr>
              <w:pStyle w:val="52"/>
              <w:spacing w:line="300" w:lineRule="auto"/>
              <w:ind w:firstLine="0"/>
              <w:jc w:val="center"/>
              <w:rPr>
                <w:color w:val="auto"/>
                <w:sz w:val="21"/>
                <w:szCs w:val="21"/>
              </w:rPr>
            </w:pPr>
          </w:p>
        </w:tc>
        <w:tc>
          <w:tcPr>
            <w:tcW w:w="1568" w:type="dxa"/>
            <w:vMerge w:val="continue"/>
            <w:tcBorders>
              <w:tl2br w:val="nil"/>
              <w:tr2bl w:val="nil"/>
            </w:tcBorders>
            <w:vAlign w:val="center"/>
          </w:tcPr>
          <w:p>
            <w:pPr>
              <w:pStyle w:val="52"/>
              <w:spacing w:line="300" w:lineRule="auto"/>
              <w:ind w:firstLine="0"/>
              <w:jc w:val="center"/>
              <w:rPr>
                <w:color w:val="auto"/>
                <w:sz w:val="21"/>
                <w:szCs w:val="21"/>
              </w:rPr>
            </w:pPr>
          </w:p>
        </w:tc>
        <w:tc>
          <w:tcPr>
            <w:tcW w:w="852" w:type="dxa"/>
            <w:tcBorders>
              <w:tl2br w:val="nil"/>
              <w:tr2bl w:val="nil"/>
            </w:tcBorders>
            <w:vAlign w:val="center"/>
          </w:tcPr>
          <w:p>
            <w:pPr>
              <w:widowControl/>
              <w:spacing w:line="300" w:lineRule="auto"/>
              <w:jc w:val="center"/>
              <w:textAlignment w:val="center"/>
              <w:rPr>
                <w:color w:val="auto"/>
                <w:szCs w:val="21"/>
              </w:rPr>
            </w:pPr>
            <w:r>
              <w:rPr>
                <w:color w:val="auto"/>
                <w:szCs w:val="21"/>
              </w:rPr>
              <w:t>非甲烷总烃</w:t>
            </w:r>
          </w:p>
        </w:tc>
        <w:tc>
          <w:tcPr>
            <w:tcW w:w="1247"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0.2825</w:t>
            </w:r>
          </w:p>
        </w:tc>
        <w:tc>
          <w:tcPr>
            <w:tcW w:w="951"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84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2017" w:type="dxa"/>
            <w:vMerge w:val="continue"/>
            <w:tcBorders>
              <w:tl2br w:val="nil"/>
              <w:tr2bl w:val="nil"/>
            </w:tcBorders>
            <w:vAlign w:val="center"/>
          </w:tcPr>
          <w:p>
            <w:pPr>
              <w:pStyle w:val="52"/>
              <w:spacing w:line="300" w:lineRule="auto"/>
              <w:ind w:firstLine="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670"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4</w:t>
            </w:r>
          </w:p>
        </w:tc>
        <w:tc>
          <w:tcPr>
            <w:tcW w:w="803"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排气筒G</w:t>
            </w:r>
            <w:r>
              <w:rPr>
                <w:rFonts w:hint="eastAsia"/>
                <w:color w:val="auto"/>
                <w:sz w:val="21"/>
                <w:szCs w:val="21"/>
              </w:rPr>
              <w:t>2</w:t>
            </w:r>
          </w:p>
        </w:tc>
        <w:tc>
          <w:tcPr>
            <w:tcW w:w="1568" w:type="dxa"/>
            <w:vMerge w:val="continue"/>
            <w:tcBorders>
              <w:tl2br w:val="nil"/>
              <w:tr2bl w:val="nil"/>
            </w:tcBorders>
            <w:vAlign w:val="center"/>
          </w:tcPr>
          <w:p>
            <w:pPr>
              <w:pStyle w:val="52"/>
              <w:spacing w:line="300" w:lineRule="auto"/>
              <w:ind w:firstLine="0"/>
              <w:jc w:val="center"/>
              <w:rPr>
                <w:color w:val="auto"/>
                <w:sz w:val="21"/>
                <w:szCs w:val="21"/>
              </w:rPr>
            </w:pPr>
          </w:p>
        </w:tc>
        <w:tc>
          <w:tcPr>
            <w:tcW w:w="852" w:type="dxa"/>
            <w:tcBorders>
              <w:tl2br w:val="nil"/>
              <w:tr2bl w:val="nil"/>
            </w:tcBorders>
            <w:vAlign w:val="center"/>
          </w:tcPr>
          <w:p>
            <w:pPr>
              <w:widowControl/>
              <w:spacing w:line="300" w:lineRule="auto"/>
              <w:jc w:val="center"/>
              <w:textAlignment w:val="center"/>
              <w:rPr>
                <w:color w:val="auto"/>
                <w:szCs w:val="21"/>
              </w:rPr>
            </w:pPr>
            <w:r>
              <w:rPr>
                <w:rFonts w:hint="eastAsia"/>
                <w:color w:val="auto"/>
                <w:szCs w:val="21"/>
              </w:rPr>
              <w:t>颗粒物</w:t>
            </w:r>
          </w:p>
        </w:tc>
        <w:tc>
          <w:tcPr>
            <w:tcW w:w="1247" w:type="dxa"/>
            <w:tcBorders>
              <w:tl2br w:val="nil"/>
              <w:tr2bl w:val="nil"/>
            </w:tcBorders>
            <w:vAlign w:val="center"/>
          </w:tcPr>
          <w:p>
            <w:pPr>
              <w:pStyle w:val="52"/>
              <w:spacing w:line="300" w:lineRule="auto"/>
              <w:ind w:firstLine="0"/>
              <w:jc w:val="center"/>
              <w:rPr>
                <w:color w:val="auto"/>
                <w:sz w:val="21"/>
                <w:szCs w:val="21"/>
              </w:rPr>
            </w:pPr>
            <w:r>
              <w:rPr>
                <w:rFonts w:hint="eastAsia"/>
                <w:color w:val="auto"/>
                <w:sz w:val="21"/>
                <w:szCs w:val="21"/>
              </w:rPr>
              <w:t>0.7159</w:t>
            </w:r>
          </w:p>
        </w:tc>
        <w:tc>
          <w:tcPr>
            <w:tcW w:w="951"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840" w:type="dxa"/>
            <w:tcBorders>
              <w:tl2br w:val="nil"/>
              <w:tr2bl w:val="nil"/>
            </w:tcBorders>
            <w:vAlign w:val="center"/>
          </w:tcPr>
          <w:p>
            <w:pPr>
              <w:pStyle w:val="52"/>
              <w:spacing w:line="300" w:lineRule="auto"/>
              <w:ind w:firstLine="0"/>
              <w:jc w:val="center"/>
              <w:rPr>
                <w:color w:val="auto"/>
                <w:sz w:val="21"/>
                <w:szCs w:val="21"/>
              </w:rPr>
            </w:pPr>
            <w:r>
              <w:rPr>
                <w:color w:val="auto"/>
                <w:sz w:val="21"/>
                <w:szCs w:val="21"/>
              </w:rPr>
              <w:t>1</w:t>
            </w:r>
          </w:p>
        </w:tc>
        <w:tc>
          <w:tcPr>
            <w:tcW w:w="2017" w:type="dxa"/>
            <w:vMerge w:val="continue"/>
            <w:tcBorders>
              <w:tl2br w:val="nil"/>
              <w:tr2bl w:val="nil"/>
            </w:tcBorders>
            <w:vAlign w:val="center"/>
          </w:tcPr>
          <w:p>
            <w:pPr>
              <w:pStyle w:val="52"/>
              <w:spacing w:line="300" w:lineRule="auto"/>
              <w:ind w:firstLine="0"/>
              <w:jc w:val="center"/>
              <w:rPr>
                <w:color w:val="auto"/>
                <w:sz w:val="21"/>
                <w:szCs w:val="21"/>
              </w:rPr>
            </w:pPr>
          </w:p>
        </w:tc>
      </w:tr>
    </w:tbl>
    <w:p>
      <w:pPr>
        <w:pStyle w:val="44"/>
        <w:numPr>
          <w:ilvl w:val="2"/>
          <w:numId w:val="0"/>
        </w:numPr>
        <w:tabs>
          <w:tab w:val="clear" w:pos="720"/>
        </w:tabs>
        <w:spacing w:before="159" w:after="159" w:line="360" w:lineRule="auto"/>
        <w:rPr>
          <w:color w:val="auto"/>
          <w:sz w:val="28"/>
          <w:szCs w:val="28"/>
        </w:rPr>
      </w:pPr>
      <w:bookmarkStart w:id="2486" w:name="_Toc31"/>
      <w:bookmarkStart w:id="2487" w:name="_Toc21068"/>
      <w:r>
        <w:rPr>
          <w:rFonts w:hint="eastAsia"/>
          <w:color w:val="auto"/>
          <w:sz w:val="28"/>
          <w:szCs w:val="28"/>
        </w:rPr>
        <w:t>6</w:t>
      </w:r>
      <w:r>
        <w:rPr>
          <w:color w:val="auto"/>
          <w:sz w:val="28"/>
          <w:szCs w:val="28"/>
        </w:rPr>
        <w:t xml:space="preserve">.4.5 </w:t>
      </w:r>
      <w:r>
        <w:rPr>
          <w:rFonts w:hint="eastAsia"/>
          <w:color w:val="auto"/>
          <w:sz w:val="28"/>
          <w:szCs w:val="28"/>
        </w:rPr>
        <w:t xml:space="preserve">  </w:t>
      </w:r>
      <w:r>
        <w:rPr>
          <w:color w:val="auto"/>
          <w:sz w:val="28"/>
          <w:szCs w:val="28"/>
        </w:rPr>
        <w:t>大气防护距离</w:t>
      </w:r>
      <w:bookmarkEnd w:id="2486"/>
      <w:bookmarkEnd w:id="2487"/>
    </w:p>
    <w:p>
      <w:pPr>
        <w:spacing w:line="360" w:lineRule="auto"/>
        <w:ind w:firstLine="480" w:firstLineChars="200"/>
        <w:rPr>
          <w:color w:val="auto"/>
          <w:sz w:val="24"/>
        </w:rPr>
      </w:pPr>
      <w:r>
        <w:rPr>
          <w:color w:val="auto"/>
          <w:sz w:val="24"/>
        </w:rPr>
        <w:t>根据上文分析，本项目评价等级为二级。根据《环境影响评价技术导则 大气环境》（HJ 2.2－2018），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本项目排放的非甲烷总烃的短期贡献浓度未超过环境质量标准浓度限值，故无需设置大气环境防护距离。</w:t>
      </w:r>
    </w:p>
    <w:p>
      <w:pPr>
        <w:pStyle w:val="44"/>
        <w:numPr>
          <w:ilvl w:val="2"/>
          <w:numId w:val="0"/>
        </w:numPr>
        <w:tabs>
          <w:tab w:val="clear" w:pos="720"/>
        </w:tabs>
        <w:spacing w:before="159" w:after="159" w:line="360" w:lineRule="auto"/>
        <w:rPr>
          <w:color w:val="auto"/>
          <w:sz w:val="28"/>
          <w:szCs w:val="28"/>
        </w:rPr>
      </w:pPr>
      <w:bookmarkStart w:id="2488" w:name="_Toc7240"/>
      <w:bookmarkStart w:id="2489" w:name="_Toc13190"/>
      <w:r>
        <w:rPr>
          <w:color w:val="auto"/>
          <w:sz w:val="28"/>
          <w:szCs w:val="28"/>
        </w:rPr>
        <w:t>5.4.6</w:t>
      </w:r>
      <w:r>
        <w:rPr>
          <w:rFonts w:hint="eastAsia"/>
          <w:color w:val="auto"/>
          <w:sz w:val="28"/>
          <w:szCs w:val="28"/>
        </w:rPr>
        <w:t xml:space="preserve">  </w:t>
      </w:r>
      <w:r>
        <w:rPr>
          <w:color w:val="auto"/>
          <w:sz w:val="28"/>
          <w:szCs w:val="28"/>
        </w:rPr>
        <w:t>大气环境影响评价结论</w:t>
      </w:r>
      <w:bookmarkEnd w:id="2488"/>
      <w:bookmarkEnd w:id="2489"/>
    </w:p>
    <w:p>
      <w:pPr>
        <w:pStyle w:val="32"/>
        <w:spacing w:line="360" w:lineRule="auto"/>
        <w:ind w:firstLine="404"/>
        <w:jc w:val="both"/>
        <w:rPr>
          <w:color w:val="auto"/>
          <w:kern w:val="2"/>
        </w:rPr>
      </w:pPr>
      <w:r>
        <w:rPr>
          <w:color w:val="auto"/>
          <w:kern w:val="2"/>
        </w:rPr>
        <w:t>本项目</w:t>
      </w:r>
      <w:r>
        <w:rPr>
          <w:color w:val="auto"/>
        </w:rPr>
        <w:t>排放大气污染物主要有</w:t>
      </w:r>
      <w:r>
        <w:rPr>
          <w:color w:val="auto"/>
          <w:szCs w:val="21"/>
        </w:rPr>
        <w:t>颗粒物、苯并[a]芘、</w:t>
      </w:r>
      <w:r>
        <w:rPr>
          <w:color w:val="auto"/>
        </w:rPr>
        <w:t>非甲烷总烃</w:t>
      </w:r>
      <w:r>
        <w:rPr>
          <w:color w:val="auto"/>
          <w:szCs w:val="21"/>
        </w:rPr>
        <w:t>和沥青烟</w:t>
      </w:r>
      <w:r>
        <w:rPr>
          <w:color w:val="auto"/>
          <w:kern w:val="2"/>
        </w:rPr>
        <w:t>。经上文分析计算可知，本项目外排的</w:t>
      </w:r>
      <w:r>
        <w:rPr>
          <w:color w:val="auto"/>
          <w:szCs w:val="21"/>
        </w:rPr>
        <w:t>颗粒物、苯并[a]芘、</w:t>
      </w:r>
      <w:r>
        <w:rPr>
          <w:color w:val="auto"/>
        </w:rPr>
        <w:t>非甲烷总烃</w:t>
      </w:r>
      <w:r>
        <w:rPr>
          <w:color w:val="auto"/>
          <w:szCs w:val="21"/>
        </w:rPr>
        <w:t>和沥青烟</w:t>
      </w:r>
      <w:r>
        <w:rPr>
          <w:color w:val="auto"/>
        </w:rPr>
        <w:t>的排放符合</w:t>
      </w:r>
      <w:r>
        <w:rPr>
          <w:color w:val="auto"/>
          <w:szCs w:val="21"/>
        </w:rPr>
        <w:t>《广东省大气污染物排放限值》（DB44 27—2001）</w:t>
      </w:r>
      <w:r>
        <w:rPr>
          <w:color w:val="auto"/>
        </w:rPr>
        <w:t>第二时段二级标准要求及无组织排放监控浓度限值。</w:t>
      </w:r>
    </w:p>
    <w:p>
      <w:pPr>
        <w:widowControl/>
        <w:shd w:val="clear" w:color="auto" w:fill="FFFFFF"/>
        <w:spacing w:after="15" w:line="360" w:lineRule="auto"/>
        <w:ind w:firstLine="720" w:firstLineChars="300"/>
        <w:rPr>
          <w:color w:val="auto"/>
          <w:sz w:val="24"/>
        </w:rPr>
      </w:pPr>
      <w:r>
        <w:rPr>
          <w:color w:val="auto"/>
          <w:sz w:val="24"/>
        </w:rPr>
        <w:t>根据</w:t>
      </w:r>
      <w:r>
        <w:rPr>
          <w:color w:val="auto"/>
          <w:sz w:val="24"/>
        </w:rPr>
        <w:fldChar w:fldCharType="begin"/>
      </w:r>
      <w:r>
        <w:rPr>
          <w:color w:val="auto"/>
          <w:sz w:val="24"/>
        </w:rPr>
        <w:instrText xml:space="preserve"> HYPERLINK "https://www.baidu.com/link?url=Ovzo109u1G6sArElW_-s3RXzHY6NxoRGC-JP9BAtOQfWNXyo3FkjhO9-yOiNDf31SkxR-7BTZ8VlQfzYWL1-8q&amp;wd=&amp;eqid=ff098aa4000f001f000000065ecfcb44" \t "https://www.baidu.com/_blank" </w:instrText>
      </w:r>
      <w:r>
        <w:rPr>
          <w:color w:val="auto"/>
          <w:sz w:val="24"/>
        </w:rPr>
        <w:fldChar w:fldCharType="separate"/>
      </w:r>
      <w:r>
        <w:rPr>
          <w:color w:val="auto"/>
          <w:sz w:val="24"/>
        </w:rPr>
        <w:t>清远市生态环境局</w:t>
      </w:r>
      <w:r>
        <w:rPr>
          <w:color w:val="auto"/>
          <w:sz w:val="24"/>
        </w:rPr>
        <w:fldChar w:fldCharType="end"/>
      </w:r>
      <w:r>
        <w:rPr>
          <w:rFonts w:hint="eastAsia"/>
          <w:color w:val="auto"/>
          <w:sz w:val="24"/>
        </w:rPr>
        <w:t>在清远政府网（网址：</w:t>
      </w:r>
      <w:r>
        <w:rPr>
          <w:color w:val="auto"/>
          <w:sz w:val="24"/>
        </w:rPr>
        <w:fldChar w:fldCharType="begin"/>
      </w:r>
      <w:r>
        <w:rPr>
          <w:color w:val="auto"/>
          <w:sz w:val="24"/>
        </w:rPr>
        <w:instrText xml:space="preserve"> HYPERLINK "http://www.gdqy.gov.cn/xxgk/zzjg/zfjg/qyssthjj/xxgk/zdlyxxgkzl/szhjxx/content/mpost_983778.html?jecbaaaiecjeknop?ohlfcjecbimglnop" </w:instrText>
      </w:r>
      <w:r>
        <w:rPr>
          <w:color w:val="auto"/>
          <w:sz w:val="24"/>
        </w:rPr>
        <w:fldChar w:fldCharType="separate"/>
      </w:r>
      <w:r>
        <w:rPr>
          <w:color w:val="auto"/>
          <w:sz w:val="24"/>
        </w:rPr>
        <w:t>http://www.gdqy.gov.cn/xxgk/zzjg/zfjg/qyssthjj/xxgk/zdlyxxgkzl/szhjxx/content/mpost_983778.html?jecbaaaiecjeknop?ohlfcjecbimglnop</w:t>
      </w:r>
      <w:r>
        <w:rPr>
          <w:color w:val="auto"/>
          <w:sz w:val="24"/>
        </w:rPr>
        <w:fldChar w:fldCharType="end"/>
      </w:r>
      <w:r>
        <w:rPr>
          <w:rFonts w:hint="eastAsia"/>
          <w:color w:val="auto"/>
          <w:sz w:val="24"/>
        </w:rPr>
        <w:t>）上发布的</w:t>
      </w:r>
      <w:r>
        <w:rPr>
          <w:color w:val="auto"/>
          <w:sz w:val="24"/>
        </w:rPr>
        <w:t>《2019年1-12月清远市各县（市、区） 空气、水环境质量状况发布》</w:t>
      </w:r>
      <w:r>
        <w:rPr>
          <w:rFonts w:hint="eastAsia"/>
          <w:color w:val="auto"/>
          <w:sz w:val="24"/>
        </w:rPr>
        <w:t>中表2《</w:t>
      </w:r>
      <w:r>
        <w:rPr>
          <w:color w:val="auto"/>
          <w:sz w:val="24"/>
        </w:rPr>
        <w:t> </w:t>
      </w:r>
      <w:r>
        <w:rPr>
          <w:rFonts w:hint="eastAsia"/>
          <w:color w:val="auto"/>
          <w:sz w:val="24"/>
        </w:rPr>
        <w:t>2019年1~12月各县（市、区）环境空气质量状况》</w:t>
      </w:r>
      <w:r>
        <w:rPr>
          <w:color w:val="auto"/>
          <w:sz w:val="24"/>
        </w:rPr>
        <w:t>，项目所在行政区</w:t>
      </w:r>
      <w:r>
        <w:rPr>
          <w:rFonts w:hint="eastAsia"/>
          <w:color w:val="auto"/>
          <w:sz w:val="24"/>
        </w:rPr>
        <w:t>清城</w:t>
      </w:r>
      <w:r>
        <w:rPr>
          <w:color w:val="auto"/>
          <w:sz w:val="24"/>
        </w:rPr>
        <w:t>区环境空气质量为达标区域。项目排放的大气污染物主要有</w:t>
      </w:r>
      <w:r>
        <w:rPr>
          <w:rFonts w:hint="eastAsia"/>
          <w:color w:val="auto"/>
          <w:sz w:val="24"/>
        </w:rPr>
        <w:t>颗粒物（TSP）、苯并[a]芘、</w:t>
      </w:r>
      <w:r>
        <w:rPr>
          <w:color w:val="auto"/>
          <w:sz w:val="24"/>
        </w:rPr>
        <w:t>非甲烷总烃</w:t>
      </w:r>
      <w:r>
        <w:rPr>
          <w:rFonts w:hint="eastAsia"/>
          <w:color w:val="auto"/>
          <w:sz w:val="24"/>
        </w:rPr>
        <w:t>和沥青烟</w:t>
      </w:r>
      <w:r>
        <w:rPr>
          <w:color w:val="auto"/>
          <w:sz w:val="24"/>
        </w:rPr>
        <w:t>，各污染物排放均达到相应排放标准要求，估算的最大浓度占标率均＜10%，贡献值不大。项目在做好废气的收集与处理设施维护管理，确保其正常运行的前提下，对周边大气环境的影响可以接受。</w:t>
      </w:r>
    </w:p>
    <w:p>
      <w:pPr>
        <w:pStyle w:val="44"/>
        <w:numPr>
          <w:ilvl w:val="2"/>
          <w:numId w:val="0"/>
        </w:numPr>
        <w:tabs>
          <w:tab w:val="clear" w:pos="720"/>
        </w:tabs>
        <w:spacing w:before="159" w:after="159" w:line="360" w:lineRule="auto"/>
        <w:rPr>
          <w:color w:val="auto"/>
          <w:sz w:val="28"/>
          <w:szCs w:val="28"/>
        </w:rPr>
      </w:pPr>
      <w:bookmarkStart w:id="2490" w:name="_Toc26783"/>
      <w:bookmarkStart w:id="2491" w:name="_Toc15104"/>
      <w:r>
        <w:rPr>
          <w:rFonts w:hint="eastAsia"/>
          <w:color w:val="auto"/>
          <w:sz w:val="28"/>
          <w:szCs w:val="28"/>
        </w:rPr>
        <w:t>6</w:t>
      </w:r>
      <w:r>
        <w:rPr>
          <w:color w:val="auto"/>
          <w:sz w:val="28"/>
          <w:szCs w:val="28"/>
        </w:rPr>
        <w:t>.4.7</w:t>
      </w:r>
      <w:r>
        <w:rPr>
          <w:rFonts w:hint="eastAsia"/>
          <w:color w:val="auto"/>
          <w:sz w:val="28"/>
          <w:szCs w:val="28"/>
        </w:rPr>
        <w:t xml:space="preserve">  </w:t>
      </w:r>
      <w:r>
        <w:rPr>
          <w:color w:val="auto"/>
          <w:sz w:val="28"/>
          <w:szCs w:val="28"/>
        </w:rPr>
        <w:t>大气环境影响评价自查表</w:t>
      </w:r>
      <w:bookmarkEnd w:id="2490"/>
      <w:bookmarkEnd w:id="2491"/>
    </w:p>
    <w:p>
      <w:pPr>
        <w:spacing w:line="360" w:lineRule="auto"/>
        <w:ind w:firstLine="480" w:firstLineChars="200"/>
        <w:rPr>
          <w:color w:val="auto"/>
          <w:sz w:val="24"/>
        </w:rPr>
      </w:pPr>
      <w:r>
        <w:rPr>
          <w:color w:val="auto"/>
          <w:sz w:val="24"/>
        </w:rPr>
        <w:t>根据《环境影响评价技术导则 大气环境》（HJ 2.2－2018），大气环境影响评价完成后，应对大气环境影响评价主要内容与结论进行自查。详见下表。</w:t>
      </w:r>
    </w:p>
    <w:p>
      <w:pPr>
        <w:tabs>
          <w:tab w:val="left" w:pos="1081"/>
        </w:tabs>
        <w:adjustRightInd w:val="0"/>
        <w:spacing w:line="480" w:lineRule="exact"/>
        <w:jc w:val="center"/>
        <w:rPr>
          <w:b/>
          <w:bCs/>
          <w:color w:val="auto"/>
          <w:szCs w:val="21"/>
        </w:rPr>
      </w:pPr>
      <w:r>
        <w:rPr>
          <w:b/>
          <w:color w:val="auto"/>
          <w:szCs w:val="21"/>
        </w:rPr>
        <w:t>表</w:t>
      </w:r>
      <w:r>
        <w:rPr>
          <w:rFonts w:hint="eastAsia"/>
          <w:b/>
          <w:color w:val="auto"/>
          <w:szCs w:val="21"/>
        </w:rPr>
        <w:t>6</w:t>
      </w:r>
      <w:r>
        <w:rPr>
          <w:b/>
          <w:color w:val="auto"/>
          <w:szCs w:val="21"/>
        </w:rPr>
        <w:t>.4-1</w:t>
      </w:r>
      <w:r>
        <w:rPr>
          <w:rFonts w:hint="eastAsia"/>
          <w:b/>
          <w:color w:val="auto"/>
          <w:szCs w:val="21"/>
        </w:rPr>
        <w:t>6</w:t>
      </w:r>
      <w:r>
        <w:rPr>
          <w:b/>
          <w:color w:val="auto"/>
          <w:szCs w:val="21"/>
        </w:rPr>
        <w:t xml:space="preserve"> </w:t>
      </w:r>
      <w:r>
        <w:rPr>
          <w:b/>
          <w:bCs/>
          <w:color w:val="auto"/>
          <w:szCs w:val="21"/>
        </w:rPr>
        <w:t xml:space="preserve"> 建设项目大气环境影响评价自查表</w:t>
      </w:r>
    </w:p>
    <w:tbl>
      <w:tblPr>
        <w:tblStyle w:val="23"/>
        <w:tblW w:w="876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724"/>
        <w:gridCol w:w="1183"/>
        <w:gridCol w:w="817"/>
        <w:gridCol w:w="709"/>
        <w:gridCol w:w="67"/>
        <w:gridCol w:w="693"/>
        <w:gridCol w:w="521"/>
        <w:gridCol w:w="611"/>
        <w:gridCol w:w="599"/>
        <w:gridCol w:w="1123"/>
        <w:gridCol w:w="956"/>
        <w:gridCol w:w="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1907" w:type="dxa"/>
            <w:gridSpan w:val="2"/>
            <w:tcBorders>
              <w:tl2br w:val="nil"/>
              <w:tr2bl w:val="nil"/>
            </w:tcBorders>
            <w:vAlign w:val="center"/>
          </w:tcPr>
          <w:p>
            <w:pPr>
              <w:widowControl/>
              <w:jc w:val="center"/>
              <w:textAlignment w:val="center"/>
              <w:rPr>
                <w:color w:val="auto"/>
                <w:sz w:val="18"/>
                <w:szCs w:val="18"/>
              </w:rPr>
            </w:pPr>
            <w:r>
              <w:rPr>
                <w:color w:val="auto"/>
                <w:kern w:val="0"/>
                <w:sz w:val="18"/>
                <w:szCs w:val="18"/>
                <w:lang w:bidi="ar"/>
              </w:rPr>
              <w:t>工作内容</w:t>
            </w:r>
          </w:p>
        </w:tc>
        <w:tc>
          <w:tcPr>
            <w:tcW w:w="6855" w:type="dxa"/>
            <w:gridSpan w:val="10"/>
            <w:tcBorders>
              <w:tl2br w:val="nil"/>
              <w:tr2bl w:val="nil"/>
            </w:tcBorders>
            <w:vAlign w:val="center"/>
          </w:tcPr>
          <w:p>
            <w:pPr>
              <w:widowControl/>
              <w:jc w:val="center"/>
              <w:textAlignment w:val="center"/>
              <w:rPr>
                <w:color w:val="auto"/>
                <w:sz w:val="18"/>
                <w:szCs w:val="18"/>
              </w:rPr>
            </w:pPr>
            <w:r>
              <w:rPr>
                <w:color w:val="auto"/>
                <w:kern w:val="0"/>
                <w:sz w:val="18"/>
                <w:szCs w:val="18"/>
                <w:lang w:bidi="ar"/>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评价等级与范围</w:t>
            </w: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评价等级</w:t>
            </w:r>
          </w:p>
        </w:tc>
        <w:tc>
          <w:tcPr>
            <w:tcW w:w="2807" w:type="dxa"/>
            <w:gridSpan w:val="5"/>
            <w:tcBorders>
              <w:tl2br w:val="nil"/>
              <w:tr2bl w:val="nil"/>
            </w:tcBorders>
            <w:vAlign w:val="center"/>
          </w:tcPr>
          <w:p>
            <w:pPr>
              <w:widowControl/>
              <w:jc w:val="center"/>
              <w:textAlignment w:val="center"/>
              <w:rPr>
                <w:color w:val="auto"/>
                <w:sz w:val="18"/>
                <w:szCs w:val="18"/>
              </w:rPr>
            </w:pPr>
            <w:r>
              <w:rPr>
                <w:color w:val="auto"/>
                <w:kern w:val="0"/>
                <w:sz w:val="18"/>
                <w:szCs w:val="18"/>
                <w:lang w:bidi="ar"/>
              </w:rPr>
              <w:t>一级□</w:t>
            </w:r>
          </w:p>
        </w:tc>
        <w:tc>
          <w:tcPr>
            <w:tcW w:w="2333" w:type="dxa"/>
            <w:gridSpan w:val="3"/>
            <w:tcBorders>
              <w:tl2br w:val="nil"/>
              <w:tr2bl w:val="nil"/>
            </w:tcBorders>
            <w:vAlign w:val="center"/>
          </w:tcPr>
          <w:p>
            <w:pPr>
              <w:widowControl/>
              <w:jc w:val="center"/>
              <w:textAlignment w:val="center"/>
              <w:rPr>
                <w:color w:val="auto"/>
                <w:sz w:val="18"/>
                <w:szCs w:val="18"/>
              </w:rPr>
            </w:pPr>
            <w:r>
              <w:rPr>
                <w:color w:val="auto"/>
                <w:kern w:val="0"/>
                <w:sz w:val="18"/>
                <w:szCs w:val="18"/>
                <w:lang w:bidi="ar"/>
              </w:rPr>
              <w:t>二级☑</w:t>
            </w:r>
          </w:p>
        </w:tc>
        <w:tc>
          <w:tcPr>
            <w:tcW w:w="1715" w:type="dxa"/>
            <w:gridSpan w:val="2"/>
            <w:tcBorders>
              <w:tl2br w:val="nil"/>
              <w:tr2bl w:val="nil"/>
            </w:tcBorders>
            <w:vAlign w:val="center"/>
          </w:tcPr>
          <w:p>
            <w:pPr>
              <w:widowControl/>
              <w:jc w:val="center"/>
              <w:textAlignment w:val="center"/>
              <w:rPr>
                <w:color w:val="auto"/>
                <w:sz w:val="18"/>
                <w:szCs w:val="18"/>
              </w:rPr>
            </w:pPr>
            <w:r>
              <w:rPr>
                <w:color w:val="auto"/>
                <w:kern w:val="0"/>
                <w:sz w:val="18"/>
                <w:szCs w:val="18"/>
                <w:lang w:bidi="ar"/>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评价范围</w:t>
            </w:r>
          </w:p>
        </w:tc>
        <w:tc>
          <w:tcPr>
            <w:tcW w:w="2807" w:type="dxa"/>
            <w:gridSpan w:val="5"/>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=50km</w:t>
            </w:r>
            <w:r>
              <w:rPr>
                <w:rStyle w:val="59"/>
                <w:color w:val="auto"/>
                <w:sz w:val="18"/>
                <w:szCs w:val="18"/>
                <w:lang w:bidi="ar"/>
              </w:rPr>
              <w:t>□</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=5~50km</w:t>
            </w:r>
            <w:r>
              <w:rPr>
                <w:rStyle w:val="59"/>
                <w:color w:val="auto"/>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=5km</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评价因子</w:t>
            </w:r>
          </w:p>
        </w:tc>
        <w:tc>
          <w:tcPr>
            <w:tcW w:w="1183" w:type="dxa"/>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SO</w:t>
            </w:r>
            <w:r>
              <w:rPr>
                <w:rStyle w:val="49"/>
                <w:rFonts w:hint="default"/>
                <w:color w:val="auto"/>
                <w:sz w:val="18"/>
                <w:szCs w:val="18"/>
                <w:vertAlign w:val="subscript"/>
                <w:lang w:bidi="ar"/>
              </w:rPr>
              <w:t>2</w:t>
            </w:r>
            <w:r>
              <w:rPr>
                <w:rStyle w:val="39"/>
                <w:rFonts w:hint="default"/>
                <w:color w:val="auto"/>
                <w:sz w:val="18"/>
                <w:szCs w:val="18"/>
                <w:lang w:bidi="ar"/>
              </w:rPr>
              <w:t>+NO</w:t>
            </w:r>
            <w:r>
              <w:rPr>
                <w:rStyle w:val="39"/>
                <w:rFonts w:hint="default"/>
                <w:color w:val="auto"/>
                <w:sz w:val="18"/>
                <w:szCs w:val="18"/>
                <w:vertAlign w:val="subscript"/>
                <w:lang w:bidi="ar"/>
              </w:rPr>
              <w:t>x</w:t>
            </w:r>
            <w:r>
              <w:rPr>
                <w:rStyle w:val="59"/>
                <w:color w:val="auto"/>
                <w:sz w:val="18"/>
                <w:szCs w:val="18"/>
                <w:lang w:bidi="ar"/>
              </w:rPr>
              <w:t>排放量</w:t>
            </w:r>
          </w:p>
        </w:tc>
        <w:tc>
          <w:tcPr>
            <w:tcW w:w="159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w:t>
            </w:r>
            <w:r>
              <w:rPr>
                <w:rStyle w:val="39"/>
                <w:rFonts w:hint="default"/>
                <w:color w:val="auto"/>
                <w:sz w:val="18"/>
                <w:szCs w:val="18"/>
                <w:lang w:bidi="ar"/>
              </w:rPr>
              <w:t>2000t/a</w:t>
            </w:r>
            <w:r>
              <w:rPr>
                <w:rStyle w:val="59"/>
                <w:color w:val="auto"/>
                <w:sz w:val="18"/>
                <w:szCs w:val="18"/>
                <w:lang w:bidi="ar"/>
              </w:rPr>
              <w:t>□</w:t>
            </w:r>
          </w:p>
        </w:tc>
        <w:tc>
          <w:tcPr>
            <w:tcW w:w="2424" w:type="dxa"/>
            <w:gridSpan w:val="4"/>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500~2000t/a</w:t>
            </w:r>
            <w:r>
              <w:rPr>
                <w:rStyle w:val="59"/>
                <w:color w:val="auto"/>
                <w:sz w:val="18"/>
                <w:szCs w:val="18"/>
                <w:lang w:bidi="ar"/>
              </w:rPr>
              <w:t>□</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&lt;500t/a</w:t>
            </w:r>
            <w:r>
              <w:rPr>
                <w:rStyle w:val="58"/>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评价因子</w:t>
            </w:r>
          </w:p>
        </w:tc>
        <w:tc>
          <w:tcPr>
            <w:tcW w:w="4017" w:type="dxa"/>
            <w:gridSpan w:val="7"/>
            <w:vMerge w:val="restart"/>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其他污染物（颗粒物、苯并[a]芘、非甲烷总烃）</w:t>
            </w:r>
          </w:p>
        </w:tc>
        <w:tc>
          <w:tcPr>
            <w:tcW w:w="2838" w:type="dxa"/>
            <w:gridSpan w:val="3"/>
            <w:tcBorders>
              <w:tl2br w:val="nil"/>
              <w:tr2bl w:val="nil"/>
            </w:tcBorders>
            <w:vAlign w:val="center"/>
          </w:tcPr>
          <w:p>
            <w:pPr>
              <w:widowControl/>
              <w:jc w:val="center"/>
              <w:textAlignment w:val="bottom"/>
              <w:rPr>
                <w:color w:val="auto"/>
                <w:sz w:val="18"/>
                <w:szCs w:val="18"/>
              </w:rPr>
            </w:pPr>
            <w:r>
              <w:rPr>
                <w:rStyle w:val="59"/>
                <w:color w:val="auto"/>
                <w:sz w:val="18"/>
                <w:szCs w:val="18"/>
                <w:lang w:bidi="ar"/>
              </w:rPr>
              <w:t>包括二次</w:t>
            </w:r>
            <w:r>
              <w:rPr>
                <w:rStyle w:val="39"/>
                <w:rFonts w:hint="default"/>
                <w:color w:val="auto"/>
                <w:sz w:val="18"/>
                <w:szCs w:val="18"/>
                <w:lang w:bidi="ar"/>
              </w:rPr>
              <w:t>PM</w:t>
            </w:r>
            <w:r>
              <w:rPr>
                <w:rStyle w:val="49"/>
                <w:rFonts w:hint="default"/>
                <w:color w:val="auto"/>
                <w:sz w:val="18"/>
                <w:szCs w:val="18"/>
                <w:vertAlign w:val="subscript"/>
                <w:lang w:bidi="ar"/>
              </w:rPr>
              <w:t>2.5</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4017" w:type="dxa"/>
            <w:gridSpan w:val="7"/>
            <w:vMerge w:val="continue"/>
            <w:tcBorders>
              <w:tl2br w:val="nil"/>
              <w:tr2bl w:val="nil"/>
            </w:tcBorders>
            <w:vAlign w:val="center"/>
          </w:tcPr>
          <w:p>
            <w:pPr>
              <w:widowControl/>
              <w:jc w:val="center"/>
              <w:textAlignment w:val="center"/>
              <w:rPr>
                <w:color w:val="auto"/>
                <w:sz w:val="18"/>
                <w:szCs w:val="18"/>
              </w:rPr>
            </w:pPr>
          </w:p>
        </w:tc>
        <w:tc>
          <w:tcPr>
            <w:tcW w:w="2838" w:type="dxa"/>
            <w:gridSpan w:val="3"/>
            <w:tcBorders>
              <w:tl2br w:val="nil"/>
              <w:tr2bl w:val="nil"/>
            </w:tcBorders>
            <w:vAlign w:val="center"/>
          </w:tcPr>
          <w:p>
            <w:pPr>
              <w:widowControl/>
              <w:jc w:val="center"/>
              <w:textAlignment w:val="bottom"/>
              <w:rPr>
                <w:color w:val="auto"/>
                <w:sz w:val="18"/>
                <w:szCs w:val="18"/>
              </w:rPr>
            </w:pPr>
            <w:r>
              <w:rPr>
                <w:rStyle w:val="59"/>
                <w:color w:val="auto"/>
                <w:sz w:val="18"/>
                <w:szCs w:val="18"/>
                <w:lang w:bidi="ar"/>
              </w:rPr>
              <w:t>不包括二次</w:t>
            </w:r>
            <w:r>
              <w:rPr>
                <w:rStyle w:val="39"/>
                <w:rFonts w:hint="default"/>
                <w:color w:val="auto"/>
                <w:sz w:val="18"/>
                <w:szCs w:val="18"/>
                <w:lang w:bidi="ar"/>
              </w:rPr>
              <w:t>PM</w:t>
            </w:r>
            <w:r>
              <w:rPr>
                <w:rStyle w:val="49"/>
                <w:rFonts w:hint="default"/>
                <w:color w:val="auto"/>
                <w:sz w:val="18"/>
                <w:szCs w:val="18"/>
                <w:vertAlign w:val="subscript"/>
                <w:lang w:bidi="ar"/>
              </w:rPr>
              <w:t>2.5</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评价标准</w:t>
            </w: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评价标准</w:t>
            </w:r>
          </w:p>
        </w:tc>
        <w:tc>
          <w:tcPr>
            <w:tcW w:w="2286" w:type="dxa"/>
            <w:gridSpan w:val="4"/>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国家标准</w:t>
            </w:r>
            <w:r>
              <w:rPr>
                <w:color w:val="auto"/>
                <w:kern w:val="0"/>
                <w:sz w:val="18"/>
                <w:szCs w:val="18"/>
                <w:lang w:bidi="ar"/>
              </w:rPr>
              <w:t>□</w:t>
            </w:r>
          </w:p>
        </w:tc>
        <w:tc>
          <w:tcPr>
            <w:tcW w:w="1731" w:type="dxa"/>
            <w:gridSpan w:val="3"/>
            <w:tcBorders>
              <w:tl2br w:val="nil"/>
              <w:tr2bl w:val="nil"/>
            </w:tcBorders>
            <w:vAlign w:val="center"/>
          </w:tcPr>
          <w:p>
            <w:pPr>
              <w:widowControl/>
              <w:jc w:val="center"/>
              <w:textAlignment w:val="center"/>
              <w:rPr>
                <w:color w:val="auto"/>
                <w:sz w:val="18"/>
                <w:szCs w:val="18"/>
              </w:rPr>
            </w:pPr>
            <w:r>
              <w:rPr>
                <w:color w:val="auto"/>
                <w:kern w:val="0"/>
                <w:sz w:val="18"/>
                <w:szCs w:val="18"/>
                <w:lang w:bidi="ar"/>
              </w:rPr>
              <w:t>地方标准☑</w:t>
            </w:r>
          </w:p>
        </w:tc>
        <w:tc>
          <w:tcPr>
            <w:tcW w:w="1123" w:type="dxa"/>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附录</w:t>
            </w:r>
            <w:r>
              <w:rPr>
                <w:rStyle w:val="39"/>
                <w:rFonts w:hint="default"/>
                <w:color w:val="auto"/>
                <w:sz w:val="18"/>
                <w:szCs w:val="18"/>
                <w:lang w:bidi="ar"/>
              </w:rPr>
              <w:t>D</w:t>
            </w:r>
            <w:r>
              <w:rPr>
                <w:color w:val="auto"/>
                <w:kern w:val="0"/>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color w:val="auto"/>
                <w:kern w:val="0"/>
                <w:sz w:val="18"/>
                <w:szCs w:val="18"/>
                <w:lang w:bidi="ar"/>
              </w:rPr>
              <w:t>其他标准☑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现状评价</w:t>
            </w: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评价功能区</w:t>
            </w:r>
          </w:p>
        </w:tc>
        <w:tc>
          <w:tcPr>
            <w:tcW w:w="2807" w:type="dxa"/>
            <w:gridSpan w:val="5"/>
            <w:tcBorders>
              <w:tl2br w:val="nil"/>
              <w:tr2bl w:val="nil"/>
            </w:tcBorders>
            <w:vAlign w:val="center"/>
          </w:tcPr>
          <w:p>
            <w:pPr>
              <w:widowControl/>
              <w:jc w:val="center"/>
              <w:textAlignment w:val="center"/>
              <w:rPr>
                <w:color w:val="auto"/>
                <w:sz w:val="18"/>
                <w:szCs w:val="18"/>
              </w:rPr>
            </w:pPr>
            <w:r>
              <w:rPr>
                <w:color w:val="auto"/>
                <w:kern w:val="0"/>
                <w:sz w:val="18"/>
                <w:szCs w:val="18"/>
                <w:lang w:bidi="ar"/>
              </w:rPr>
              <w:t>一类区□</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二类区</w:t>
            </w:r>
            <w:r>
              <w:rPr>
                <w:color w:val="auto"/>
                <w:kern w:val="0"/>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color w:val="auto"/>
                <w:kern w:val="0"/>
                <w:sz w:val="18"/>
                <w:szCs w:val="18"/>
                <w:lang w:bidi="ar"/>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评价基准年</w:t>
            </w:r>
          </w:p>
        </w:tc>
        <w:tc>
          <w:tcPr>
            <w:tcW w:w="6855" w:type="dxa"/>
            <w:gridSpan w:val="10"/>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w:t>
            </w:r>
            <w:r>
              <w:rPr>
                <w:rStyle w:val="39"/>
                <w:rFonts w:hint="default"/>
                <w:color w:val="auto"/>
                <w:sz w:val="18"/>
                <w:szCs w:val="18"/>
                <w:lang w:bidi="ar"/>
              </w:rPr>
              <w:t>2019</w:t>
            </w:r>
            <w:r>
              <w:rPr>
                <w:rStyle w:val="59"/>
                <w:color w:val="auto"/>
                <w:sz w:val="18"/>
                <w:szCs w:val="18"/>
                <w:lang w:bidi="ar"/>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环境空气质量现状调查数据来源</w:t>
            </w:r>
          </w:p>
        </w:tc>
        <w:tc>
          <w:tcPr>
            <w:tcW w:w="2807" w:type="dxa"/>
            <w:gridSpan w:val="5"/>
            <w:tcBorders>
              <w:tl2br w:val="nil"/>
              <w:tr2bl w:val="nil"/>
            </w:tcBorders>
            <w:vAlign w:val="center"/>
          </w:tcPr>
          <w:p>
            <w:pPr>
              <w:widowControl/>
              <w:jc w:val="center"/>
              <w:textAlignment w:val="center"/>
              <w:rPr>
                <w:color w:val="auto"/>
                <w:sz w:val="18"/>
                <w:szCs w:val="18"/>
              </w:rPr>
            </w:pPr>
            <w:r>
              <w:rPr>
                <w:color w:val="auto"/>
                <w:kern w:val="0"/>
                <w:sz w:val="18"/>
                <w:szCs w:val="18"/>
                <w:lang w:bidi="ar"/>
              </w:rPr>
              <w:t>长期例行监测数据□</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主管部门发布的数据</w:t>
            </w:r>
            <w:r>
              <w:rPr>
                <w:color w:val="auto"/>
                <w:kern w:val="0"/>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现状补充检测</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现状评价</w:t>
            </w:r>
          </w:p>
        </w:tc>
        <w:tc>
          <w:tcPr>
            <w:tcW w:w="4017" w:type="dxa"/>
            <w:gridSpan w:val="7"/>
            <w:tcBorders>
              <w:tl2br w:val="nil"/>
              <w:tr2bl w:val="nil"/>
            </w:tcBorders>
            <w:vAlign w:val="center"/>
          </w:tcPr>
          <w:p>
            <w:pPr>
              <w:widowControl/>
              <w:jc w:val="center"/>
              <w:textAlignment w:val="center"/>
              <w:rPr>
                <w:color w:val="auto"/>
                <w:sz w:val="18"/>
                <w:szCs w:val="18"/>
              </w:rPr>
            </w:pPr>
            <w:r>
              <w:rPr>
                <w:color w:val="auto"/>
                <w:kern w:val="0"/>
                <w:sz w:val="18"/>
                <w:szCs w:val="18"/>
                <w:lang w:bidi="ar"/>
              </w:rPr>
              <w:t>达标区☑</w:t>
            </w:r>
          </w:p>
        </w:tc>
        <w:tc>
          <w:tcPr>
            <w:tcW w:w="2838"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不达标区</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污染源调查</w:t>
            </w:r>
          </w:p>
        </w:tc>
        <w:tc>
          <w:tcPr>
            <w:tcW w:w="1183"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调查内容</w:t>
            </w:r>
          </w:p>
        </w:tc>
        <w:tc>
          <w:tcPr>
            <w:tcW w:w="2286" w:type="dxa"/>
            <w:gridSpan w:val="4"/>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本项目正常排放源</w:t>
            </w:r>
            <w:r>
              <w:rPr>
                <w:color w:val="auto"/>
                <w:kern w:val="0"/>
                <w:sz w:val="18"/>
                <w:szCs w:val="18"/>
                <w:lang w:bidi="ar"/>
              </w:rPr>
              <w:t>☑</w:t>
            </w:r>
          </w:p>
        </w:tc>
        <w:tc>
          <w:tcPr>
            <w:tcW w:w="1731" w:type="dxa"/>
            <w:gridSpan w:val="3"/>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拟替代的污染源□</w:t>
            </w:r>
          </w:p>
        </w:tc>
        <w:tc>
          <w:tcPr>
            <w:tcW w:w="1123"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其他在建、拟建项目污染源□</w:t>
            </w:r>
          </w:p>
        </w:tc>
        <w:tc>
          <w:tcPr>
            <w:tcW w:w="1715" w:type="dxa"/>
            <w:gridSpan w:val="2"/>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2286" w:type="dxa"/>
            <w:gridSpan w:val="4"/>
            <w:tcBorders>
              <w:tl2br w:val="nil"/>
              <w:tr2bl w:val="nil"/>
            </w:tcBorders>
            <w:vAlign w:val="center"/>
          </w:tcPr>
          <w:p>
            <w:pPr>
              <w:widowControl/>
              <w:jc w:val="center"/>
              <w:textAlignment w:val="center"/>
              <w:rPr>
                <w:color w:val="auto"/>
                <w:sz w:val="18"/>
                <w:szCs w:val="18"/>
              </w:rPr>
            </w:pPr>
            <w:r>
              <w:rPr>
                <w:color w:val="auto"/>
                <w:kern w:val="0"/>
                <w:sz w:val="18"/>
                <w:szCs w:val="18"/>
                <w:lang w:bidi="ar"/>
              </w:rPr>
              <w:t>本项目非正常排放源☑</w:t>
            </w:r>
          </w:p>
        </w:tc>
        <w:tc>
          <w:tcPr>
            <w:tcW w:w="1731" w:type="dxa"/>
            <w:gridSpan w:val="3"/>
            <w:vMerge w:val="continue"/>
            <w:tcBorders>
              <w:tl2br w:val="nil"/>
              <w:tr2bl w:val="nil"/>
            </w:tcBorders>
            <w:vAlign w:val="center"/>
          </w:tcPr>
          <w:p>
            <w:pPr>
              <w:jc w:val="center"/>
              <w:rPr>
                <w:color w:val="auto"/>
                <w:sz w:val="18"/>
                <w:szCs w:val="18"/>
              </w:rPr>
            </w:pPr>
          </w:p>
        </w:tc>
        <w:tc>
          <w:tcPr>
            <w:tcW w:w="1123" w:type="dxa"/>
            <w:vMerge w:val="continue"/>
            <w:tcBorders>
              <w:tl2br w:val="nil"/>
              <w:tr2bl w:val="nil"/>
            </w:tcBorders>
            <w:vAlign w:val="center"/>
          </w:tcPr>
          <w:p>
            <w:pPr>
              <w:jc w:val="center"/>
              <w:rPr>
                <w:color w:val="auto"/>
                <w:sz w:val="18"/>
                <w:szCs w:val="18"/>
              </w:rPr>
            </w:pPr>
          </w:p>
        </w:tc>
        <w:tc>
          <w:tcPr>
            <w:tcW w:w="1715" w:type="dxa"/>
            <w:gridSpan w:val="2"/>
            <w:vMerge w:val="continue"/>
            <w:tcBorders>
              <w:tl2br w:val="nil"/>
              <w:tr2bl w:val="nil"/>
            </w:tcBorders>
            <w:vAlign w:val="center"/>
          </w:tcPr>
          <w:p>
            <w:pPr>
              <w:jc w:val="center"/>
              <w:rPr>
                <w:color w:val="auto"/>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2286" w:type="dxa"/>
            <w:gridSpan w:val="4"/>
            <w:tcBorders>
              <w:tl2br w:val="nil"/>
              <w:tr2bl w:val="nil"/>
            </w:tcBorders>
            <w:vAlign w:val="center"/>
          </w:tcPr>
          <w:p>
            <w:pPr>
              <w:widowControl/>
              <w:jc w:val="center"/>
              <w:textAlignment w:val="center"/>
              <w:rPr>
                <w:color w:val="auto"/>
                <w:sz w:val="18"/>
                <w:szCs w:val="18"/>
              </w:rPr>
            </w:pPr>
            <w:r>
              <w:rPr>
                <w:color w:val="auto"/>
                <w:kern w:val="0"/>
                <w:sz w:val="18"/>
                <w:szCs w:val="18"/>
                <w:lang w:bidi="ar"/>
              </w:rPr>
              <w:t>现有污染源□</w:t>
            </w:r>
          </w:p>
        </w:tc>
        <w:tc>
          <w:tcPr>
            <w:tcW w:w="1731" w:type="dxa"/>
            <w:gridSpan w:val="3"/>
            <w:vMerge w:val="continue"/>
            <w:tcBorders>
              <w:tl2br w:val="nil"/>
              <w:tr2bl w:val="nil"/>
            </w:tcBorders>
            <w:vAlign w:val="center"/>
          </w:tcPr>
          <w:p>
            <w:pPr>
              <w:jc w:val="center"/>
              <w:rPr>
                <w:color w:val="auto"/>
                <w:sz w:val="18"/>
                <w:szCs w:val="18"/>
              </w:rPr>
            </w:pPr>
          </w:p>
        </w:tc>
        <w:tc>
          <w:tcPr>
            <w:tcW w:w="1123" w:type="dxa"/>
            <w:vMerge w:val="continue"/>
            <w:tcBorders>
              <w:tl2br w:val="nil"/>
              <w:tr2bl w:val="nil"/>
            </w:tcBorders>
            <w:vAlign w:val="center"/>
          </w:tcPr>
          <w:p>
            <w:pPr>
              <w:jc w:val="center"/>
              <w:rPr>
                <w:color w:val="auto"/>
                <w:sz w:val="18"/>
                <w:szCs w:val="18"/>
              </w:rPr>
            </w:pPr>
          </w:p>
        </w:tc>
        <w:tc>
          <w:tcPr>
            <w:tcW w:w="1715" w:type="dxa"/>
            <w:gridSpan w:val="2"/>
            <w:vMerge w:val="continue"/>
            <w:tcBorders>
              <w:tl2br w:val="nil"/>
              <w:tr2bl w:val="nil"/>
            </w:tcBorders>
            <w:vAlign w:val="center"/>
          </w:tcPr>
          <w:p>
            <w:pPr>
              <w:jc w:val="center"/>
              <w:rPr>
                <w:color w:val="auto"/>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kern w:val="0"/>
                <w:sz w:val="18"/>
                <w:szCs w:val="18"/>
                <w:lang w:bidi="ar"/>
              </w:rPr>
            </w:pPr>
            <w:r>
              <w:rPr>
                <w:color w:val="auto"/>
                <w:kern w:val="0"/>
                <w:sz w:val="18"/>
                <w:szCs w:val="18"/>
                <w:lang w:bidi="ar"/>
              </w:rPr>
              <w:t>大气环境影响预测与评价</w:t>
            </w:r>
          </w:p>
          <w:p>
            <w:pPr>
              <w:widowControl/>
              <w:jc w:val="center"/>
              <w:textAlignment w:val="bottom"/>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预测模型</w:t>
            </w:r>
          </w:p>
        </w:tc>
        <w:tc>
          <w:tcPr>
            <w:tcW w:w="817" w:type="dxa"/>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AERMOD</w:t>
            </w:r>
            <w:r>
              <w:rPr>
                <w:rStyle w:val="59"/>
                <w:color w:val="auto"/>
                <w:sz w:val="18"/>
                <w:szCs w:val="18"/>
                <w:lang w:bidi="ar"/>
              </w:rPr>
              <w:t>□</w:t>
            </w:r>
          </w:p>
        </w:tc>
        <w:tc>
          <w:tcPr>
            <w:tcW w:w="776" w:type="dxa"/>
            <w:gridSpan w:val="2"/>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ADMS</w:t>
            </w:r>
            <w:r>
              <w:rPr>
                <w:rStyle w:val="59"/>
                <w:color w:val="auto"/>
                <w:sz w:val="18"/>
                <w:szCs w:val="18"/>
                <w:lang w:bidi="ar"/>
              </w:rPr>
              <w:t>□</w:t>
            </w:r>
          </w:p>
        </w:tc>
        <w:tc>
          <w:tcPr>
            <w:tcW w:w="1214" w:type="dxa"/>
            <w:gridSpan w:val="2"/>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AUSTAL2000</w:t>
            </w:r>
            <w:r>
              <w:rPr>
                <w:rStyle w:val="59"/>
                <w:color w:val="auto"/>
                <w:sz w:val="18"/>
                <w:szCs w:val="18"/>
                <w:lang w:bidi="ar"/>
              </w:rPr>
              <w:t>□</w:t>
            </w:r>
          </w:p>
        </w:tc>
        <w:tc>
          <w:tcPr>
            <w:tcW w:w="1210" w:type="dxa"/>
            <w:gridSpan w:val="2"/>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EDMS/AEDT</w:t>
            </w:r>
            <w:r>
              <w:rPr>
                <w:rStyle w:val="59"/>
                <w:color w:val="auto"/>
                <w:sz w:val="18"/>
                <w:szCs w:val="18"/>
                <w:lang w:bidi="ar"/>
              </w:rPr>
              <w:t>□</w:t>
            </w:r>
          </w:p>
        </w:tc>
        <w:tc>
          <w:tcPr>
            <w:tcW w:w="1123" w:type="dxa"/>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CALPUFF</w:t>
            </w:r>
            <w:r>
              <w:rPr>
                <w:rStyle w:val="59"/>
                <w:color w:val="auto"/>
                <w:sz w:val="18"/>
                <w:szCs w:val="18"/>
                <w:lang w:bidi="ar"/>
              </w:rPr>
              <w:t>□</w:t>
            </w:r>
          </w:p>
        </w:tc>
        <w:tc>
          <w:tcPr>
            <w:tcW w:w="956"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网格模型□</w:t>
            </w:r>
          </w:p>
        </w:tc>
        <w:tc>
          <w:tcPr>
            <w:tcW w:w="759"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widowControl/>
              <w:jc w:val="center"/>
              <w:textAlignment w:val="bottom"/>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预测范围</w:t>
            </w:r>
          </w:p>
        </w:tc>
        <w:tc>
          <w:tcPr>
            <w:tcW w:w="2807" w:type="dxa"/>
            <w:gridSpan w:val="5"/>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50km</w:t>
            </w:r>
            <w:r>
              <w:rPr>
                <w:rStyle w:val="59"/>
                <w:color w:val="auto"/>
                <w:sz w:val="18"/>
                <w:szCs w:val="18"/>
                <w:lang w:bidi="ar"/>
              </w:rPr>
              <w:t>□</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5~50km</w:t>
            </w:r>
            <w:r>
              <w:rPr>
                <w:rStyle w:val="59"/>
                <w:color w:val="auto"/>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边长</w:t>
            </w:r>
            <w:r>
              <w:rPr>
                <w:rStyle w:val="39"/>
                <w:rFonts w:hint="default"/>
                <w:color w:val="auto"/>
                <w:sz w:val="18"/>
                <w:szCs w:val="18"/>
                <w:lang w:bidi="ar"/>
              </w:rPr>
              <w:t>=5km</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预测因子</w:t>
            </w:r>
          </w:p>
        </w:tc>
        <w:tc>
          <w:tcPr>
            <w:tcW w:w="4017" w:type="dxa"/>
            <w:gridSpan w:val="7"/>
            <w:vMerge w:val="restart"/>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预测因子（颗粒物、苯并[a]芘、非甲烷总烃）</w:t>
            </w:r>
          </w:p>
        </w:tc>
        <w:tc>
          <w:tcPr>
            <w:tcW w:w="2838"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包括二次</w:t>
            </w:r>
            <w:r>
              <w:rPr>
                <w:rStyle w:val="39"/>
                <w:rFonts w:hint="default"/>
                <w:color w:val="auto"/>
                <w:sz w:val="18"/>
                <w:szCs w:val="18"/>
                <w:lang w:bidi="ar"/>
              </w:rPr>
              <w:t>PM</w:t>
            </w:r>
            <w:r>
              <w:rPr>
                <w:rStyle w:val="49"/>
                <w:rFonts w:hint="default"/>
                <w:color w:val="auto"/>
                <w:sz w:val="18"/>
                <w:szCs w:val="18"/>
                <w:vertAlign w:val="subscript"/>
                <w:lang w:bidi="ar"/>
              </w:rPr>
              <w:t>2.5</w:t>
            </w:r>
            <w:r>
              <w:rPr>
                <w:rStyle w:val="59"/>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4017" w:type="dxa"/>
            <w:gridSpan w:val="7"/>
            <w:vMerge w:val="continue"/>
            <w:tcBorders>
              <w:tl2br w:val="nil"/>
              <w:tr2bl w:val="nil"/>
            </w:tcBorders>
            <w:vAlign w:val="center"/>
          </w:tcPr>
          <w:p>
            <w:pPr>
              <w:jc w:val="center"/>
              <w:rPr>
                <w:color w:val="auto"/>
                <w:sz w:val="18"/>
                <w:szCs w:val="18"/>
              </w:rPr>
            </w:pPr>
          </w:p>
        </w:tc>
        <w:tc>
          <w:tcPr>
            <w:tcW w:w="2838"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不包括二次</w:t>
            </w:r>
            <w:r>
              <w:rPr>
                <w:rStyle w:val="39"/>
                <w:rFonts w:hint="default"/>
                <w:color w:val="auto"/>
                <w:sz w:val="18"/>
                <w:szCs w:val="18"/>
                <w:lang w:bidi="ar"/>
              </w:rPr>
              <w:t>PM</w:t>
            </w:r>
            <w:r>
              <w:rPr>
                <w:rStyle w:val="49"/>
                <w:rFonts w:hint="default"/>
                <w:color w:val="auto"/>
                <w:sz w:val="18"/>
                <w:szCs w:val="18"/>
                <w:vertAlign w:val="subscript"/>
                <w:lang w:bidi="ar"/>
              </w:rPr>
              <w:t>2.5</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正常排放短期浓度贡献值</w:t>
            </w:r>
          </w:p>
        </w:tc>
        <w:tc>
          <w:tcPr>
            <w:tcW w:w="4017" w:type="dxa"/>
            <w:gridSpan w:val="7"/>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59"/>
                <w:color w:val="auto"/>
                <w:sz w:val="18"/>
                <w:szCs w:val="18"/>
                <w:lang w:bidi="ar"/>
              </w:rPr>
              <w:t>本项目最大占标率≤</w:t>
            </w:r>
            <w:r>
              <w:rPr>
                <w:rStyle w:val="39"/>
                <w:rFonts w:hint="default"/>
                <w:color w:val="auto"/>
                <w:sz w:val="18"/>
                <w:szCs w:val="18"/>
                <w:lang w:bidi="ar"/>
              </w:rPr>
              <w:t>100%</w:t>
            </w:r>
            <w:r>
              <w:rPr>
                <w:rStyle w:val="59"/>
                <w:color w:val="auto"/>
                <w:sz w:val="18"/>
                <w:szCs w:val="18"/>
                <w:lang w:bidi="ar"/>
              </w:rPr>
              <w:t>□</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59"/>
                <w:color w:val="auto"/>
                <w:sz w:val="18"/>
                <w:szCs w:val="18"/>
                <w:lang w:bidi="ar"/>
              </w:rPr>
              <w:t>本项目最大占标率</w:t>
            </w:r>
            <w:r>
              <w:rPr>
                <w:rStyle w:val="39"/>
                <w:rFonts w:hint="default"/>
                <w:color w:val="auto"/>
                <w:sz w:val="18"/>
                <w:szCs w:val="18"/>
                <w:lang w:bidi="ar"/>
              </w:rPr>
              <w:t>&gt;100%</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正常排放年均浓度贡献值</w:t>
            </w:r>
          </w:p>
        </w:tc>
        <w:tc>
          <w:tcPr>
            <w:tcW w:w="1593" w:type="dxa"/>
            <w:gridSpan w:val="3"/>
            <w:tcBorders>
              <w:tl2br w:val="nil"/>
              <w:tr2bl w:val="nil"/>
            </w:tcBorders>
            <w:vAlign w:val="center"/>
          </w:tcPr>
          <w:p>
            <w:pPr>
              <w:widowControl/>
              <w:jc w:val="center"/>
              <w:textAlignment w:val="center"/>
              <w:rPr>
                <w:color w:val="auto"/>
                <w:sz w:val="18"/>
                <w:szCs w:val="18"/>
              </w:rPr>
            </w:pPr>
            <w:r>
              <w:rPr>
                <w:color w:val="auto"/>
                <w:kern w:val="0"/>
                <w:sz w:val="18"/>
                <w:szCs w:val="18"/>
                <w:lang w:bidi="ar"/>
              </w:rPr>
              <w:t>一类区</w:t>
            </w:r>
          </w:p>
        </w:tc>
        <w:tc>
          <w:tcPr>
            <w:tcW w:w="2424" w:type="dxa"/>
            <w:gridSpan w:val="4"/>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本项目</w:t>
            </w:r>
            <w:r>
              <w:rPr>
                <w:rStyle w:val="59"/>
                <w:color w:val="auto"/>
                <w:sz w:val="18"/>
                <w:szCs w:val="18"/>
                <w:lang w:bidi="ar"/>
              </w:rPr>
              <w:t>最大占标率≤</w:t>
            </w:r>
            <w:r>
              <w:rPr>
                <w:rStyle w:val="39"/>
                <w:rFonts w:hint="default"/>
                <w:color w:val="auto"/>
                <w:sz w:val="18"/>
                <w:szCs w:val="18"/>
                <w:lang w:bidi="ar"/>
              </w:rPr>
              <w:t>10%</w:t>
            </w:r>
            <w:r>
              <w:rPr>
                <w:rStyle w:val="59"/>
                <w:color w:val="auto"/>
                <w:sz w:val="18"/>
                <w:szCs w:val="18"/>
                <w:lang w:bidi="ar"/>
              </w:rPr>
              <w:t>□</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本项目</w:t>
            </w:r>
            <w:r>
              <w:rPr>
                <w:rStyle w:val="59"/>
                <w:color w:val="auto"/>
                <w:sz w:val="18"/>
                <w:szCs w:val="18"/>
                <w:lang w:bidi="ar"/>
              </w:rPr>
              <w:t>最大占标率</w:t>
            </w:r>
            <w:r>
              <w:rPr>
                <w:rStyle w:val="39"/>
                <w:rFonts w:hint="default"/>
                <w:color w:val="auto"/>
                <w:sz w:val="18"/>
                <w:szCs w:val="18"/>
                <w:lang w:bidi="ar"/>
              </w:rPr>
              <w:t>&gt;10%</w:t>
            </w:r>
            <w:r>
              <w:rPr>
                <w:rStyle w:val="59"/>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1593" w:type="dxa"/>
            <w:gridSpan w:val="3"/>
            <w:tcBorders>
              <w:tl2br w:val="nil"/>
              <w:tr2bl w:val="nil"/>
            </w:tcBorders>
            <w:vAlign w:val="center"/>
          </w:tcPr>
          <w:p>
            <w:pPr>
              <w:widowControl/>
              <w:jc w:val="center"/>
              <w:textAlignment w:val="center"/>
              <w:rPr>
                <w:color w:val="auto"/>
                <w:sz w:val="18"/>
                <w:szCs w:val="18"/>
              </w:rPr>
            </w:pPr>
            <w:r>
              <w:rPr>
                <w:color w:val="auto"/>
                <w:kern w:val="0"/>
                <w:sz w:val="18"/>
                <w:szCs w:val="18"/>
                <w:lang w:bidi="ar"/>
              </w:rPr>
              <w:t>二类区</w:t>
            </w:r>
          </w:p>
        </w:tc>
        <w:tc>
          <w:tcPr>
            <w:tcW w:w="2424" w:type="dxa"/>
            <w:gridSpan w:val="4"/>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本项目</w:t>
            </w:r>
            <w:r>
              <w:rPr>
                <w:rStyle w:val="59"/>
                <w:color w:val="auto"/>
                <w:sz w:val="18"/>
                <w:szCs w:val="18"/>
                <w:lang w:bidi="ar"/>
              </w:rPr>
              <w:t>最大占标率≤</w:t>
            </w:r>
            <w:r>
              <w:rPr>
                <w:rStyle w:val="39"/>
                <w:rFonts w:hint="default"/>
                <w:color w:val="auto"/>
                <w:sz w:val="18"/>
                <w:szCs w:val="18"/>
                <w:lang w:bidi="ar"/>
              </w:rPr>
              <w:t>30%</w:t>
            </w:r>
            <w:r>
              <w:rPr>
                <w:color w:val="auto"/>
                <w:kern w:val="0"/>
                <w:sz w:val="18"/>
                <w:szCs w:val="18"/>
                <w:lang w:bidi="ar"/>
              </w:rPr>
              <w:t>☑</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本项目</w:t>
            </w:r>
            <w:r>
              <w:rPr>
                <w:rStyle w:val="59"/>
                <w:color w:val="auto"/>
                <w:sz w:val="18"/>
                <w:szCs w:val="18"/>
                <w:lang w:bidi="ar"/>
              </w:rPr>
              <w:t>最大占标率</w:t>
            </w:r>
            <w:r>
              <w:rPr>
                <w:rStyle w:val="39"/>
                <w:rFonts w:hint="default"/>
                <w:color w:val="auto"/>
                <w:sz w:val="18"/>
                <w:szCs w:val="18"/>
                <w:lang w:bidi="ar"/>
              </w:rPr>
              <w:t>&gt;30%</w:t>
            </w:r>
            <w:r>
              <w:rPr>
                <w:rStyle w:val="59"/>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restart"/>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非正常</w:t>
            </w:r>
            <w:r>
              <w:rPr>
                <w:rStyle w:val="39"/>
                <w:rFonts w:hint="default"/>
                <w:color w:val="auto"/>
                <w:sz w:val="18"/>
                <w:szCs w:val="18"/>
                <w:lang w:bidi="ar"/>
              </w:rPr>
              <w:t>1h</w:t>
            </w:r>
            <w:r>
              <w:rPr>
                <w:rStyle w:val="59"/>
                <w:color w:val="auto"/>
                <w:sz w:val="18"/>
                <w:szCs w:val="18"/>
                <w:lang w:bidi="ar"/>
              </w:rPr>
              <w:t>浓度贡献值</w:t>
            </w:r>
          </w:p>
        </w:tc>
        <w:tc>
          <w:tcPr>
            <w:tcW w:w="2286" w:type="dxa"/>
            <w:gridSpan w:val="4"/>
            <w:tcBorders>
              <w:tl2br w:val="nil"/>
              <w:tr2bl w:val="nil"/>
            </w:tcBorders>
            <w:vAlign w:val="center"/>
          </w:tcPr>
          <w:p>
            <w:pPr>
              <w:widowControl/>
              <w:jc w:val="center"/>
              <w:textAlignment w:val="center"/>
              <w:rPr>
                <w:color w:val="auto"/>
                <w:sz w:val="18"/>
                <w:szCs w:val="18"/>
              </w:rPr>
            </w:pPr>
            <w:r>
              <w:rPr>
                <w:color w:val="auto"/>
                <w:kern w:val="0"/>
                <w:sz w:val="18"/>
                <w:szCs w:val="18"/>
                <w:lang w:bidi="ar"/>
              </w:rPr>
              <w:t>非正常持续时长</w:t>
            </w:r>
          </w:p>
        </w:tc>
        <w:tc>
          <w:tcPr>
            <w:tcW w:w="2854" w:type="dxa"/>
            <w:gridSpan w:val="4"/>
            <w:vMerge w:val="restart"/>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非正常</w:t>
            </w:r>
            <w:r>
              <w:rPr>
                <w:rStyle w:val="59"/>
                <w:color w:val="auto"/>
                <w:sz w:val="18"/>
                <w:szCs w:val="18"/>
                <w:lang w:bidi="ar"/>
              </w:rPr>
              <w:t>占标率≤</w:t>
            </w:r>
            <w:r>
              <w:rPr>
                <w:rStyle w:val="39"/>
                <w:rFonts w:hint="default"/>
                <w:color w:val="auto"/>
                <w:sz w:val="18"/>
                <w:szCs w:val="18"/>
                <w:lang w:bidi="ar"/>
              </w:rPr>
              <w:t>100%</w:t>
            </w:r>
            <w:r>
              <w:rPr>
                <w:color w:val="auto"/>
                <w:kern w:val="0"/>
                <w:sz w:val="18"/>
                <w:szCs w:val="18"/>
                <w:lang w:bidi="ar"/>
              </w:rPr>
              <w:t>☑</w:t>
            </w:r>
          </w:p>
        </w:tc>
        <w:tc>
          <w:tcPr>
            <w:tcW w:w="1715" w:type="dxa"/>
            <w:gridSpan w:val="2"/>
            <w:vMerge w:val="restart"/>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38"/>
                <w:rFonts w:hint="default"/>
                <w:color w:val="auto"/>
                <w:sz w:val="18"/>
                <w:szCs w:val="18"/>
                <w:lang w:bidi="ar"/>
              </w:rPr>
              <w:t>非正常</w:t>
            </w:r>
            <w:r>
              <w:rPr>
                <w:rStyle w:val="59"/>
                <w:color w:val="auto"/>
                <w:sz w:val="18"/>
                <w:szCs w:val="18"/>
                <w:lang w:bidi="ar"/>
              </w:rPr>
              <w:t>占标率</w:t>
            </w:r>
            <w:r>
              <w:rPr>
                <w:rStyle w:val="39"/>
                <w:rFonts w:hint="default"/>
                <w:color w:val="auto"/>
                <w:sz w:val="18"/>
                <w:szCs w:val="18"/>
                <w:lang w:bidi="ar"/>
              </w:rPr>
              <w:t>&gt;100%</w:t>
            </w:r>
            <w:r>
              <w:rPr>
                <w:rStyle w:val="59"/>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2286" w:type="dxa"/>
            <w:gridSpan w:val="4"/>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w:t>
            </w:r>
            <w:r>
              <w:rPr>
                <w:rStyle w:val="39"/>
                <w:rFonts w:hint="default"/>
                <w:color w:val="auto"/>
                <w:sz w:val="18"/>
                <w:szCs w:val="18"/>
                <w:lang w:bidi="ar"/>
              </w:rPr>
              <w:t>1</w:t>
            </w:r>
            <w:r>
              <w:rPr>
                <w:rStyle w:val="59"/>
                <w:color w:val="auto"/>
                <w:sz w:val="18"/>
                <w:szCs w:val="18"/>
                <w:lang w:bidi="ar"/>
              </w:rPr>
              <w:t>）</w:t>
            </w:r>
            <w:r>
              <w:rPr>
                <w:rStyle w:val="39"/>
                <w:rFonts w:hint="default"/>
                <w:color w:val="auto"/>
                <w:sz w:val="18"/>
                <w:szCs w:val="18"/>
                <w:lang w:bidi="ar"/>
              </w:rPr>
              <w:t>h</w:t>
            </w:r>
          </w:p>
        </w:tc>
        <w:tc>
          <w:tcPr>
            <w:tcW w:w="2854" w:type="dxa"/>
            <w:gridSpan w:val="4"/>
            <w:vMerge w:val="continue"/>
            <w:tcBorders>
              <w:tl2br w:val="nil"/>
              <w:tr2bl w:val="nil"/>
            </w:tcBorders>
            <w:vAlign w:val="center"/>
          </w:tcPr>
          <w:p>
            <w:pPr>
              <w:jc w:val="center"/>
              <w:rPr>
                <w:color w:val="auto"/>
                <w:sz w:val="18"/>
                <w:szCs w:val="18"/>
              </w:rPr>
            </w:pPr>
          </w:p>
        </w:tc>
        <w:tc>
          <w:tcPr>
            <w:tcW w:w="1715" w:type="dxa"/>
            <w:gridSpan w:val="2"/>
            <w:vMerge w:val="continue"/>
            <w:tcBorders>
              <w:tl2br w:val="nil"/>
              <w:tr2bl w:val="nil"/>
            </w:tcBorders>
            <w:vAlign w:val="center"/>
          </w:tcPr>
          <w:p>
            <w:pPr>
              <w:jc w:val="center"/>
              <w:rPr>
                <w:color w:val="auto"/>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保证率日平均浓度和年平均浓度叠加值</w:t>
            </w:r>
          </w:p>
        </w:tc>
        <w:tc>
          <w:tcPr>
            <w:tcW w:w="4017" w:type="dxa"/>
            <w:gridSpan w:val="7"/>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59"/>
                <w:color w:val="auto"/>
                <w:sz w:val="18"/>
                <w:szCs w:val="18"/>
                <w:lang w:bidi="ar"/>
              </w:rPr>
              <w:t>叠加达标□</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C</w:t>
            </w:r>
            <w:r>
              <w:rPr>
                <w:rStyle w:val="59"/>
                <w:color w:val="auto"/>
                <w:sz w:val="18"/>
                <w:szCs w:val="18"/>
                <w:lang w:bidi="ar"/>
              </w:rPr>
              <w:t>叠加不达标□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区域环境质量的整体变化情况</w:t>
            </w:r>
          </w:p>
        </w:tc>
        <w:tc>
          <w:tcPr>
            <w:tcW w:w="4017" w:type="dxa"/>
            <w:gridSpan w:val="7"/>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k</w:t>
            </w:r>
            <w:r>
              <w:rPr>
                <w:rStyle w:val="59"/>
                <w:color w:val="auto"/>
                <w:sz w:val="18"/>
                <w:szCs w:val="18"/>
                <w:lang w:bidi="ar"/>
              </w:rPr>
              <w:t>≤</w:t>
            </w:r>
            <w:r>
              <w:rPr>
                <w:rStyle w:val="39"/>
                <w:rFonts w:hint="default"/>
                <w:color w:val="auto"/>
                <w:sz w:val="18"/>
                <w:szCs w:val="18"/>
                <w:lang w:bidi="ar"/>
              </w:rPr>
              <w:t>-20%</w:t>
            </w:r>
            <w:r>
              <w:rPr>
                <w:rStyle w:val="59"/>
                <w:color w:val="auto"/>
                <w:sz w:val="18"/>
                <w:szCs w:val="18"/>
                <w:lang w:bidi="ar"/>
              </w:rPr>
              <w:t>□</w:t>
            </w:r>
          </w:p>
        </w:tc>
        <w:tc>
          <w:tcPr>
            <w:tcW w:w="2838" w:type="dxa"/>
            <w:gridSpan w:val="3"/>
            <w:tcBorders>
              <w:tl2br w:val="nil"/>
              <w:tr2bl w:val="nil"/>
            </w:tcBorders>
            <w:vAlign w:val="center"/>
          </w:tcPr>
          <w:p>
            <w:pPr>
              <w:widowControl/>
              <w:jc w:val="center"/>
              <w:textAlignment w:val="center"/>
              <w:rPr>
                <w:color w:val="auto"/>
                <w:sz w:val="18"/>
                <w:szCs w:val="18"/>
              </w:rPr>
            </w:pPr>
            <w:r>
              <w:rPr>
                <w:rStyle w:val="39"/>
                <w:rFonts w:hint="default"/>
                <w:color w:val="auto"/>
                <w:sz w:val="18"/>
                <w:szCs w:val="18"/>
                <w:lang w:bidi="ar"/>
              </w:rPr>
              <w:t>k&gt;-20%</w:t>
            </w:r>
            <w:r>
              <w:rPr>
                <w:rStyle w:val="59"/>
                <w:color w:val="auto"/>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环境监测计划</w:t>
            </w:r>
          </w:p>
        </w:tc>
        <w:tc>
          <w:tcPr>
            <w:tcW w:w="1183" w:type="dxa"/>
            <w:vMerge w:val="restart"/>
            <w:tcBorders>
              <w:tl2br w:val="nil"/>
              <w:tr2bl w:val="nil"/>
            </w:tcBorders>
            <w:vAlign w:val="center"/>
          </w:tcPr>
          <w:p>
            <w:pPr>
              <w:widowControl/>
              <w:jc w:val="center"/>
              <w:textAlignment w:val="center"/>
              <w:rPr>
                <w:color w:val="auto"/>
                <w:kern w:val="0"/>
                <w:sz w:val="18"/>
                <w:szCs w:val="18"/>
                <w:lang w:bidi="ar"/>
              </w:rPr>
            </w:pPr>
            <w:r>
              <w:rPr>
                <w:color w:val="auto"/>
                <w:kern w:val="0"/>
                <w:sz w:val="18"/>
                <w:szCs w:val="18"/>
                <w:lang w:bidi="ar"/>
              </w:rPr>
              <w:t>污染源</w:t>
            </w:r>
          </w:p>
          <w:p>
            <w:pPr>
              <w:widowControl/>
              <w:jc w:val="center"/>
              <w:textAlignment w:val="center"/>
              <w:rPr>
                <w:color w:val="auto"/>
                <w:sz w:val="18"/>
                <w:szCs w:val="18"/>
              </w:rPr>
            </w:pPr>
            <w:r>
              <w:rPr>
                <w:color w:val="auto"/>
                <w:kern w:val="0"/>
                <w:sz w:val="18"/>
                <w:szCs w:val="18"/>
                <w:lang w:bidi="ar"/>
              </w:rPr>
              <w:t>监测</w:t>
            </w:r>
          </w:p>
        </w:tc>
        <w:tc>
          <w:tcPr>
            <w:tcW w:w="2807" w:type="dxa"/>
            <w:gridSpan w:val="5"/>
            <w:vMerge w:val="restart"/>
            <w:tcBorders>
              <w:tl2br w:val="nil"/>
              <w:tr2bl w:val="nil"/>
            </w:tcBorders>
            <w:vAlign w:val="center"/>
          </w:tcPr>
          <w:p>
            <w:pPr>
              <w:widowControl/>
              <w:jc w:val="center"/>
              <w:textAlignment w:val="center"/>
              <w:rPr>
                <w:rStyle w:val="59"/>
                <w:color w:val="auto"/>
                <w:sz w:val="18"/>
                <w:szCs w:val="18"/>
                <w:lang w:bidi="ar"/>
              </w:rPr>
            </w:pPr>
            <w:r>
              <w:rPr>
                <w:rStyle w:val="59"/>
                <w:color w:val="auto"/>
                <w:sz w:val="18"/>
                <w:szCs w:val="18"/>
                <w:lang w:bidi="ar"/>
              </w:rPr>
              <w:t>监测因子：</w:t>
            </w:r>
          </w:p>
          <w:p>
            <w:pPr>
              <w:widowControl/>
              <w:jc w:val="center"/>
              <w:textAlignment w:val="center"/>
              <w:rPr>
                <w:color w:val="auto"/>
                <w:sz w:val="18"/>
                <w:szCs w:val="18"/>
              </w:rPr>
            </w:pPr>
            <w:r>
              <w:rPr>
                <w:rStyle w:val="59"/>
                <w:color w:val="auto"/>
                <w:sz w:val="18"/>
                <w:szCs w:val="18"/>
                <w:lang w:bidi="ar"/>
              </w:rPr>
              <w:t>（颗粒物、苯并[a]芘、非甲烷总烃</w:t>
            </w:r>
            <w:r>
              <w:rPr>
                <w:rStyle w:val="59"/>
                <w:rFonts w:hint="eastAsia"/>
                <w:color w:val="auto"/>
                <w:sz w:val="18"/>
                <w:szCs w:val="18"/>
                <w:lang w:bidi="ar"/>
              </w:rPr>
              <w:t>、NO</w:t>
            </w:r>
            <w:r>
              <w:rPr>
                <w:rStyle w:val="59"/>
                <w:rFonts w:hint="eastAsia"/>
                <w:color w:val="auto"/>
                <w:sz w:val="18"/>
                <w:szCs w:val="18"/>
                <w:vertAlign w:val="subscript"/>
                <w:lang w:bidi="ar"/>
              </w:rPr>
              <w:t>x</w:t>
            </w:r>
            <w:r>
              <w:rPr>
                <w:rStyle w:val="59"/>
                <w:rFonts w:hint="eastAsia"/>
                <w:color w:val="auto"/>
                <w:sz w:val="18"/>
                <w:szCs w:val="18"/>
                <w:lang w:bidi="ar"/>
              </w:rPr>
              <w:t>、SO</w:t>
            </w:r>
            <w:r>
              <w:rPr>
                <w:rStyle w:val="59"/>
                <w:rFonts w:hint="eastAsia"/>
                <w:color w:val="auto"/>
                <w:sz w:val="18"/>
                <w:szCs w:val="18"/>
                <w:vertAlign w:val="subscript"/>
                <w:lang w:bidi="ar"/>
              </w:rPr>
              <w:t>2</w:t>
            </w:r>
            <w:r>
              <w:rPr>
                <w:rStyle w:val="59"/>
                <w:rFonts w:hint="eastAsia"/>
                <w:color w:val="auto"/>
                <w:sz w:val="18"/>
                <w:szCs w:val="18"/>
                <w:lang w:bidi="ar"/>
              </w:rPr>
              <w:t>、</w:t>
            </w:r>
            <w:r>
              <w:rPr>
                <w:rStyle w:val="59"/>
                <w:rFonts w:hint="eastAsia"/>
                <w:color w:val="auto"/>
                <w:sz w:val="18"/>
                <w:szCs w:val="18"/>
                <w:lang w:eastAsia="zh-CN" w:bidi="ar"/>
              </w:rPr>
              <w:t>颗粒物</w:t>
            </w:r>
            <w:r>
              <w:rPr>
                <w:rStyle w:val="59"/>
                <w:color w:val="auto"/>
                <w:sz w:val="18"/>
                <w:szCs w:val="18"/>
                <w:lang w:bidi="ar"/>
              </w:rPr>
              <w:t>）</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有组织废气监测</w:t>
            </w:r>
            <w:r>
              <w:rPr>
                <w:color w:val="auto"/>
                <w:kern w:val="0"/>
                <w:sz w:val="18"/>
                <w:szCs w:val="18"/>
                <w:lang w:bidi="ar"/>
              </w:rPr>
              <w:t>☑</w:t>
            </w:r>
          </w:p>
        </w:tc>
        <w:tc>
          <w:tcPr>
            <w:tcW w:w="1715" w:type="dxa"/>
            <w:gridSpan w:val="2"/>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vMerge w:val="continue"/>
            <w:tcBorders>
              <w:tl2br w:val="nil"/>
              <w:tr2bl w:val="nil"/>
            </w:tcBorders>
            <w:vAlign w:val="center"/>
          </w:tcPr>
          <w:p>
            <w:pPr>
              <w:jc w:val="center"/>
              <w:rPr>
                <w:color w:val="auto"/>
                <w:sz w:val="18"/>
                <w:szCs w:val="18"/>
              </w:rPr>
            </w:pPr>
          </w:p>
        </w:tc>
        <w:tc>
          <w:tcPr>
            <w:tcW w:w="2807" w:type="dxa"/>
            <w:gridSpan w:val="5"/>
            <w:vMerge w:val="continue"/>
            <w:tcBorders>
              <w:tl2br w:val="nil"/>
              <w:tr2bl w:val="nil"/>
            </w:tcBorders>
            <w:vAlign w:val="center"/>
          </w:tcPr>
          <w:p>
            <w:pPr>
              <w:jc w:val="center"/>
              <w:rPr>
                <w:color w:val="auto"/>
                <w:sz w:val="18"/>
                <w:szCs w:val="18"/>
              </w:rPr>
            </w:pP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无组织废气监测</w:t>
            </w:r>
            <w:r>
              <w:rPr>
                <w:color w:val="auto"/>
                <w:kern w:val="0"/>
                <w:sz w:val="18"/>
                <w:szCs w:val="18"/>
                <w:lang w:bidi="ar"/>
              </w:rPr>
              <w:t>☑</w:t>
            </w:r>
          </w:p>
        </w:tc>
        <w:tc>
          <w:tcPr>
            <w:tcW w:w="1715" w:type="dxa"/>
            <w:gridSpan w:val="2"/>
            <w:vMerge w:val="continue"/>
            <w:tcBorders>
              <w:tl2br w:val="nil"/>
              <w:tr2bl w:val="nil"/>
            </w:tcBorders>
            <w:vAlign w:val="center"/>
          </w:tcPr>
          <w:p>
            <w:pPr>
              <w:jc w:val="center"/>
              <w:rPr>
                <w:color w:val="auto"/>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环境质量监测</w:t>
            </w:r>
          </w:p>
        </w:tc>
        <w:tc>
          <w:tcPr>
            <w:tcW w:w="2807" w:type="dxa"/>
            <w:gridSpan w:val="5"/>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监测因子：（</w:t>
            </w:r>
            <w:r>
              <w:rPr>
                <w:rStyle w:val="39"/>
                <w:rFonts w:hint="default"/>
                <w:color w:val="auto"/>
                <w:sz w:val="18"/>
                <w:szCs w:val="18"/>
                <w:lang w:bidi="ar"/>
              </w:rPr>
              <w:t xml:space="preserve">   </w:t>
            </w:r>
            <w:r>
              <w:rPr>
                <w:rStyle w:val="59"/>
                <w:color w:val="auto"/>
                <w:sz w:val="18"/>
                <w:szCs w:val="18"/>
                <w:lang w:bidi="ar"/>
              </w:rPr>
              <w:t>）</w:t>
            </w:r>
          </w:p>
        </w:tc>
        <w:tc>
          <w:tcPr>
            <w:tcW w:w="2333" w:type="dxa"/>
            <w:gridSpan w:val="3"/>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监测点位数（</w:t>
            </w:r>
            <w:r>
              <w:rPr>
                <w:rStyle w:val="39"/>
                <w:rFonts w:hint="default"/>
                <w:color w:val="auto"/>
                <w:sz w:val="18"/>
                <w:szCs w:val="18"/>
                <w:lang w:bidi="ar"/>
              </w:rPr>
              <w:t xml:space="preserve">   </w:t>
            </w:r>
            <w:r>
              <w:rPr>
                <w:rStyle w:val="59"/>
                <w:color w:val="auto"/>
                <w:sz w:val="18"/>
                <w:szCs w:val="18"/>
                <w:lang w:bidi="ar"/>
              </w:rPr>
              <w:t>）</w:t>
            </w:r>
          </w:p>
        </w:tc>
        <w:tc>
          <w:tcPr>
            <w:tcW w:w="1715" w:type="dxa"/>
            <w:gridSpan w:val="2"/>
            <w:tcBorders>
              <w:tl2br w:val="nil"/>
              <w:tr2bl w:val="nil"/>
            </w:tcBorders>
            <w:vAlign w:val="center"/>
          </w:tcPr>
          <w:p>
            <w:pPr>
              <w:widowControl/>
              <w:jc w:val="center"/>
              <w:textAlignment w:val="center"/>
              <w:rPr>
                <w:color w:val="auto"/>
                <w:sz w:val="18"/>
                <w:szCs w:val="18"/>
              </w:rPr>
            </w:pPr>
            <w:r>
              <w:rPr>
                <w:color w:val="auto"/>
                <w:kern w:val="0"/>
                <w:sz w:val="18"/>
                <w:szCs w:val="18"/>
                <w:lang w:bidi="ar"/>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restart"/>
            <w:tcBorders>
              <w:tl2br w:val="nil"/>
              <w:tr2bl w:val="nil"/>
            </w:tcBorders>
            <w:vAlign w:val="center"/>
          </w:tcPr>
          <w:p>
            <w:pPr>
              <w:widowControl/>
              <w:jc w:val="center"/>
              <w:textAlignment w:val="center"/>
              <w:rPr>
                <w:color w:val="auto"/>
                <w:sz w:val="18"/>
                <w:szCs w:val="18"/>
              </w:rPr>
            </w:pPr>
            <w:r>
              <w:rPr>
                <w:color w:val="auto"/>
                <w:kern w:val="0"/>
                <w:sz w:val="18"/>
                <w:szCs w:val="18"/>
                <w:lang w:bidi="ar"/>
              </w:rPr>
              <w:t>评价结论</w:t>
            </w: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环境影响</w:t>
            </w:r>
          </w:p>
        </w:tc>
        <w:tc>
          <w:tcPr>
            <w:tcW w:w="6855" w:type="dxa"/>
            <w:gridSpan w:val="10"/>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可以接受</w:t>
            </w:r>
            <w:r>
              <w:rPr>
                <w:color w:val="auto"/>
                <w:kern w:val="0"/>
                <w:sz w:val="18"/>
                <w:szCs w:val="18"/>
                <w:lang w:bidi="ar"/>
              </w:rPr>
              <w:t>☑</w:t>
            </w:r>
            <w:r>
              <w:rPr>
                <w:rStyle w:val="39"/>
                <w:rFonts w:hint="default"/>
                <w:color w:val="auto"/>
                <w:sz w:val="18"/>
                <w:szCs w:val="18"/>
                <w:lang w:bidi="ar"/>
              </w:rPr>
              <w:t xml:space="preserve">             </w:t>
            </w:r>
            <w:r>
              <w:rPr>
                <w:rStyle w:val="59"/>
                <w:color w:val="auto"/>
                <w:sz w:val="18"/>
                <w:szCs w:val="18"/>
                <w:lang w:bidi="ar"/>
              </w:rPr>
              <w:t>不可以接受</w:t>
            </w:r>
            <w:r>
              <w:rPr>
                <w:color w:val="auto"/>
                <w:kern w:val="0"/>
                <w:sz w:val="18"/>
                <w:szCs w:val="18"/>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大气环境防护距离</w:t>
            </w:r>
          </w:p>
        </w:tc>
        <w:tc>
          <w:tcPr>
            <w:tcW w:w="6855" w:type="dxa"/>
            <w:gridSpan w:val="10"/>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距（</w:t>
            </w:r>
            <w:r>
              <w:rPr>
                <w:rStyle w:val="39"/>
                <w:rFonts w:hint="default"/>
                <w:color w:val="auto"/>
                <w:sz w:val="18"/>
                <w:szCs w:val="18"/>
                <w:lang w:bidi="ar"/>
              </w:rPr>
              <w:t xml:space="preserve">    )</w:t>
            </w:r>
            <w:r>
              <w:rPr>
                <w:rStyle w:val="59"/>
                <w:color w:val="auto"/>
                <w:sz w:val="18"/>
                <w:szCs w:val="18"/>
                <w:lang w:bidi="ar"/>
              </w:rPr>
              <w:t>厂界最远（</w:t>
            </w:r>
            <w:r>
              <w:rPr>
                <w:rStyle w:val="39"/>
                <w:rFonts w:hint="default"/>
                <w:color w:val="auto"/>
                <w:sz w:val="18"/>
                <w:szCs w:val="18"/>
                <w:lang w:bidi="ar"/>
              </w:rPr>
              <w:t xml:space="preserve">    </w:t>
            </w:r>
            <w:r>
              <w:rPr>
                <w:rStyle w:val="59"/>
                <w:color w:val="auto"/>
                <w:sz w:val="18"/>
                <w:szCs w:val="18"/>
                <w:lang w:bidi="ar"/>
              </w:rPr>
              <w:t>）</w:t>
            </w:r>
            <w:r>
              <w:rPr>
                <w:rStyle w:val="39"/>
                <w:rFonts w:hint="default"/>
                <w:color w:val="auto"/>
                <w:sz w:val="18"/>
                <w:szCs w:val="18"/>
                <w:lang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724" w:type="dxa"/>
            <w:vMerge w:val="continue"/>
            <w:tcBorders>
              <w:tl2br w:val="nil"/>
              <w:tr2bl w:val="nil"/>
            </w:tcBorders>
            <w:vAlign w:val="center"/>
          </w:tcPr>
          <w:p>
            <w:pPr>
              <w:jc w:val="center"/>
              <w:rPr>
                <w:color w:val="auto"/>
                <w:sz w:val="18"/>
                <w:szCs w:val="18"/>
              </w:rPr>
            </w:pPr>
          </w:p>
        </w:tc>
        <w:tc>
          <w:tcPr>
            <w:tcW w:w="1183" w:type="dxa"/>
            <w:tcBorders>
              <w:tl2br w:val="nil"/>
              <w:tr2bl w:val="nil"/>
            </w:tcBorders>
            <w:vAlign w:val="center"/>
          </w:tcPr>
          <w:p>
            <w:pPr>
              <w:widowControl/>
              <w:jc w:val="center"/>
              <w:textAlignment w:val="center"/>
              <w:rPr>
                <w:color w:val="auto"/>
                <w:sz w:val="18"/>
                <w:szCs w:val="18"/>
              </w:rPr>
            </w:pPr>
            <w:r>
              <w:rPr>
                <w:color w:val="auto"/>
                <w:kern w:val="0"/>
                <w:sz w:val="18"/>
                <w:szCs w:val="18"/>
                <w:lang w:bidi="ar"/>
              </w:rPr>
              <w:t>污染源年排放量</w:t>
            </w:r>
          </w:p>
        </w:tc>
        <w:tc>
          <w:tcPr>
            <w:tcW w:w="1526" w:type="dxa"/>
            <w:gridSpan w:val="2"/>
            <w:tcBorders>
              <w:tl2br w:val="nil"/>
              <w:tr2bl w:val="nil"/>
            </w:tcBorders>
            <w:vAlign w:val="center"/>
          </w:tcPr>
          <w:p>
            <w:pPr>
              <w:widowControl/>
              <w:jc w:val="center"/>
              <w:textAlignment w:val="center"/>
              <w:rPr>
                <w:rFonts w:hint="default" w:ascii="Times New Roman" w:hAnsi="Times New Roman" w:eastAsia="宋体" w:cs="Times New Roman"/>
                <w:color w:val="auto"/>
                <w:sz w:val="18"/>
                <w:szCs w:val="18"/>
              </w:rPr>
            </w:pPr>
            <w:r>
              <w:rPr>
                <w:rStyle w:val="39"/>
                <w:rFonts w:hint="default" w:ascii="Times New Roman" w:hAnsi="Times New Roman" w:eastAsia="宋体" w:cs="Times New Roman"/>
                <w:color w:val="auto"/>
                <w:sz w:val="18"/>
                <w:szCs w:val="18"/>
                <w:lang w:bidi="ar"/>
              </w:rPr>
              <w:t>SO</w:t>
            </w:r>
            <w:r>
              <w:rPr>
                <w:rStyle w:val="49"/>
                <w:rFonts w:hint="default" w:ascii="Times New Roman" w:hAnsi="Times New Roman" w:eastAsia="宋体" w:cs="Times New Roman"/>
                <w:color w:val="auto"/>
                <w:sz w:val="18"/>
                <w:szCs w:val="18"/>
                <w:vertAlign w:val="subscript"/>
                <w:lang w:bidi="ar"/>
              </w:rPr>
              <w:t>2</w:t>
            </w:r>
            <w:r>
              <w:rPr>
                <w:rStyle w:val="39"/>
                <w:rFonts w:hint="default" w:ascii="Times New Roman" w:hAnsi="Times New Roman" w:eastAsia="宋体" w:cs="Times New Roman"/>
                <w:color w:val="auto"/>
                <w:sz w:val="18"/>
                <w:szCs w:val="18"/>
                <w:lang w:bidi="ar"/>
              </w:rPr>
              <w:t>:(0.</w:t>
            </w:r>
            <w:r>
              <w:rPr>
                <w:rStyle w:val="39"/>
                <w:rFonts w:hint="default" w:ascii="Times New Roman" w:hAnsi="Times New Roman" w:eastAsia="宋体" w:cs="Times New Roman"/>
                <w:color w:val="auto"/>
                <w:sz w:val="18"/>
                <w:szCs w:val="18"/>
                <w:lang w:val="en-US" w:eastAsia="zh-CN" w:bidi="ar"/>
              </w:rPr>
              <w:t>22</w:t>
            </w:r>
            <w:r>
              <w:rPr>
                <w:rStyle w:val="39"/>
                <w:rFonts w:hint="default" w:ascii="Times New Roman" w:hAnsi="Times New Roman" w:eastAsia="宋体" w:cs="Times New Roman"/>
                <w:color w:val="auto"/>
                <w:sz w:val="18"/>
                <w:szCs w:val="18"/>
                <w:lang w:bidi="ar"/>
              </w:rPr>
              <w:t xml:space="preserve"> )t/a</w:t>
            </w:r>
          </w:p>
        </w:tc>
        <w:tc>
          <w:tcPr>
            <w:tcW w:w="1892" w:type="dxa"/>
            <w:gridSpan w:val="4"/>
            <w:tcBorders>
              <w:tl2br w:val="nil"/>
              <w:tr2bl w:val="nil"/>
            </w:tcBorders>
            <w:vAlign w:val="center"/>
          </w:tcPr>
          <w:p>
            <w:pPr>
              <w:widowControl/>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NOx:(</w:t>
            </w:r>
            <w:r>
              <w:rPr>
                <w:rFonts w:hint="default" w:ascii="Times New Roman" w:hAnsi="Times New Roman" w:eastAsia="宋体" w:cs="Times New Roman"/>
                <w:color w:val="auto"/>
                <w:kern w:val="0"/>
                <w:sz w:val="18"/>
                <w:szCs w:val="18"/>
                <w:lang w:val="en-US" w:eastAsia="zh-CN" w:bidi="ar"/>
              </w:rPr>
              <w:t>2.3743</w:t>
            </w:r>
            <w:r>
              <w:rPr>
                <w:rFonts w:hint="default" w:ascii="Times New Roman" w:hAnsi="Times New Roman" w:eastAsia="宋体" w:cs="Times New Roman"/>
                <w:color w:val="auto"/>
                <w:kern w:val="0"/>
                <w:sz w:val="18"/>
                <w:szCs w:val="18"/>
                <w:lang w:bidi="ar"/>
              </w:rPr>
              <w:t xml:space="preserve"> )t/a</w:t>
            </w:r>
          </w:p>
        </w:tc>
        <w:tc>
          <w:tcPr>
            <w:tcW w:w="1722" w:type="dxa"/>
            <w:gridSpan w:val="2"/>
            <w:tcBorders>
              <w:tl2br w:val="nil"/>
              <w:tr2bl w:val="nil"/>
            </w:tcBorders>
            <w:vAlign w:val="center"/>
          </w:tcPr>
          <w:p>
            <w:pPr>
              <w:widowControl/>
              <w:jc w:val="center"/>
              <w:textAlignment w:val="center"/>
              <w:rPr>
                <w:rFonts w:hint="default" w:ascii="Times New Roman" w:hAnsi="Times New Roman" w:eastAsia="宋体" w:cs="Times New Roman"/>
                <w:color w:val="auto"/>
                <w:sz w:val="18"/>
                <w:szCs w:val="18"/>
              </w:rPr>
            </w:pPr>
            <w:r>
              <w:rPr>
                <w:rStyle w:val="59"/>
                <w:rFonts w:hint="default" w:ascii="Times New Roman" w:hAnsi="Times New Roman" w:eastAsia="宋体" w:cs="Times New Roman"/>
                <w:color w:val="auto"/>
                <w:sz w:val="18"/>
                <w:szCs w:val="18"/>
                <w:lang w:bidi="ar"/>
              </w:rPr>
              <w:t>颗粒物：</w:t>
            </w:r>
            <w:r>
              <w:rPr>
                <w:rStyle w:val="39"/>
                <w:rFonts w:hint="default" w:ascii="Times New Roman" w:hAnsi="Times New Roman" w:eastAsia="宋体" w:cs="Times New Roman"/>
                <w:color w:val="auto"/>
                <w:sz w:val="18"/>
                <w:szCs w:val="18"/>
                <w:lang w:bidi="ar"/>
              </w:rPr>
              <w:t>(</w:t>
            </w:r>
            <w:r>
              <w:rPr>
                <w:rFonts w:hint="default" w:ascii="Times New Roman" w:hAnsi="Times New Roman" w:eastAsia="宋体" w:cs="Times New Roman"/>
                <w:color w:val="auto"/>
                <w:sz w:val="18"/>
                <w:szCs w:val="18"/>
              </w:rPr>
              <w:t>0.7891</w:t>
            </w:r>
            <w:r>
              <w:rPr>
                <w:rStyle w:val="39"/>
                <w:rFonts w:hint="default" w:ascii="Times New Roman" w:hAnsi="Times New Roman" w:eastAsia="宋体" w:cs="Times New Roman"/>
                <w:color w:val="auto"/>
                <w:sz w:val="18"/>
                <w:szCs w:val="18"/>
                <w:lang w:bidi="ar"/>
              </w:rPr>
              <w:t>)t/a</w:t>
            </w:r>
          </w:p>
        </w:tc>
        <w:tc>
          <w:tcPr>
            <w:tcW w:w="1715" w:type="dxa"/>
            <w:gridSpan w:val="2"/>
            <w:tcBorders>
              <w:tl2br w:val="nil"/>
              <w:tr2bl w:val="nil"/>
            </w:tcBorders>
            <w:vAlign w:val="center"/>
          </w:tcPr>
          <w:p>
            <w:pPr>
              <w:widowControl/>
              <w:jc w:val="center"/>
              <w:textAlignment w:val="center"/>
              <w:rPr>
                <w:rFonts w:hint="default" w:ascii="Times New Roman" w:hAnsi="Times New Roman" w:eastAsia="宋体" w:cs="Times New Roman"/>
                <w:color w:val="auto"/>
                <w:sz w:val="18"/>
                <w:szCs w:val="18"/>
              </w:rPr>
            </w:pPr>
            <w:r>
              <w:rPr>
                <w:rStyle w:val="39"/>
                <w:rFonts w:hint="default" w:ascii="Times New Roman" w:hAnsi="Times New Roman" w:eastAsia="宋体" w:cs="Times New Roman"/>
                <w:color w:val="auto"/>
                <w:sz w:val="18"/>
                <w:szCs w:val="18"/>
                <w:lang w:bidi="ar"/>
              </w:rPr>
              <w:t>VOCs:(</w:t>
            </w:r>
            <w:r>
              <w:rPr>
                <w:rFonts w:hint="default" w:ascii="Times New Roman" w:hAnsi="Times New Roman" w:eastAsia="宋体" w:cs="Times New Roman"/>
                <w:color w:val="auto"/>
                <w:sz w:val="18"/>
                <w:szCs w:val="18"/>
              </w:rPr>
              <w:t>0.2914</w:t>
            </w:r>
            <w:r>
              <w:rPr>
                <w:rStyle w:val="39"/>
                <w:rFonts w:hint="default" w:ascii="Times New Roman" w:hAnsi="Times New Roman" w:eastAsia="宋体" w:cs="Times New Roman"/>
                <w:color w:val="auto"/>
                <w:sz w:val="18"/>
                <w:szCs w:val="18"/>
                <w:lang w:bidi="ar"/>
              </w:rPr>
              <w:t xml:space="preserve"> )t/a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29" w:hRule="atLeast"/>
        </w:trPr>
        <w:tc>
          <w:tcPr>
            <w:tcW w:w="8762" w:type="dxa"/>
            <w:gridSpan w:val="12"/>
            <w:tcBorders>
              <w:tl2br w:val="nil"/>
              <w:tr2bl w:val="nil"/>
            </w:tcBorders>
            <w:vAlign w:val="center"/>
          </w:tcPr>
          <w:p>
            <w:pPr>
              <w:widowControl/>
              <w:jc w:val="center"/>
              <w:textAlignment w:val="center"/>
              <w:rPr>
                <w:color w:val="auto"/>
                <w:sz w:val="18"/>
                <w:szCs w:val="18"/>
              </w:rPr>
            </w:pPr>
            <w:r>
              <w:rPr>
                <w:rStyle w:val="59"/>
                <w:color w:val="auto"/>
                <w:sz w:val="18"/>
                <w:szCs w:val="18"/>
                <w:lang w:bidi="ar"/>
              </w:rPr>
              <w:t>注：</w:t>
            </w:r>
            <w:r>
              <w:rPr>
                <w:rStyle w:val="39"/>
                <w:rFonts w:hint="default"/>
                <w:color w:val="auto"/>
                <w:sz w:val="18"/>
                <w:szCs w:val="18"/>
                <w:lang w:bidi="ar"/>
              </w:rPr>
              <w:t>“</w:t>
            </w:r>
            <w:r>
              <w:rPr>
                <w:rStyle w:val="59"/>
                <w:color w:val="auto"/>
                <w:sz w:val="18"/>
                <w:szCs w:val="18"/>
                <w:lang w:bidi="ar"/>
              </w:rPr>
              <w:t>□</w:t>
            </w:r>
            <w:r>
              <w:rPr>
                <w:rStyle w:val="39"/>
                <w:rFonts w:hint="default"/>
                <w:color w:val="auto"/>
                <w:sz w:val="18"/>
                <w:szCs w:val="18"/>
                <w:lang w:bidi="ar"/>
              </w:rPr>
              <w:t>”</w:t>
            </w:r>
            <w:r>
              <w:rPr>
                <w:rStyle w:val="59"/>
                <w:color w:val="auto"/>
                <w:sz w:val="18"/>
                <w:szCs w:val="18"/>
                <w:lang w:bidi="ar"/>
              </w:rPr>
              <w:t>，填</w:t>
            </w:r>
            <w:r>
              <w:rPr>
                <w:rStyle w:val="39"/>
                <w:rFonts w:hint="default"/>
                <w:color w:val="auto"/>
                <w:sz w:val="18"/>
                <w:szCs w:val="18"/>
                <w:lang w:bidi="ar"/>
              </w:rPr>
              <w:t>“</w:t>
            </w:r>
            <w:r>
              <w:rPr>
                <w:rStyle w:val="59"/>
                <w:color w:val="auto"/>
                <w:sz w:val="18"/>
                <w:szCs w:val="18"/>
                <w:lang w:bidi="ar"/>
              </w:rPr>
              <w:t>√</w:t>
            </w:r>
            <w:r>
              <w:rPr>
                <w:rStyle w:val="39"/>
                <w:rFonts w:hint="default"/>
                <w:color w:val="auto"/>
                <w:sz w:val="18"/>
                <w:szCs w:val="18"/>
                <w:lang w:bidi="ar"/>
              </w:rPr>
              <w:t>”</w:t>
            </w:r>
            <w:r>
              <w:rPr>
                <w:rStyle w:val="59"/>
                <w:color w:val="auto"/>
                <w:sz w:val="18"/>
                <w:szCs w:val="18"/>
                <w:lang w:bidi="ar"/>
              </w:rPr>
              <w:t>；</w:t>
            </w:r>
            <w:r>
              <w:rPr>
                <w:rStyle w:val="39"/>
                <w:rFonts w:hint="default"/>
                <w:color w:val="auto"/>
                <w:sz w:val="18"/>
                <w:szCs w:val="18"/>
                <w:lang w:bidi="ar"/>
              </w:rPr>
              <w:t>“</w:t>
            </w:r>
            <w:r>
              <w:rPr>
                <w:rStyle w:val="59"/>
                <w:color w:val="auto"/>
                <w:sz w:val="18"/>
                <w:szCs w:val="18"/>
                <w:lang w:bidi="ar"/>
              </w:rPr>
              <w:t>（</w:t>
            </w:r>
            <w:r>
              <w:rPr>
                <w:rStyle w:val="39"/>
                <w:rFonts w:hint="default"/>
                <w:color w:val="auto"/>
                <w:sz w:val="18"/>
                <w:szCs w:val="18"/>
                <w:lang w:bidi="ar"/>
              </w:rPr>
              <w:t xml:space="preserve">  </w:t>
            </w:r>
            <w:r>
              <w:rPr>
                <w:rStyle w:val="59"/>
                <w:color w:val="auto"/>
                <w:sz w:val="18"/>
                <w:szCs w:val="18"/>
                <w:lang w:bidi="ar"/>
              </w:rPr>
              <w:t>）</w:t>
            </w:r>
            <w:r>
              <w:rPr>
                <w:rStyle w:val="39"/>
                <w:rFonts w:hint="default"/>
                <w:color w:val="auto"/>
                <w:sz w:val="18"/>
                <w:szCs w:val="18"/>
                <w:lang w:bidi="ar"/>
              </w:rPr>
              <w:t>”</w:t>
            </w:r>
            <w:r>
              <w:rPr>
                <w:rStyle w:val="59"/>
                <w:color w:val="auto"/>
                <w:sz w:val="18"/>
                <w:szCs w:val="18"/>
                <w:lang w:bidi="ar"/>
              </w:rPr>
              <w:t>为内容填写项</w:t>
            </w:r>
          </w:p>
        </w:tc>
      </w:tr>
    </w:tbl>
    <w:p>
      <w:pPr>
        <w:spacing w:line="360" w:lineRule="auto"/>
        <w:outlineLvl w:val="1"/>
        <w:rPr>
          <w:b/>
          <w:bCs/>
          <w:color w:val="auto"/>
          <w:sz w:val="32"/>
          <w:szCs w:val="32"/>
        </w:rPr>
      </w:pPr>
      <w:bookmarkStart w:id="2492" w:name="_Toc17573"/>
      <w:bookmarkStart w:id="2493" w:name="_Toc27077"/>
      <w:bookmarkStart w:id="2494" w:name="_Toc31848"/>
      <w:bookmarkStart w:id="2495" w:name="_Toc1627"/>
      <w:r>
        <w:rPr>
          <w:rFonts w:hint="eastAsia"/>
          <w:b/>
          <w:bCs/>
          <w:color w:val="auto"/>
          <w:sz w:val="32"/>
          <w:szCs w:val="32"/>
        </w:rPr>
        <w:t>6</w:t>
      </w:r>
      <w:r>
        <w:rPr>
          <w:b/>
          <w:bCs/>
          <w:color w:val="auto"/>
          <w:sz w:val="32"/>
          <w:szCs w:val="32"/>
        </w:rPr>
        <w:t>.5运营期声环境影响</w:t>
      </w:r>
      <w:bookmarkEnd w:id="2492"/>
      <w:bookmarkEnd w:id="2493"/>
      <w:bookmarkEnd w:id="2494"/>
      <w:bookmarkEnd w:id="2495"/>
    </w:p>
    <w:p>
      <w:pPr>
        <w:pStyle w:val="44"/>
        <w:numPr>
          <w:ilvl w:val="2"/>
          <w:numId w:val="0"/>
        </w:numPr>
        <w:tabs>
          <w:tab w:val="clear" w:pos="720"/>
        </w:tabs>
        <w:spacing w:before="159" w:after="159" w:line="360" w:lineRule="auto"/>
        <w:rPr>
          <w:color w:val="auto"/>
          <w:sz w:val="28"/>
          <w:szCs w:val="28"/>
        </w:rPr>
      </w:pPr>
      <w:bookmarkStart w:id="2496" w:name="_Toc13636"/>
      <w:bookmarkStart w:id="2497" w:name="_Toc31195"/>
      <w:r>
        <w:rPr>
          <w:rFonts w:hint="eastAsia"/>
          <w:color w:val="auto"/>
          <w:sz w:val="28"/>
          <w:szCs w:val="28"/>
        </w:rPr>
        <w:t>6</w:t>
      </w:r>
      <w:r>
        <w:rPr>
          <w:color w:val="auto"/>
          <w:sz w:val="28"/>
          <w:szCs w:val="28"/>
        </w:rPr>
        <w:t>.5.1</w:t>
      </w:r>
      <w:r>
        <w:rPr>
          <w:rFonts w:hint="eastAsia"/>
          <w:color w:val="auto"/>
          <w:sz w:val="28"/>
          <w:szCs w:val="28"/>
        </w:rPr>
        <w:t xml:space="preserve">  </w:t>
      </w:r>
      <w:r>
        <w:rPr>
          <w:color w:val="auto"/>
          <w:sz w:val="28"/>
          <w:szCs w:val="28"/>
        </w:rPr>
        <w:t>项目主要声源及所在位置</w:t>
      </w:r>
      <w:bookmarkEnd w:id="2496"/>
      <w:bookmarkEnd w:id="2497"/>
    </w:p>
    <w:p>
      <w:pPr>
        <w:pStyle w:val="44"/>
        <w:numPr>
          <w:ilvl w:val="2"/>
          <w:numId w:val="0"/>
        </w:numPr>
        <w:tabs>
          <w:tab w:val="left" w:pos="0"/>
          <w:tab w:val="clear" w:pos="420"/>
          <w:tab w:val="clear" w:pos="720"/>
        </w:tabs>
        <w:spacing w:before="159" w:after="159" w:line="360" w:lineRule="auto"/>
        <w:ind w:firstLine="420" w:firstLineChars="175"/>
        <w:outlineLvl w:val="9"/>
        <w:rPr>
          <w:b w:val="0"/>
          <w:color w:val="auto"/>
          <w:kern w:val="18"/>
          <w:sz w:val="24"/>
        </w:rPr>
      </w:pPr>
      <w:bookmarkStart w:id="2498" w:name="_Toc31956"/>
      <w:bookmarkStart w:id="2499" w:name="_Toc4768"/>
      <w:r>
        <w:rPr>
          <w:b w:val="0"/>
          <w:color w:val="auto"/>
          <w:sz w:val="24"/>
          <w:szCs w:val="24"/>
        </w:rPr>
        <w:t>项目</w:t>
      </w:r>
      <w:r>
        <w:rPr>
          <w:rFonts w:hint="eastAsia"/>
          <w:b w:val="0"/>
          <w:color w:val="auto"/>
          <w:sz w:val="24"/>
          <w:szCs w:val="24"/>
        </w:rPr>
        <w:t>声环境影响评价等级为三级。项目</w:t>
      </w:r>
      <w:r>
        <w:rPr>
          <w:b w:val="0"/>
          <w:color w:val="auto"/>
          <w:sz w:val="24"/>
          <w:szCs w:val="24"/>
        </w:rPr>
        <w:t>在生产过程中，产生的噪声主要来源于生产过程中机械设备，主要包括</w:t>
      </w:r>
      <w:r>
        <w:rPr>
          <w:rFonts w:hint="eastAsia"/>
          <w:b w:val="0"/>
          <w:color w:val="auto"/>
          <w:sz w:val="24"/>
          <w:szCs w:val="24"/>
        </w:rPr>
        <w:t>湿式破碎生产线和卷材生产线</w:t>
      </w:r>
      <w:r>
        <w:rPr>
          <w:b w:val="0"/>
          <w:color w:val="auto"/>
          <w:sz w:val="24"/>
          <w:szCs w:val="24"/>
        </w:rPr>
        <w:t>等。根据厂家提供的资料及类比同类型企业，项目各机械设备产生的噪声值范围为</w:t>
      </w:r>
      <w:r>
        <w:rPr>
          <w:rFonts w:hint="eastAsia"/>
          <w:b w:val="0"/>
          <w:color w:val="auto"/>
          <w:sz w:val="24"/>
          <w:szCs w:val="24"/>
        </w:rPr>
        <w:t>50</w:t>
      </w:r>
      <w:r>
        <w:rPr>
          <w:b w:val="0"/>
          <w:color w:val="auto"/>
          <w:sz w:val="24"/>
          <w:szCs w:val="24"/>
        </w:rPr>
        <w:t>~90dB（A），</w:t>
      </w:r>
      <w:r>
        <w:rPr>
          <w:b w:val="0"/>
          <w:color w:val="auto"/>
          <w:kern w:val="18"/>
          <w:sz w:val="24"/>
        </w:rPr>
        <w:t>项目设备噪声情况具体见下表。</w:t>
      </w:r>
      <w:bookmarkEnd w:id="2498"/>
      <w:bookmarkEnd w:id="2499"/>
    </w:p>
    <w:p>
      <w:pPr>
        <w:tabs>
          <w:tab w:val="left" w:pos="1081"/>
        </w:tabs>
        <w:adjustRightInd w:val="0"/>
        <w:spacing w:line="360" w:lineRule="auto"/>
        <w:jc w:val="center"/>
        <w:rPr>
          <w:b/>
          <w:color w:val="auto"/>
          <w:szCs w:val="21"/>
        </w:rPr>
      </w:pPr>
    </w:p>
    <w:p>
      <w:pPr>
        <w:tabs>
          <w:tab w:val="left" w:pos="1081"/>
        </w:tabs>
        <w:adjustRightInd w:val="0"/>
        <w:spacing w:line="360" w:lineRule="auto"/>
        <w:jc w:val="center"/>
        <w:rPr>
          <w:b/>
          <w:color w:val="auto"/>
          <w:szCs w:val="21"/>
        </w:rPr>
      </w:pPr>
    </w:p>
    <w:p>
      <w:pPr>
        <w:tabs>
          <w:tab w:val="left" w:pos="1081"/>
        </w:tabs>
        <w:adjustRightInd w:val="0"/>
        <w:spacing w:line="360" w:lineRule="auto"/>
        <w:jc w:val="center"/>
        <w:rPr>
          <w:b/>
          <w:color w:val="auto"/>
          <w:szCs w:val="21"/>
        </w:rPr>
      </w:pPr>
    </w:p>
    <w:p>
      <w:pPr>
        <w:tabs>
          <w:tab w:val="left" w:pos="1081"/>
        </w:tabs>
        <w:adjustRightInd w:val="0"/>
        <w:spacing w:line="360" w:lineRule="auto"/>
        <w:jc w:val="center"/>
        <w:rPr>
          <w:b/>
          <w:color w:val="auto"/>
          <w:szCs w:val="21"/>
        </w:rPr>
      </w:pPr>
      <w:r>
        <w:rPr>
          <w:b/>
          <w:color w:val="auto"/>
          <w:szCs w:val="21"/>
        </w:rPr>
        <w:t>表</w:t>
      </w:r>
      <w:r>
        <w:rPr>
          <w:rFonts w:hint="eastAsia"/>
          <w:b/>
          <w:color w:val="auto"/>
          <w:szCs w:val="21"/>
        </w:rPr>
        <w:t xml:space="preserve">6.5-1  </w:t>
      </w:r>
      <w:r>
        <w:rPr>
          <w:b/>
          <w:color w:val="auto"/>
          <w:szCs w:val="21"/>
        </w:rPr>
        <w:t>项目设备噪声情况一览表</w:t>
      </w:r>
    </w:p>
    <w:tbl>
      <w:tblPr>
        <w:tblStyle w:val="23"/>
        <w:tblW w:w="87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2602"/>
        <w:gridCol w:w="734"/>
        <w:gridCol w:w="1171"/>
        <w:gridCol w:w="722"/>
        <w:gridCol w:w="764"/>
        <w:gridCol w:w="765"/>
        <w:gridCol w:w="764"/>
        <w:gridCol w:w="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478" w:type="dxa"/>
            <w:vMerge w:val="restart"/>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序号</w:t>
            </w:r>
          </w:p>
        </w:tc>
        <w:tc>
          <w:tcPr>
            <w:tcW w:w="2602" w:type="dxa"/>
            <w:vMerge w:val="restart"/>
            <w:tcBorders>
              <w:tl2br w:val="nil"/>
              <w:tr2bl w:val="nil"/>
            </w:tcBorders>
            <w:vAlign w:val="center"/>
          </w:tcPr>
          <w:p>
            <w:pPr>
              <w:jc w:val="center"/>
              <w:rPr>
                <w:color w:val="auto"/>
                <w:szCs w:val="21"/>
              </w:rPr>
            </w:pPr>
            <w:r>
              <w:rPr>
                <w:color w:val="auto"/>
                <w:szCs w:val="21"/>
              </w:rPr>
              <w:t>设备名称</w:t>
            </w:r>
          </w:p>
        </w:tc>
        <w:tc>
          <w:tcPr>
            <w:tcW w:w="734" w:type="dxa"/>
            <w:vMerge w:val="restart"/>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数量</w:t>
            </w:r>
          </w:p>
        </w:tc>
        <w:tc>
          <w:tcPr>
            <w:tcW w:w="1171" w:type="dxa"/>
            <w:vMerge w:val="restart"/>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单台</w:t>
            </w:r>
          </w:p>
          <w:p>
            <w:pPr>
              <w:pStyle w:val="43"/>
              <w:jc w:val="center"/>
              <w:rPr>
                <w:rFonts w:ascii="Times New Roman" w:hAnsi="Times New Roman" w:cs="Times New Roman"/>
                <w:color w:val="auto"/>
              </w:rPr>
            </w:pPr>
            <w:r>
              <w:rPr>
                <w:rFonts w:ascii="Times New Roman" w:hAnsi="Times New Roman" w:cs="Times New Roman"/>
                <w:color w:val="auto"/>
              </w:rPr>
              <w:t>噪声值</w:t>
            </w:r>
          </w:p>
          <w:p>
            <w:pPr>
              <w:pStyle w:val="43"/>
              <w:jc w:val="center"/>
              <w:rPr>
                <w:rFonts w:ascii="Times New Roman" w:hAnsi="Times New Roman" w:cs="Times New Roman"/>
                <w:color w:val="auto"/>
              </w:rPr>
            </w:pPr>
            <w:r>
              <w:rPr>
                <w:rFonts w:ascii="Times New Roman" w:hAnsi="Times New Roman" w:cs="Times New Roman"/>
                <w:color w:val="auto"/>
              </w:rPr>
              <w:t>（dB（A））</w:t>
            </w:r>
          </w:p>
        </w:tc>
        <w:tc>
          <w:tcPr>
            <w:tcW w:w="722" w:type="dxa"/>
            <w:vMerge w:val="restart"/>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摆放</w:t>
            </w:r>
          </w:p>
          <w:p>
            <w:pPr>
              <w:pStyle w:val="43"/>
              <w:jc w:val="center"/>
              <w:rPr>
                <w:rFonts w:ascii="Times New Roman" w:hAnsi="Times New Roman" w:cs="Times New Roman"/>
                <w:color w:val="auto"/>
              </w:rPr>
            </w:pPr>
            <w:r>
              <w:rPr>
                <w:rFonts w:ascii="Times New Roman" w:hAnsi="Times New Roman" w:cs="Times New Roman"/>
                <w:color w:val="auto"/>
              </w:rPr>
              <w:t>位置</w:t>
            </w:r>
          </w:p>
        </w:tc>
        <w:tc>
          <w:tcPr>
            <w:tcW w:w="3058" w:type="dxa"/>
            <w:gridSpan w:val="4"/>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与厂界距离（m）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478" w:type="dxa"/>
            <w:vMerge w:val="continue"/>
            <w:tcBorders>
              <w:tl2br w:val="nil"/>
              <w:tr2bl w:val="nil"/>
            </w:tcBorders>
            <w:vAlign w:val="center"/>
          </w:tcPr>
          <w:p>
            <w:pPr>
              <w:pStyle w:val="43"/>
              <w:jc w:val="center"/>
              <w:rPr>
                <w:rFonts w:ascii="Times New Roman" w:hAnsi="Times New Roman" w:cs="Times New Roman"/>
                <w:color w:val="auto"/>
              </w:rPr>
            </w:pPr>
          </w:p>
        </w:tc>
        <w:tc>
          <w:tcPr>
            <w:tcW w:w="2602" w:type="dxa"/>
            <w:vMerge w:val="continue"/>
            <w:tcBorders>
              <w:tl2br w:val="nil"/>
              <w:tr2bl w:val="nil"/>
            </w:tcBorders>
            <w:vAlign w:val="center"/>
          </w:tcPr>
          <w:p>
            <w:pPr>
              <w:jc w:val="center"/>
              <w:rPr>
                <w:color w:val="auto"/>
                <w:szCs w:val="21"/>
              </w:rPr>
            </w:pPr>
          </w:p>
        </w:tc>
        <w:tc>
          <w:tcPr>
            <w:tcW w:w="734" w:type="dxa"/>
            <w:vMerge w:val="continue"/>
            <w:tcBorders>
              <w:tl2br w:val="nil"/>
              <w:tr2bl w:val="nil"/>
            </w:tcBorders>
            <w:vAlign w:val="center"/>
          </w:tcPr>
          <w:p>
            <w:pPr>
              <w:pStyle w:val="43"/>
              <w:jc w:val="center"/>
              <w:rPr>
                <w:rFonts w:ascii="Times New Roman" w:hAnsi="Times New Roman" w:cs="Times New Roman"/>
                <w:color w:val="auto"/>
              </w:rPr>
            </w:pPr>
          </w:p>
        </w:tc>
        <w:tc>
          <w:tcPr>
            <w:tcW w:w="1171" w:type="dxa"/>
            <w:vMerge w:val="continue"/>
            <w:tcBorders>
              <w:tl2br w:val="nil"/>
              <w:tr2bl w:val="nil"/>
            </w:tcBorders>
            <w:vAlign w:val="center"/>
          </w:tcPr>
          <w:p>
            <w:pPr>
              <w:pStyle w:val="43"/>
              <w:jc w:val="center"/>
              <w:rPr>
                <w:rFonts w:ascii="Times New Roman" w:hAnsi="Times New Roman" w:cs="Times New Roman"/>
                <w:color w:val="auto"/>
              </w:rPr>
            </w:pPr>
          </w:p>
        </w:tc>
        <w:tc>
          <w:tcPr>
            <w:tcW w:w="722" w:type="dxa"/>
            <w:vMerge w:val="continue"/>
            <w:tcBorders>
              <w:tl2br w:val="nil"/>
              <w:tr2bl w:val="nil"/>
            </w:tcBorders>
            <w:vAlign w:val="center"/>
          </w:tcPr>
          <w:p>
            <w:pPr>
              <w:pStyle w:val="43"/>
              <w:jc w:val="center"/>
              <w:rPr>
                <w:rFonts w:ascii="Times New Roman" w:hAnsi="Times New Roman" w:cs="Times New Roman"/>
                <w:color w:val="auto"/>
              </w:rPr>
            </w:pPr>
          </w:p>
        </w:tc>
        <w:tc>
          <w:tcPr>
            <w:tcW w:w="764" w:type="dxa"/>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东</w:t>
            </w:r>
          </w:p>
        </w:tc>
        <w:tc>
          <w:tcPr>
            <w:tcW w:w="765" w:type="dxa"/>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南</w:t>
            </w:r>
          </w:p>
        </w:tc>
        <w:tc>
          <w:tcPr>
            <w:tcW w:w="764" w:type="dxa"/>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西</w:t>
            </w:r>
          </w:p>
        </w:tc>
        <w:tc>
          <w:tcPr>
            <w:tcW w:w="765" w:type="dxa"/>
            <w:tcBorders>
              <w:tl2br w:val="nil"/>
              <w:tr2bl w:val="nil"/>
            </w:tcBorders>
            <w:vAlign w:val="center"/>
          </w:tcPr>
          <w:p>
            <w:pPr>
              <w:pStyle w:val="43"/>
              <w:jc w:val="center"/>
              <w:rPr>
                <w:rFonts w:ascii="Times New Roman" w:hAnsi="Times New Roman" w:cs="Times New Roman"/>
                <w:color w:val="auto"/>
              </w:rPr>
            </w:pPr>
            <w:r>
              <w:rPr>
                <w:rFonts w:ascii="Times New Roman" w:hAnsi="Times New Roman" w:cs="Times New Roman"/>
                <w:color w:val="auto"/>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一级破碎机</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80</w:t>
            </w:r>
          </w:p>
        </w:tc>
        <w:tc>
          <w:tcPr>
            <w:tcW w:w="722" w:type="dxa"/>
            <w:vMerge w:val="restart"/>
            <w:tcBorders>
              <w:tl2br w:val="nil"/>
              <w:tr2bl w:val="nil"/>
            </w:tcBorders>
            <w:vAlign w:val="center"/>
          </w:tcPr>
          <w:p>
            <w:pPr>
              <w:widowControl/>
              <w:jc w:val="center"/>
              <w:textAlignment w:val="center"/>
              <w:rPr>
                <w:color w:val="auto"/>
                <w:szCs w:val="21"/>
              </w:rPr>
            </w:pPr>
            <w:r>
              <w:rPr>
                <w:color w:val="auto"/>
                <w:szCs w:val="21"/>
              </w:rPr>
              <w:t>湿式破碎区</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皮带输送机</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自控制柜</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二级破碎机（粉碎机）</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24台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80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5</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自控制柜</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6</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分选摇床</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80台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7</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脱水机（甩干机）</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68</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4"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65" w:type="dxa"/>
            <w:tcBorders>
              <w:tl2br w:val="nil"/>
              <w:tr2bl w:val="nil"/>
            </w:tcBorders>
            <w:vAlign w:val="center"/>
          </w:tcPr>
          <w:p>
            <w:pPr>
              <w:widowControl/>
              <w:jc w:val="center"/>
              <w:textAlignment w:val="center"/>
              <w:rPr>
                <w:color w:val="auto"/>
                <w:szCs w:val="21"/>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8</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渣浆泵</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20台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9</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清水泵</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63</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10</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分渣桶</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24台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11</w:t>
            </w:r>
          </w:p>
        </w:tc>
        <w:tc>
          <w:tcPr>
            <w:tcW w:w="2602" w:type="dxa"/>
            <w:tcBorders>
              <w:tl2br w:val="nil"/>
              <w:tr2bl w:val="nil"/>
            </w:tcBorders>
            <w:vAlign w:val="center"/>
          </w:tcPr>
          <w:p>
            <w:pPr>
              <w:pStyle w:val="50"/>
              <w:jc w:val="center"/>
              <w:rPr>
                <w:rFonts w:ascii="Times New Roman" w:hAnsi="Times New Roman" w:cs="Times New Roman"/>
                <w:color w:val="auto"/>
              </w:rPr>
            </w:pPr>
            <w:r>
              <w:rPr>
                <w:rFonts w:ascii="Times New Roman" w:hAnsi="Times New Roman" w:cs="Times New Roman"/>
                <w:color w:val="auto"/>
              </w:rPr>
              <w:t>总控制柜</w:t>
            </w:r>
          </w:p>
        </w:tc>
        <w:tc>
          <w:tcPr>
            <w:tcW w:w="734" w:type="dxa"/>
            <w:tcBorders>
              <w:tl2br w:val="nil"/>
              <w:tr2bl w:val="nil"/>
            </w:tcBorders>
            <w:vAlign w:val="center"/>
          </w:tcPr>
          <w:p>
            <w:pPr>
              <w:ind w:left="-63" w:leftChars="-30" w:right="-63" w:rightChars="-30"/>
              <w:jc w:val="center"/>
              <w:rPr>
                <w:color w:val="auto"/>
                <w:szCs w:val="21"/>
              </w:rPr>
            </w:pPr>
            <w:r>
              <w:rPr>
                <w:color w:val="auto"/>
                <w:szCs w:val="21"/>
              </w:rPr>
              <w:t>8台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12</w:t>
            </w:r>
          </w:p>
        </w:tc>
        <w:tc>
          <w:tcPr>
            <w:tcW w:w="2602" w:type="dxa"/>
            <w:tcBorders>
              <w:tl2br w:val="nil"/>
              <w:tr2bl w:val="nil"/>
            </w:tcBorders>
            <w:vAlign w:val="center"/>
          </w:tcPr>
          <w:p>
            <w:pPr>
              <w:pStyle w:val="50"/>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压滤设备</w:t>
            </w:r>
          </w:p>
        </w:tc>
        <w:tc>
          <w:tcPr>
            <w:tcW w:w="734" w:type="dxa"/>
            <w:tcBorders>
              <w:tl2br w:val="nil"/>
              <w:tr2bl w:val="nil"/>
            </w:tcBorders>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1组</w:t>
            </w:r>
          </w:p>
        </w:tc>
        <w:tc>
          <w:tcPr>
            <w:tcW w:w="1171" w:type="dxa"/>
            <w:tcBorders>
              <w:tl2br w:val="nil"/>
              <w:tr2bl w:val="nil"/>
            </w:tcBorders>
            <w:vAlign w:val="center"/>
          </w:tcPr>
          <w:p>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rFonts w:hint="eastAsia" w:eastAsia="宋体"/>
                <w:color w:val="auto"/>
                <w:kern w:val="0"/>
                <w:szCs w:val="21"/>
                <w:lang w:eastAsia="zh-CN" w:bidi="ar"/>
              </w:rPr>
            </w:pPr>
            <w:r>
              <w:rPr>
                <w:rFonts w:hint="eastAsia"/>
                <w:color w:val="auto"/>
                <w:kern w:val="0"/>
                <w:szCs w:val="21"/>
                <w:lang w:val="en-US" w:eastAsia="zh-CN"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r>
              <w:rPr>
                <w:rFonts w:hint="eastAsia"/>
                <w:color w:val="auto"/>
                <w:kern w:val="0"/>
                <w:szCs w:val="21"/>
                <w:lang w:val="en-US" w:eastAsia="zh-CN" w:bidi="ar"/>
              </w:rPr>
              <w:t>6</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c>
          <w:tcPr>
            <w:tcW w:w="765" w:type="dxa"/>
            <w:tcBorders>
              <w:tl2br w:val="nil"/>
              <w:tr2bl w:val="nil"/>
            </w:tcBorders>
            <w:vAlign w:val="center"/>
          </w:tcPr>
          <w:p>
            <w:pPr>
              <w:widowControl/>
              <w:jc w:val="center"/>
              <w:textAlignment w:val="center"/>
              <w:rPr>
                <w:rFonts w:hint="eastAsia" w:eastAsia="宋体"/>
                <w:color w:val="auto"/>
                <w:kern w:val="0"/>
                <w:szCs w:val="21"/>
                <w:lang w:eastAsia="zh-CN" w:bidi="ar"/>
              </w:rPr>
            </w:pPr>
            <w:r>
              <w:rPr>
                <w:rFonts w:hint="eastAsia"/>
                <w:color w:val="auto"/>
                <w:kern w:val="0"/>
                <w:szCs w:val="21"/>
                <w:lang w:val="en-US" w:eastAsia="zh-CN"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13</w:t>
            </w:r>
          </w:p>
        </w:tc>
        <w:tc>
          <w:tcPr>
            <w:tcW w:w="2602" w:type="dxa"/>
            <w:tcBorders>
              <w:tl2br w:val="nil"/>
              <w:tr2bl w:val="nil"/>
            </w:tcBorders>
            <w:vAlign w:val="center"/>
          </w:tcPr>
          <w:p>
            <w:pPr>
              <w:pStyle w:val="5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烘干设备</w:t>
            </w:r>
          </w:p>
        </w:tc>
        <w:tc>
          <w:tcPr>
            <w:tcW w:w="734" w:type="dxa"/>
            <w:tcBorders>
              <w:tl2br w:val="nil"/>
              <w:tr2bl w:val="nil"/>
            </w:tcBorders>
            <w:vAlign w:val="center"/>
          </w:tcPr>
          <w:p>
            <w:pPr>
              <w:ind w:left="-63" w:leftChars="-30" w:right="-63" w:rightChars="-30"/>
              <w:jc w:val="center"/>
              <w:rPr>
                <w:rFonts w:hint="eastAsia" w:eastAsia="宋体"/>
                <w:color w:val="auto"/>
                <w:szCs w:val="21"/>
                <w:lang w:val="en-US" w:eastAsia="zh-CN"/>
              </w:rPr>
            </w:pPr>
            <w:r>
              <w:rPr>
                <w:rFonts w:hint="eastAsia"/>
                <w:color w:val="auto"/>
                <w:szCs w:val="21"/>
                <w:lang w:val="en-US" w:eastAsia="zh-CN"/>
              </w:rPr>
              <w:t>1组</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14</w:t>
            </w:r>
          </w:p>
        </w:tc>
        <w:tc>
          <w:tcPr>
            <w:tcW w:w="2602" w:type="dxa"/>
            <w:tcBorders>
              <w:tl2br w:val="nil"/>
              <w:tr2bl w:val="nil"/>
            </w:tcBorders>
            <w:vAlign w:val="center"/>
          </w:tcPr>
          <w:p>
            <w:pPr>
              <w:adjustRightInd w:val="0"/>
              <w:snapToGrid w:val="0"/>
              <w:jc w:val="center"/>
              <w:rPr>
                <w:color w:val="auto"/>
                <w:szCs w:val="21"/>
              </w:rPr>
            </w:pPr>
            <w:r>
              <w:rPr>
                <w:color w:val="auto"/>
                <w:szCs w:val="21"/>
              </w:rPr>
              <w:t>铲车</w:t>
            </w:r>
          </w:p>
        </w:tc>
        <w:tc>
          <w:tcPr>
            <w:tcW w:w="734" w:type="dxa"/>
            <w:tcBorders>
              <w:tl2br w:val="nil"/>
              <w:tr2bl w:val="nil"/>
            </w:tcBorders>
            <w:vAlign w:val="center"/>
          </w:tcPr>
          <w:p>
            <w:pPr>
              <w:ind w:left="-63" w:leftChars="-30" w:right="-63" w:rightChars="-30"/>
              <w:jc w:val="center"/>
              <w:rPr>
                <w:color w:val="auto"/>
                <w:szCs w:val="21"/>
              </w:rPr>
            </w:pPr>
            <w:r>
              <w:rPr>
                <w:rFonts w:hint="eastAsia"/>
                <w:color w:val="auto"/>
                <w:szCs w:val="21"/>
              </w:rPr>
              <w:t>3</w:t>
            </w:r>
            <w:r>
              <w:rPr>
                <w:color w:val="auto"/>
                <w:szCs w:val="21"/>
              </w:rPr>
              <w:t>台</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tcBorders>
              <w:tl2br w:val="nil"/>
              <w:tr2bl w:val="nil"/>
            </w:tcBorders>
            <w:vAlign w:val="center"/>
          </w:tcPr>
          <w:p>
            <w:pPr>
              <w:widowControl/>
              <w:jc w:val="center"/>
              <w:textAlignment w:val="center"/>
              <w:rPr>
                <w:color w:val="auto"/>
                <w:szCs w:val="21"/>
              </w:rPr>
            </w:pPr>
            <w:r>
              <w:rPr>
                <w:color w:val="auto"/>
                <w:szCs w:val="21"/>
              </w:rPr>
              <w:t>/</w:t>
            </w:r>
          </w:p>
        </w:tc>
        <w:tc>
          <w:tcPr>
            <w:tcW w:w="764"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15</w:t>
            </w:r>
          </w:p>
        </w:tc>
        <w:tc>
          <w:tcPr>
            <w:tcW w:w="2602" w:type="dxa"/>
            <w:tcBorders>
              <w:tl2br w:val="nil"/>
              <w:tr2bl w:val="nil"/>
            </w:tcBorders>
            <w:vAlign w:val="center"/>
          </w:tcPr>
          <w:p>
            <w:pPr>
              <w:jc w:val="center"/>
              <w:rPr>
                <w:color w:val="auto"/>
                <w:szCs w:val="21"/>
              </w:rPr>
            </w:pPr>
            <w:r>
              <w:rPr>
                <w:bCs/>
                <w:color w:val="auto"/>
                <w:szCs w:val="21"/>
              </w:rPr>
              <w:t>胎体展开装置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restart"/>
            <w:tcBorders>
              <w:tl2br w:val="nil"/>
              <w:tr2bl w:val="nil"/>
            </w:tcBorders>
            <w:vAlign w:val="center"/>
          </w:tcPr>
          <w:p>
            <w:pPr>
              <w:widowControl/>
              <w:jc w:val="center"/>
              <w:textAlignment w:val="center"/>
              <w:rPr>
                <w:color w:val="auto"/>
                <w:szCs w:val="21"/>
              </w:rPr>
            </w:pPr>
            <w:r>
              <w:rPr>
                <w:color w:val="auto"/>
                <w:szCs w:val="21"/>
              </w:rPr>
              <w:t>卷材生产线</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16</w:t>
            </w:r>
          </w:p>
        </w:tc>
        <w:tc>
          <w:tcPr>
            <w:tcW w:w="2602" w:type="dxa"/>
            <w:tcBorders>
              <w:tl2br w:val="nil"/>
              <w:tr2bl w:val="nil"/>
            </w:tcBorders>
            <w:vAlign w:val="center"/>
          </w:tcPr>
          <w:p>
            <w:pPr>
              <w:jc w:val="center"/>
              <w:rPr>
                <w:color w:val="auto"/>
                <w:szCs w:val="21"/>
              </w:rPr>
            </w:pPr>
            <w:r>
              <w:rPr>
                <w:bCs/>
                <w:color w:val="auto"/>
                <w:szCs w:val="21"/>
              </w:rPr>
              <w:t>胎体搭接装置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63</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17</w:t>
            </w:r>
          </w:p>
        </w:tc>
        <w:tc>
          <w:tcPr>
            <w:tcW w:w="2602" w:type="dxa"/>
            <w:tcBorders>
              <w:tl2br w:val="nil"/>
              <w:tr2bl w:val="nil"/>
            </w:tcBorders>
            <w:vAlign w:val="center"/>
          </w:tcPr>
          <w:p>
            <w:pPr>
              <w:jc w:val="center"/>
              <w:rPr>
                <w:color w:val="auto"/>
                <w:szCs w:val="21"/>
              </w:rPr>
            </w:pPr>
            <w:r>
              <w:rPr>
                <w:bCs/>
                <w:color w:val="auto"/>
                <w:szCs w:val="21"/>
              </w:rPr>
              <w:t>胎体储存装置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11</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18</w:t>
            </w:r>
          </w:p>
        </w:tc>
        <w:tc>
          <w:tcPr>
            <w:tcW w:w="2602" w:type="dxa"/>
            <w:tcBorders>
              <w:tl2br w:val="nil"/>
              <w:tr2bl w:val="nil"/>
            </w:tcBorders>
            <w:vAlign w:val="center"/>
          </w:tcPr>
          <w:p>
            <w:pPr>
              <w:jc w:val="center"/>
              <w:rPr>
                <w:color w:val="auto"/>
                <w:szCs w:val="21"/>
              </w:rPr>
            </w:pPr>
            <w:r>
              <w:rPr>
                <w:bCs/>
                <w:color w:val="auto"/>
                <w:szCs w:val="21"/>
              </w:rPr>
              <w:t>胎体烘干装置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63</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19</w:t>
            </w:r>
          </w:p>
        </w:tc>
        <w:tc>
          <w:tcPr>
            <w:tcW w:w="2602" w:type="dxa"/>
            <w:tcBorders>
              <w:tl2br w:val="nil"/>
              <w:tr2bl w:val="nil"/>
            </w:tcBorders>
            <w:vAlign w:val="center"/>
          </w:tcPr>
          <w:p>
            <w:pPr>
              <w:jc w:val="center"/>
              <w:rPr>
                <w:color w:val="auto"/>
                <w:szCs w:val="21"/>
              </w:rPr>
            </w:pPr>
            <w:r>
              <w:rPr>
                <w:bCs/>
                <w:color w:val="auto"/>
                <w:szCs w:val="21"/>
              </w:rPr>
              <w:t>自动纠偏装置</w:t>
            </w:r>
          </w:p>
        </w:tc>
        <w:tc>
          <w:tcPr>
            <w:tcW w:w="734" w:type="dxa"/>
            <w:tcBorders>
              <w:tl2br w:val="nil"/>
              <w:tr2bl w:val="nil"/>
            </w:tcBorders>
            <w:vAlign w:val="center"/>
          </w:tcPr>
          <w:p>
            <w:pPr>
              <w:jc w:val="center"/>
              <w:rPr>
                <w:color w:val="auto"/>
                <w:szCs w:val="21"/>
              </w:rPr>
            </w:pPr>
            <w:r>
              <w:rPr>
                <w:bCs/>
                <w:color w:val="auto"/>
                <w:szCs w:val="21"/>
              </w:rPr>
              <w:t>2套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66</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20</w:t>
            </w:r>
          </w:p>
        </w:tc>
        <w:tc>
          <w:tcPr>
            <w:tcW w:w="2602" w:type="dxa"/>
            <w:tcBorders>
              <w:tl2br w:val="nil"/>
              <w:tr2bl w:val="nil"/>
            </w:tcBorders>
            <w:vAlign w:val="center"/>
          </w:tcPr>
          <w:p>
            <w:pPr>
              <w:jc w:val="center"/>
              <w:rPr>
                <w:color w:val="auto"/>
                <w:szCs w:val="21"/>
              </w:rPr>
            </w:pPr>
            <w:r>
              <w:rPr>
                <w:bCs/>
                <w:color w:val="auto"/>
                <w:szCs w:val="21"/>
              </w:rPr>
              <w:t>张力控制系统</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68</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13</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78" w:type="dxa"/>
            <w:tcBorders>
              <w:tl2br w:val="nil"/>
              <w:tr2bl w:val="nil"/>
            </w:tcBorders>
            <w:vAlign w:val="center"/>
          </w:tcPr>
          <w:p>
            <w:pPr>
              <w:pStyle w:val="48"/>
              <w:jc w:val="center"/>
              <w:rPr>
                <w:color w:val="auto"/>
                <w:szCs w:val="21"/>
              </w:rPr>
            </w:pPr>
            <w:r>
              <w:rPr>
                <w:color w:val="auto"/>
                <w:szCs w:val="21"/>
              </w:rPr>
              <w:t>21</w:t>
            </w:r>
          </w:p>
        </w:tc>
        <w:tc>
          <w:tcPr>
            <w:tcW w:w="2602" w:type="dxa"/>
            <w:tcBorders>
              <w:tl2br w:val="nil"/>
              <w:tr2bl w:val="nil"/>
            </w:tcBorders>
            <w:vAlign w:val="center"/>
          </w:tcPr>
          <w:p>
            <w:pPr>
              <w:jc w:val="center"/>
              <w:rPr>
                <w:color w:val="auto"/>
                <w:szCs w:val="21"/>
              </w:rPr>
            </w:pPr>
            <w:r>
              <w:rPr>
                <w:bCs/>
                <w:color w:val="auto"/>
                <w:szCs w:val="21"/>
              </w:rPr>
              <w:t>预浸装置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68</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22</w:t>
            </w:r>
          </w:p>
        </w:tc>
        <w:tc>
          <w:tcPr>
            <w:tcW w:w="2602" w:type="dxa"/>
            <w:tcBorders>
              <w:tl2br w:val="nil"/>
              <w:tr2bl w:val="nil"/>
            </w:tcBorders>
            <w:vAlign w:val="center"/>
          </w:tcPr>
          <w:p>
            <w:pPr>
              <w:jc w:val="center"/>
              <w:rPr>
                <w:color w:val="auto"/>
                <w:szCs w:val="21"/>
              </w:rPr>
            </w:pPr>
            <w:r>
              <w:rPr>
                <w:bCs/>
                <w:color w:val="auto"/>
                <w:szCs w:val="21"/>
              </w:rPr>
              <w:t>浸涂装置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62</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23</w:t>
            </w:r>
          </w:p>
        </w:tc>
        <w:tc>
          <w:tcPr>
            <w:tcW w:w="2602" w:type="dxa"/>
            <w:tcBorders>
              <w:tl2br w:val="nil"/>
              <w:tr2bl w:val="nil"/>
            </w:tcBorders>
            <w:vAlign w:val="center"/>
          </w:tcPr>
          <w:p>
            <w:pPr>
              <w:jc w:val="center"/>
              <w:rPr>
                <w:color w:val="auto"/>
                <w:szCs w:val="21"/>
              </w:rPr>
            </w:pPr>
            <w:r>
              <w:rPr>
                <w:bCs/>
                <w:color w:val="auto"/>
                <w:szCs w:val="21"/>
              </w:rPr>
              <w:t>覆膜装置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67</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24</w:t>
            </w:r>
          </w:p>
        </w:tc>
        <w:tc>
          <w:tcPr>
            <w:tcW w:w="2602" w:type="dxa"/>
            <w:tcBorders>
              <w:tl2br w:val="nil"/>
              <w:tr2bl w:val="nil"/>
            </w:tcBorders>
            <w:vAlign w:val="center"/>
          </w:tcPr>
          <w:p>
            <w:pPr>
              <w:jc w:val="center"/>
              <w:rPr>
                <w:color w:val="auto"/>
                <w:szCs w:val="21"/>
              </w:rPr>
            </w:pPr>
            <w:r>
              <w:rPr>
                <w:bCs/>
                <w:color w:val="auto"/>
                <w:szCs w:val="21"/>
              </w:rPr>
              <w:t>悬浮冷却装置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25</w:t>
            </w:r>
          </w:p>
        </w:tc>
        <w:tc>
          <w:tcPr>
            <w:tcW w:w="2602" w:type="dxa"/>
            <w:tcBorders>
              <w:tl2br w:val="nil"/>
              <w:tr2bl w:val="nil"/>
            </w:tcBorders>
            <w:vAlign w:val="center"/>
          </w:tcPr>
          <w:p>
            <w:pPr>
              <w:jc w:val="center"/>
              <w:rPr>
                <w:color w:val="auto"/>
                <w:szCs w:val="21"/>
              </w:rPr>
            </w:pPr>
            <w:r>
              <w:rPr>
                <w:bCs/>
                <w:color w:val="auto"/>
                <w:szCs w:val="21"/>
              </w:rPr>
              <w:t>滚筒式冷却装置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26</w:t>
            </w:r>
          </w:p>
        </w:tc>
        <w:tc>
          <w:tcPr>
            <w:tcW w:w="2602" w:type="dxa"/>
            <w:tcBorders>
              <w:tl2br w:val="nil"/>
              <w:tr2bl w:val="nil"/>
            </w:tcBorders>
            <w:vAlign w:val="center"/>
          </w:tcPr>
          <w:p>
            <w:pPr>
              <w:jc w:val="center"/>
              <w:rPr>
                <w:color w:val="auto"/>
                <w:szCs w:val="21"/>
              </w:rPr>
            </w:pPr>
            <w:r>
              <w:rPr>
                <w:bCs/>
                <w:color w:val="auto"/>
                <w:szCs w:val="21"/>
              </w:rPr>
              <w:t>成品贮存装置</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62</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90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27</w:t>
            </w:r>
          </w:p>
        </w:tc>
        <w:tc>
          <w:tcPr>
            <w:tcW w:w="2602" w:type="dxa"/>
            <w:tcBorders>
              <w:tl2br w:val="nil"/>
              <w:tr2bl w:val="nil"/>
            </w:tcBorders>
            <w:vAlign w:val="center"/>
          </w:tcPr>
          <w:p>
            <w:pPr>
              <w:jc w:val="center"/>
              <w:rPr>
                <w:color w:val="auto"/>
                <w:szCs w:val="21"/>
              </w:rPr>
            </w:pPr>
            <w:r>
              <w:rPr>
                <w:bCs/>
                <w:color w:val="auto"/>
                <w:szCs w:val="21"/>
              </w:rPr>
              <w:t>弹跳缓冲装置</w:t>
            </w:r>
          </w:p>
        </w:tc>
        <w:tc>
          <w:tcPr>
            <w:tcW w:w="734" w:type="dxa"/>
            <w:tcBorders>
              <w:tl2br w:val="nil"/>
              <w:tr2bl w:val="nil"/>
            </w:tcBorders>
            <w:vAlign w:val="center"/>
          </w:tcPr>
          <w:p>
            <w:pPr>
              <w:jc w:val="center"/>
              <w:rPr>
                <w:color w:val="auto"/>
                <w:szCs w:val="21"/>
              </w:rPr>
            </w:pPr>
            <w:r>
              <w:rPr>
                <w:bCs/>
                <w:color w:val="auto"/>
                <w:szCs w:val="21"/>
              </w:rPr>
              <w:t>2套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90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28</w:t>
            </w:r>
          </w:p>
        </w:tc>
        <w:tc>
          <w:tcPr>
            <w:tcW w:w="2602" w:type="dxa"/>
            <w:tcBorders>
              <w:tl2br w:val="nil"/>
              <w:tr2bl w:val="nil"/>
            </w:tcBorders>
            <w:vAlign w:val="center"/>
          </w:tcPr>
          <w:p>
            <w:pPr>
              <w:jc w:val="center"/>
              <w:rPr>
                <w:color w:val="auto"/>
                <w:szCs w:val="21"/>
              </w:rPr>
            </w:pPr>
            <w:r>
              <w:rPr>
                <w:bCs/>
                <w:color w:val="auto"/>
                <w:szCs w:val="21"/>
              </w:rPr>
              <w:t>传动部分</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66</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29</w:t>
            </w:r>
          </w:p>
        </w:tc>
        <w:tc>
          <w:tcPr>
            <w:tcW w:w="2602" w:type="dxa"/>
            <w:tcBorders>
              <w:tl2br w:val="nil"/>
              <w:tr2bl w:val="nil"/>
            </w:tcBorders>
            <w:vAlign w:val="center"/>
          </w:tcPr>
          <w:p>
            <w:pPr>
              <w:jc w:val="center"/>
              <w:rPr>
                <w:color w:val="auto"/>
                <w:szCs w:val="21"/>
              </w:rPr>
            </w:pPr>
            <w:r>
              <w:rPr>
                <w:bCs/>
                <w:color w:val="auto"/>
                <w:szCs w:val="21"/>
              </w:rPr>
              <w:t>全自动打卷机</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68</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30</w:t>
            </w:r>
          </w:p>
        </w:tc>
        <w:tc>
          <w:tcPr>
            <w:tcW w:w="2602" w:type="dxa"/>
            <w:tcBorders>
              <w:tl2br w:val="nil"/>
              <w:tr2bl w:val="nil"/>
            </w:tcBorders>
            <w:vAlign w:val="center"/>
          </w:tcPr>
          <w:p>
            <w:pPr>
              <w:jc w:val="center"/>
              <w:rPr>
                <w:color w:val="auto"/>
                <w:szCs w:val="21"/>
              </w:rPr>
            </w:pPr>
            <w:r>
              <w:rPr>
                <w:bCs/>
                <w:color w:val="auto"/>
                <w:szCs w:val="21"/>
              </w:rPr>
              <w:t>操作平台</w:t>
            </w:r>
          </w:p>
        </w:tc>
        <w:tc>
          <w:tcPr>
            <w:tcW w:w="734" w:type="dxa"/>
            <w:tcBorders>
              <w:tl2br w:val="nil"/>
              <w:tr2bl w:val="nil"/>
            </w:tcBorders>
            <w:vAlign w:val="center"/>
          </w:tcPr>
          <w:p>
            <w:pPr>
              <w:jc w:val="center"/>
              <w:rPr>
                <w:color w:val="auto"/>
                <w:szCs w:val="21"/>
              </w:rPr>
            </w:pPr>
            <w:r>
              <w:rPr>
                <w:bCs/>
                <w:color w:val="auto"/>
                <w:szCs w:val="21"/>
              </w:rPr>
              <w:t>配套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31</w:t>
            </w:r>
          </w:p>
        </w:tc>
        <w:tc>
          <w:tcPr>
            <w:tcW w:w="2602" w:type="dxa"/>
            <w:tcBorders>
              <w:tl2br w:val="nil"/>
              <w:tr2bl w:val="nil"/>
            </w:tcBorders>
            <w:vAlign w:val="center"/>
          </w:tcPr>
          <w:p>
            <w:pPr>
              <w:jc w:val="center"/>
              <w:rPr>
                <w:color w:val="auto"/>
                <w:szCs w:val="21"/>
              </w:rPr>
            </w:pPr>
            <w:r>
              <w:rPr>
                <w:bCs/>
                <w:color w:val="auto"/>
                <w:szCs w:val="21"/>
              </w:rPr>
              <w:t>改性沥青搅拌罐</w:t>
            </w:r>
          </w:p>
        </w:tc>
        <w:tc>
          <w:tcPr>
            <w:tcW w:w="734" w:type="dxa"/>
            <w:tcBorders>
              <w:tl2br w:val="nil"/>
              <w:tr2bl w:val="nil"/>
            </w:tcBorders>
            <w:vAlign w:val="center"/>
          </w:tcPr>
          <w:p>
            <w:pPr>
              <w:jc w:val="center"/>
              <w:rPr>
                <w:color w:val="auto"/>
                <w:szCs w:val="21"/>
              </w:rPr>
            </w:pPr>
            <w:r>
              <w:rPr>
                <w:bCs/>
                <w:color w:val="auto"/>
                <w:szCs w:val="21"/>
              </w:rPr>
              <w:t>3套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68</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68</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32</w:t>
            </w:r>
          </w:p>
        </w:tc>
        <w:tc>
          <w:tcPr>
            <w:tcW w:w="2602" w:type="dxa"/>
            <w:tcBorders>
              <w:tl2br w:val="nil"/>
              <w:tr2bl w:val="nil"/>
            </w:tcBorders>
            <w:vAlign w:val="center"/>
          </w:tcPr>
          <w:p>
            <w:pPr>
              <w:jc w:val="center"/>
              <w:rPr>
                <w:color w:val="auto"/>
                <w:szCs w:val="21"/>
              </w:rPr>
            </w:pPr>
            <w:r>
              <w:rPr>
                <w:bCs/>
                <w:color w:val="auto"/>
                <w:szCs w:val="21"/>
              </w:rPr>
              <w:t>物料提升机</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33</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33</w:t>
            </w:r>
          </w:p>
        </w:tc>
        <w:tc>
          <w:tcPr>
            <w:tcW w:w="2602" w:type="dxa"/>
            <w:tcBorders>
              <w:tl2br w:val="nil"/>
              <w:tr2bl w:val="nil"/>
            </w:tcBorders>
            <w:vAlign w:val="center"/>
          </w:tcPr>
          <w:p>
            <w:pPr>
              <w:jc w:val="center"/>
              <w:rPr>
                <w:color w:val="auto"/>
                <w:szCs w:val="21"/>
              </w:rPr>
            </w:pPr>
            <w:r>
              <w:rPr>
                <w:bCs/>
                <w:color w:val="auto"/>
                <w:szCs w:val="21"/>
              </w:rPr>
              <w:t>胶体磨</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72</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76</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34</w:t>
            </w:r>
          </w:p>
        </w:tc>
        <w:tc>
          <w:tcPr>
            <w:tcW w:w="2602" w:type="dxa"/>
            <w:tcBorders>
              <w:tl2br w:val="nil"/>
              <w:tr2bl w:val="nil"/>
            </w:tcBorders>
            <w:vAlign w:val="center"/>
          </w:tcPr>
          <w:p>
            <w:pPr>
              <w:jc w:val="center"/>
              <w:rPr>
                <w:color w:val="auto"/>
                <w:szCs w:val="21"/>
              </w:rPr>
            </w:pPr>
            <w:r>
              <w:rPr>
                <w:bCs/>
                <w:color w:val="auto"/>
                <w:szCs w:val="21"/>
              </w:rPr>
              <w:t>电气控制</w:t>
            </w:r>
          </w:p>
        </w:tc>
        <w:tc>
          <w:tcPr>
            <w:tcW w:w="734" w:type="dxa"/>
            <w:tcBorders>
              <w:tl2br w:val="nil"/>
              <w:tr2bl w:val="nil"/>
            </w:tcBorders>
            <w:vAlign w:val="center"/>
          </w:tcPr>
          <w:p>
            <w:pPr>
              <w:jc w:val="center"/>
              <w:rPr>
                <w:color w:val="auto"/>
                <w:szCs w:val="21"/>
              </w:rPr>
            </w:pPr>
            <w:r>
              <w:rPr>
                <w:bCs/>
                <w:color w:val="auto"/>
                <w:szCs w:val="21"/>
              </w:rPr>
              <w:t>配套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28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35</w:t>
            </w:r>
          </w:p>
        </w:tc>
        <w:tc>
          <w:tcPr>
            <w:tcW w:w="2602" w:type="dxa"/>
            <w:tcBorders>
              <w:tl2br w:val="nil"/>
              <w:tr2bl w:val="nil"/>
            </w:tcBorders>
            <w:vAlign w:val="center"/>
          </w:tcPr>
          <w:p>
            <w:pPr>
              <w:jc w:val="center"/>
              <w:rPr>
                <w:color w:val="auto"/>
                <w:szCs w:val="21"/>
              </w:rPr>
            </w:pPr>
            <w:r>
              <w:rPr>
                <w:bCs/>
                <w:color w:val="auto"/>
                <w:szCs w:val="21"/>
              </w:rPr>
              <w:t>管线阀门</w:t>
            </w:r>
          </w:p>
        </w:tc>
        <w:tc>
          <w:tcPr>
            <w:tcW w:w="734" w:type="dxa"/>
            <w:tcBorders>
              <w:tl2br w:val="nil"/>
              <w:tr2bl w:val="nil"/>
            </w:tcBorders>
            <w:vAlign w:val="center"/>
          </w:tcPr>
          <w:p>
            <w:pPr>
              <w:jc w:val="center"/>
              <w:rPr>
                <w:color w:val="auto"/>
                <w:szCs w:val="21"/>
              </w:rPr>
            </w:pPr>
            <w:r>
              <w:rPr>
                <w:bCs/>
                <w:color w:val="auto"/>
                <w:szCs w:val="21"/>
              </w:rPr>
              <w:t>配套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68</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36</w:t>
            </w:r>
          </w:p>
        </w:tc>
        <w:tc>
          <w:tcPr>
            <w:tcW w:w="2602" w:type="dxa"/>
            <w:tcBorders>
              <w:tl2br w:val="nil"/>
              <w:tr2bl w:val="nil"/>
            </w:tcBorders>
            <w:vAlign w:val="center"/>
          </w:tcPr>
          <w:p>
            <w:pPr>
              <w:jc w:val="center"/>
              <w:rPr>
                <w:color w:val="auto"/>
                <w:szCs w:val="21"/>
              </w:rPr>
            </w:pPr>
            <w:r>
              <w:rPr>
                <w:bCs/>
                <w:color w:val="auto"/>
                <w:szCs w:val="21"/>
              </w:rPr>
              <w:t>混合料泵</w:t>
            </w:r>
          </w:p>
        </w:tc>
        <w:tc>
          <w:tcPr>
            <w:tcW w:w="734" w:type="dxa"/>
            <w:tcBorders>
              <w:tl2br w:val="nil"/>
              <w:tr2bl w:val="nil"/>
            </w:tcBorders>
            <w:vAlign w:val="center"/>
          </w:tcPr>
          <w:p>
            <w:pPr>
              <w:jc w:val="center"/>
              <w:rPr>
                <w:color w:val="auto"/>
                <w:szCs w:val="21"/>
              </w:rPr>
            </w:pPr>
            <w:r>
              <w:rPr>
                <w:bCs/>
                <w:color w:val="auto"/>
                <w:szCs w:val="21"/>
              </w:rPr>
              <w:t>2套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65</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74</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37</w:t>
            </w:r>
          </w:p>
        </w:tc>
        <w:tc>
          <w:tcPr>
            <w:tcW w:w="2602" w:type="dxa"/>
            <w:tcBorders>
              <w:tl2br w:val="nil"/>
              <w:tr2bl w:val="nil"/>
            </w:tcBorders>
            <w:vAlign w:val="center"/>
          </w:tcPr>
          <w:p>
            <w:pPr>
              <w:jc w:val="center"/>
              <w:rPr>
                <w:color w:val="auto"/>
                <w:szCs w:val="21"/>
              </w:rPr>
            </w:pPr>
            <w:r>
              <w:rPr>
                <w:bCs/>
                <w:color w:val="auto"/>
                <w:szCs w:val="21"/>
              </w:rPr>
              <w:t>过滤器</w:t>
            </w:r>
          </w:p>
        </w:tc>
        <w:tc>
          <w:tcPr>
            <w:tcW w:w="734" w:type="dxa"/>
            <w:tcBorders>
              <w:tl2br w:val="nil"/>
              <w:tr2bl w:val="nil"/>
            </w:tcBorders>
            <w:vAlign w:val="center"/>
          </w:tcPr>
          <w:p>
            <w:pPr>
              <w:jc w:val="center"/>
              <w:rPr>
                <w:color w:val="auto"/>
                <w:szCs w:val="21"/>
              </w:rPr>
            </w:pPr>
            <w:r>
              <w:rPr>
                <w:bCs/>
                <w:color w:val="auto"/>
                <w:szCs w:val="21"/>
              </w:rPr>
              <w:t>2套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19</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38</w:t>
            </w:r>
          </w:p>
        </w:tc>
        <w:tc>
          <w:tcPr>
            <w:tcW w:w="2602" w:type="dxa"/>
            <w:tcBorders>
              <w:tl2br w:val="nil"/>
              <w:tr2bl w:val="nil"/>
            </w:tcBorders>
            <w:vAlign w:val="center"/>
          </w:tcPr>
          <w:p>
            <w:pPr>
              <w:jc w:val="center"/>
              <w:rPr>
                <w:color w:val="auto"/>
                <w:szCs w:val="21"/>
              </w:rPr>
            </w:pPr>
            <w:r>
              <w:rPr>
                <w:bCs/>
                <w:color w:val="auto"/>
                <w:szCs w:val="21"/>
              </w:rPr>
              <w:t>沥清卸料加温池</w:t>
            </w:r>
          </w:p>
        </w:tc>
        <w:tc>
          <w:tcPr>
            <w:tcW w:w="734" w:type="dxa"/>
            <w:tcBorders>
              <w:tl2br w:val="nil"/>
              <w:tr2bl w:val="nil"/>
            </w:tcBorders>
            <w:vAlign w:val="center"/>
          </w:tcPr>
          <w:p>
            <w:pPr>
              <w:jc w:val="center"/>
              <w:rPr>
                <w:color w:val="auto"/>
                <w:szCs w:val="21"/>
              </w:rPr>
            </w:pPr>
            <w:r>
              <w:rPr>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39</w:t>
            </w:r>
          </w:p>
        </w:tc>
        <w:tc>
          <w:tcPr>
            <w:tcW w:w="2602" w:type="dxa"/>
            <w:tcBorders>
              <w:tl2br w:val="nil"/>
              <w:tr2bl w:val="nil"/>
            </w:tcBorders>
            <w:vAlign w:val="center"/>
          </w:tcPr>
          <w:p>
            <w:pPr>
              <w:jc w:val="center"/>
              <w:rPr>
                <w:color w:val="auto"/>
                <w:szCs w:val="21"/>
              </w:rPr>
            </w:pPr>
            <w:r>
              <w:rPr>
                <w:bCs/>
                <w:color w:val="auto"/>
                <w:szCs w:val="21"/>
              </w:rPr>
              <w:t>沥青储存罐</w:t>
            </w:r>
          </w:p>
        </w:tc>
        <w:tc>
          <w:tcPr>
            <w:tcW w:w="734" w:type="dxa"/>
            <w:tcBorders>
              <w:tl2br w:val="nil"/>
              <w:tr2bl w:val="nil"/>
            </w:tcBorders>
            <w:vAlign w:val="center"/>
          </w:tcPr>
          <w:p>
            <w:pPr>
              <w:jc w:val="center"/>
              <w:rPr>
                <w:color w:val="auto"/>
                <w:szCs w:val="21"/>
              </w:rPr>
            </w:pPr>
            <w:r>
              <w:rPr>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61</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40</w:t>
            </w:r>
          </w:p>
        </w:tc>
        <w:tc>
          <w:tcPr>
            <w:tcW w:w="2602" w:type="dxa"/>
            <w:tcBorders>
              <w:tl2br w:val="nil"/>
              <w:tr2bl w:val="nil"/>
            </w:tcBorders>
            <w:vAlign w:val="center"/>
          </w:tcPr>
          <w:p>
            <w:pPr>
              <w:jc w:val="center"/>
              <w:rPr>
                <w:color w:val="auto"/>
                <w:szCs w:val="21"/>
              </w:rPr>
            </w:pPr>
            <w:r>
              <w:rPr>
                <w:bCs/>
                <w:color w:val="auto"/>
                <w:szCs w:val="21"/>
              </w:rPr>
              <w:t>沥青加温盘管及输</w:t>
            </w:r>
            <w:r>
              <w:rPr>
                <w:rFonts w:hint="eastAsia"/>
                <w:bCs/>
                <w:color w:val="auto"/>
                <w:szCs w:val="21"/>
                <w:lang w:val="en-US" w:eastAsia="zh-CN"/>
              </w:rPr>
              <w:t>送</w:t>
            </w:r>
            <w:r>
              <w:rPr>
                <w:bCs/>
                <w:color w:val="auto"/>
                <w:szCs w:val="21"/>
              </w:rPr>
              <w:t>装置</w:t>
            </w:r>
          </w:p>
        </w:tc>
        <w:tc>
          <w:tcPr>
            <w:tcW w:w="734" w:type="dxa"/>
            <w:tcBorders>
              <w:tl2br w:val="nil"/>
              <w:tr2bl w:val="nil"/>
            </w:tcBorders>
            <w:vAlign w:val="center"/>
          </w:tcPr>
          <w:p>
            <w:pPr>
              <w:jc w:val="center"/>
              <w:rPr>
                <w:color w:val="auto"/>
                <w:szCs w:val="21"/>
              </w:rPr>
            </w:pPr>
            <w:r>
              <w:rPr>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78" w:type="dxa"/>
            <w:tcBorders>
              <w:tl2br w:val="nil"/>
              <w:tr2bl w:val="nil"/>
            </w:tcBorders>
            <w:vAlign w:val="center"/>
          </w:tcPr>
          <w:p>
            <w:pPr>
              <w:pStyle w:val="48"/>
              <w:jc w:val="center"/>
              <w:rPr>
                <w:color w:val="auto"/>
                <w:szCs w:val="21"/>
              </w:rPr>
            </w:pPr>
            <w:r>
              <w:rPr>
                <w:color w:val="auto"/>
                <w:szCs w:val="21"/>
              </w:rPr>
              <w:t>41</w:t>
            </w:r>
          </w:p>
        </w:tc>
        <w:tc>
          <w:tcPr>
            <w:tcW w:w="2602" w:type="dxa"/>
            <w:tcBorders>
              <w:tl2br w:val="nil"/>
              <w:tr2bl w:val="nil"/>
            </w:tcBorders>
            <w:vAlign w:val="center"/>
          </w:tcPr>
          <w:p>
            <w:pPr>
              <w:jc w:val="center"/>
              <w:rPr>
                <w:color w:val="auto"/>
                <w:szCs w:val="21"/>
              </w:rPr>
            </w:pPr>
            <w:r>
              <w:rPr>
                <w:bCs/>
                <w:color w:val="auto"/>
                <w:szCs w:val="21"/>
              </w:rPr>
              <w:t>软化油罐</w:t>
            </w:r>
          </w:p>
        </w:tc>
        <w:tc>
          <w:tcPr>
            <w:tcW w:w="734" w:type="dxa"/>
            <w:tcBorders>
              <w:tl2br w:val="nil"/>
              <w:tr2bl w:val="nil"/>
            </w:tcBorders>
            <w:vAlign w:val="center"/>
          </w:tcPr>
          <w:p>
            <w:pPr>
              <w:jc w:val="center"/>
              <w:rPr>
                <w:color w:val="auto"/>
                <w:szCs w:val="21"/>
              </w:rPr>
            </w:pPr>
            <w:r>
              <w:rPr>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70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42</w:t>
            </w:r>
          </w:p>
        </w:tc>
        <w:tc>
          <w:tcPr>
            <w:tcW w:w="2602" w:type="dxa"/>
            <w:tcBorders>
              <w:tl2br w:val="nil"/>
              <w:tr2bl w:val="nil"/>
            </w:tcBorders>
            <w:vAlign w:val="center"/>
          </w:tcPr>
          <w:p>
            <w:pPr>
              <w:jc w:val="center"/>
              <w:rPr>
                <w:color w:val="auto"/>
                <w:szCs w:val="21"/>
              </w:rPr>
            </w:pPr>
            <w:r>
              <w:rPr>
                <w:rFonts w:hint="eastAsia"/>
                <w:color w:val="auto"/>
                <w:szCs w:val="21"/>
              </w:rPr>
              <w:t>导热油炉</w:t>
            </w:r>
          </w:p>
        </w:tc>
        <w:tc>
          <w:tcPr>
            <w:tcW w:w="734" w:type="dxa"/>
            <w:tcBorders>
              <w:tl2br w:val="nil"/>
              <w:tr2bl w:val="nil"/>
            </w:tcBorders>
            <w:vAlign w:val="center"/>
          </w:tcPr>
          <w:p>
            <w:pPr>
              <w:jc w:val="center"/>
              <w:rPr>
                <w:color w:val="auto"/>
                <w:szCs w:val="21"/>
              </w:rPr>
            </w:pPr>
            <w:r>
              <w:rPr>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70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43</w:t>
            </w:r>
          </w:p>
        </w:tc>
        <w:tc>
          <w:tcPr>
            <w:tcW w:w="2602" w:type="dxa"/>
            <w:tcBorders>
              <w:tl2br w:val="nil"/>
              <w:tr2bl w:val="nil"/>
            </w:tcBorders>
            <w:vAlign w:val="center"/>
          </w:tcPr>
          <w:p>
            <w:pPr>
              <w:jc w:val="center"/>
              <w:rPr>
                <w:color w:val="auto"/>
                <w:szCs w:val="21"/>
              </w:rPr>
            </w:pPr>
            <w:r>
              <w:rPr>
                <w:bCs/>
                <w:color w:val="auto"/>
                <w:szCs w:val="21"/>
              </w:rPr>
              <w:t>石粉料仓</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50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44</w:t>
            </w:r>
          </w:p>
        </w:tc>
        <w:tc>
          <w:tcPr>
            <w:tcW w:w="2602" w:type="dxa"/>
            <w:tcBorders>
              <w:tl2br w:val="nil"/>
              <w:tr2bl w:val="nil"/>
            </w:tcBorders>
            <w:vAlign w:val="center"/>
          </w:tcPr>
          <w:p>
            <w:pPr>
              <w:jc w:val="center"/>
              <w:rPr>
                <w:color w:val="auto"/>
                <w:szCs w:val="21"/>
              </w:rPr>
            </w:pPr>
            <w:r>
              <w:rPr>
                <w:bCs/>
                <w:color w:val="auto"/>
                <w:szCs w:val="21"/>
              </w:rPr>
              <w:t>石粉上料蛟龙</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63</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45</w:t>
            </w:r>
          </w:p>
        </w:tc>
        <w:tc>
          <w:tcPr>
            <w:tcW w:w="2602" w:type="dxa"/>
            <w:tcBorders>
              <w:tl2br w:val="nil"/>
              <w:tr2bl w:val="nil"/>
            </w:tcBorders>
            <w:vAlign w:val="center"/>
          </w:tcPr>
          <w:p>
            <w:pPr>
              <w:jc w:val="center"/>
              <w:rPr>
                <w:color w:val="auto"/>
                <w:szCs w:val="21"/>
              </w:rPr>
            </w:pPr>
            <w:r>
              <w:rPr>
                <w:bCs/>
                <w:color w:val="auto"/>
                <w:szCs w:val="21"/>
              </w:rPr>
              <w:t>石粉输送蛟龙</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65</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40</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46</w:t>
            </w:r>
          </w:p>
        </w:tc>
        <w:tc>
          <w:tcPr>
            <w:tcW w:w="2602" w:type="dxa"/>
            <w:tcBorders>
              <w:tl2br w:val="nil"/>
              <w:tr2bl w:val="nil"/>
            </w:tcBorders>
            <w:vAlign w:val="center"/>
          </w:tcPr>
          <w:p>
            <w:pPr>
              <w:jc w:val="center"/>
              <w:rPr>
                <w:color w:val="auto"/>
                <w:szCs w:val="21"/>
              </w:rPr>
            </w:pPr>
            <w:r>
              <w:rPr>
                <w:bCs/>
                <w:color w:val="auto"/>
                <w:szCs w:val="21"/>
              </w:rPr>
              <w:t>胶粉上料蛟龙</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66</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39</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color w:val="auto"/>
                <w:szCs w:val="21"/>
              </w:rPr>
            </w:pPr>
            <w:r>
              <w:rPr>
                <w:color w:val="auto"/>
                <w:szCs w:val="21"/>
              </w:rPr>
              <w:t>47</w:t>
            </w:r>
          </w:p>
        </w:tc>
        <w:tc>
          <w:tcPr>
            <w:tcW w:w="2602" w:type="dxa"/>
            <w:tcBorders>
              <w:tl2br w:val="nil"/>
              <w:tr2bl w:val="nil"/>
            </w:tcBorders>
            <w:vAlign w:val="center"/>
          </w:tcPr>
          <w:p>
            <w:pPr>
              <w:jc w:val="center"/>
              <w:rPr>
                <w:color w:val="auto"/>
                <w:szCs w:val="21"/>
              </w:rPr>
            </w:pPr>
            <w:r>
              <w:rPr>
                <w:bCs/>
                <w:color w:val="auto"/>
                <w:szCs w:val="21"/>
              </w:rPr>
              <w:t>胶粉输送蛟龙</w:t>
            </w:r>
          </w:p>
        </w:tc>
        <w:tc>
          <w:tcPr>
            <w:tcW w:w="734" w:type="dxa"/>
            <w:tcBorders>
              <w:tl2br w:val="nil"/>
              <w:tr2bl w:val="nil"/>
            </w:tcBorders>
            <w:vAlign w:val="center"/>
          </w:tcPr>
          <w:p>
            <w:pPr>
              <w:jc w:val="center"/>
              <w:rPr>
                <w:color w:val="auto"/>
                <w:szCs w:val="21"/>
              </w:rPr>
            </w:pPr>
            <w:r>
              <w:rPr>
                <w:bCs/>
                <w:color w:val="auto"/>
                <w:szCs w:val="21"/>
              </w:rPr>
              <w:t>1套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63</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35</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dxa"/>
            <w:tcBorders>
              <w:tl2br w:val="nil"/>
              <w:tr2bl w:val="nil"/>
            </w:tcBorders>
            <w:vAlign w:val="center"/>
          </w:tcPr>
          <w:p>
            <w:pPr>
              <w:pStyle w:val="48"/>
              <w:jc w:val="center"/>
              <w:rPr>
                <w:rFonts w:hint="eastAsia" w:eastAsia="宋体"/>
                <w:color w:val="auto"/>
                <w:szCs w:val="21"/>
                <w:lang w:val="en-US" w:eastAsia="zh-CN"/>
              </w:rPr>
            </w:pPr>
            <w:r>
              <w:rPr>
                <w:rFonts w:hint="eastAsia"/>
                <w:color w:val="auto"/>
                <w:szCs w:val="21"/>
                <w:lang w:val="en-US" w:eastAsia="zh-CN"/>
              </w:rPr>
              <w:t>48</w:t>
            </w:r>
          </w:p>
        </w:tc>
        <w:tc>
          <w:tcPr>
            <w:tcW w:w="2602" w:type="dxa"/>
            <w:tcBorders>
              <w:tl2br w:val="nil"/>
              <w:tr2bl w:val="nil"/>
            </w:tcBorders>
            <w:vAlign w:val="center"/>
          </w:tcPr>
          <w:p>
            <w:pPr>
              <w:jc w:val="center"/>
              <w:rPr>
                <w:color w:val="auto"/>
                <w:szCs w:val="21"/>
              </w:rPr>
            </w:pPr>
            <w:r>
              <w:rPr>
                <w:bCs/>
                <w:color w:val="auto"/>
                <w:szCs w:val="21"/>
              </w:rPr>
              <w:t>液下下料蛟龙</w:t>
            </w:r>
          </w:p>
        </w:tc>
        <w:tc>
          <w:tcPr>
            <w:tcW w:w="734" w:type="dxa"/>
            <w:tcBorders>
              <w:tl2br w:val="nil"/>
              <w:tr2bl w:val="nil"/>
            </w:tcBorders>
            <w:vAlign w:val="center"/>
          </w:tcPr>
          <w:p>
            <w:pPr>
              <w:jc w:val="center"/>
              <w:rPr>
                <w:color w:val="auto"/>
                <w:szCs w:val="21"/>
              </w:rPr>
            </w:pPr>
            <w:r>
              <w:rPr>
                <w:bCs/>
                <w:color w:val="auto"/>
                <w:szCs w:val="21"/>
              </w:rPr>
              <w:t>5套</w:t>
            </w:r>
          </w:p>
        </w:tc>
        <w:tc>
          <w:tcPr>
            <w:tcW w:w="1171" w:type="dxa"/>
            <w:tcBorders>
              <w:tl2br w:val="nil"/>
              <w:tr2bl w:val="nil"/>
            </w:tcBorders>
            <w:vAlign w:val="center"/>
          </w:tcPr>
          <w:p>
            <w:pPr>
              <w:widowControl/>
              <w:jc w:val="center"/>
              <w:textAlignment w:val="center"/>
              <w:rPr>
                <w:color w:val="auto"/>
                <w:szCs w:val="21"/>
              </w:rPr>
            </w:pPr>
            <w:r>
              <w:rPr>
                <w:color w:val="auto"/>
                <w:kern w:val="0"/>
                <w:szCs w:val="21"/>
                <w:lang w:bidi="ar"/>
              </w:rPr>
              <w:t>60</w:t>
            </w:r>
          </w:p>
        </w:tc>
        <w:tc>
          <w:tcPr>
            <w:tcW w:w="722" w:type="dxa"/>
            <w:vMerge w:val="continue"/>
            <w:tcBorders>
              <w:tl2br w:val="nil"/>
              <w:tr2bl w:val="nil"/>
            </w:tcBorders>
            <w:vAlign w:val="center"/>
          </w:tcPr>
          <w:p>
            <w:pPr>
              <w:widowControl/>
              <w:jc w:val="center"/>
              <w:textAlignment w:val="center"/>
              <w:rPr>
                <w:color w:val="auto"/>
                <w:szCs w:val="21"/>
              </w:rPr>
            </w:pP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80</w:t>
            </w:r>
          </w:p>
        </w:tc>
        <w:tc>
          <w:tcPr>
            <w:tcW w:w="764"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12</w:t>
            </w:r>
          </w:p>
        </w:tc>
        <w:tc>
          <w:tcPr>
            <w:tcW w:w="76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8</w:t>
            </w:r>
          </w:p>
        </w:tc>
      </w:tr>
    </w:tbl>
    <w:p>
      <w:pPr>
        <w:pStyle w:val="44"/>
        <w:numPr>
          <w:ilvl w:val="2"/>
          <w:numId w:val="0"/>
        </w:numPr>
        <w:tabs>
          <w:tab w:val="clear" w:pos="720"/>
        </w:tabs>
        <w:spacing w:before="159" w:after="159" w:line="360" w:lineRule="auto"/>
        <w:rPr>
          <w:color w:val="auto"/>
          <w:sz w:val="28"/>
          <w:szCs w:val="28"/>
        </w:rPr>
      </w:pPr>
      <w:bookmarkStart w:id="2500" w:name="_Toc236"/>
      <w:bookmarkStart w:id="2501" w:name="_Toc29945"/>
      <w:r>
        <w:rPr>
          <w:rFonts w:hint="eastAsia"/>
          <w:color w:val="auto"/>
          <w:sz w:val="28"/>
          <w:szCs w:val="28"/>
        </w:rPr>
        <w:t>6</w:t>
      </w:r>
      <w:r>
        <w:rPr>
          <w:color w:val="auto"/>
          <w:sz w:val="28"/>
          <w:szCs w:val="28"/>
        </w:rPr>
        <w:t>.5.2</w:t>
      </w:r>
      <w:r>
        <w:rPr>
          <w:rFonts w:hint="eastAsia"/>
          <w:color w:val="auto"/>
          <w:sz w:val="28"/>
          <w:szCs w:val="28"/>
        </w:rPr>
        <w:t xml:space="preserve">  </w:t>
      </w:r>
      <w:r>
        <w:rPr>
          <w:color w:val="auto"/>
          <w:sz w:val="28"/>
          <w:szCs w:val="28"/>
        </w:rPr>
        <w:t>预测模式</w:t>
      </w:r>
      <w:bookmarkEnd w:id="2500"/>
      <w:bookmarkEnd w:id="2501"/>
    </w:p>
    <w:p>
      <w:pPr>
        <w:adjustRightInd w:val="0"/>
        <w:snapToGrid w:val="0"/>
        <w:spacing w:line="360" w:lineRule="auto"/>
        <w:ind w:firstLine="480" w:firstLineChars="200"/>
        <w:rPr>
          <w:color w:val="auto"/>
          <w:sz w:val="24"/>
        </w:rPr>
      </w:pPr>
      <w:r>
        <w:rPr>
          <w:color w:val="auto"/>
          <w:sz w:val="24"/>
        </w:rPr>
        <w:t>声波在传播过程中能量衰减的因素较多。在预测时，为留有较大的余地，以噪声对环境最不利的情况为前提，只考虑屏障衰减、距离衰减，其它因素的衰减，如空气吸收衰减、地面吸收、地面梯度、雨、雾等均作为预测计算的安全系数而不计。</w:t>
      </w:r>
    </w:p>
    <w:p>
      <w:pPr>
        <w:pStyle w:val="29"/>
        <w:adjustRightInd w:val="0"/>
        <w:snapToGrid w:val="0"/>
        <w:spacing w:line="360" w:lineRule="auto"/>
        <w:ind w:left="480" w:firstLine="0" w:firstLineChars="0"/>
        <w:rPr>
          <w:rFonts w:ascii="Times New Roman" w:hAnsi="Times New Roman"/>
          <w:color w:val="auto"/>
          <w:sz w:val="24"/>
          <w:szCs w:val="24"/>
        </w:rPr>
      </w:pPr>
      <w:r>
        <w:rPr>
          <w:rFonts w:ascii="Times New Roman" w:hAnsi="Times New Roman"/>
          <w:color w:val="auto"/>
          <w:sz w:val="24"/>
          <w:szCs w:val="24"/>
        </w:rPr>
        <w:t>1、距离衰减</w:t>
      </w:r>
    </w:p>
    <w:p>
      <w:pPr>
        <w:adjustRightInd w:val="0"/>
        <w:snapToGrid w:val="0"/>
        <w:spacing w:line="360" w:lineRule="auto"/>
        <w:ind w:firstLine="480" w:firstLineChars="200"/>
        <w:rPr>
          <w:color w:val="auto"/>
          <w:sz w:val="24"/>
        </w:rPr>
      </w:pPr>
      <w:r>
        <w:rPr>
          <w:color w:val="auto"/>
          <w:sz w:val="24"/>
        </w:rPr>
        <w:t>将项目各设备噪声作点源处理，根据《环境影响评价技术导则 声环境》（HJ2.4-2009），声源处于半自由声场，则发散衰减的基本公式如下：</w:t>
      </w:r>
    </w:p>
    <w:p>
      <w:pPr>
        <w:pStyle w:val="32"/>
        <w:spacing w:line="360" w:lineRule="auto"/>
        <w:jc w:val="center"/>
        <w:rPr>
          <w:color w:val="auto"/>
        </w:rPr>
      </w:pPr>
      <w:r>
        <w:rPr>
          <w:color w:val="auto"/>
          <w:position w:val="-14"/>
        </w:rPr>
        <w:object>
          <v:shape id="_x0000_i1031" o:spt="75" type="#_x0000_t75" style="height:19.45pt;width:131.05pt;" o:ole="t" filled="f" o:preferrelative="t" stroked="f" coordsize="21600,21600">
            <v:path/>
            <v:fill on="f" focussize="0,0"/>
            <v:stroke on="f"/>
            <v:imagedata r:id="rId96" o:title=""/>
            <o:lock v:ext="edit" aspectratio="t"/>
            <w10:wrap type="none"/>
            <w10:anchorlock/>
          </v:shape>
          <o:OLEObject Type="Embed" ProgID="Equation.3" ShapeID="_x0000_i1031" DrawAspect="Content" ObjectID="_1468075731" r:id="rId95">
            <o:LockedField>false</o:LockedField>
          </o:OLEObject>
        </w:object>
      </w:r>
    </w:p>
    <w:p>
      <w:pPr>
        <w:adjustRightInd w:val="0"/>
        <w:snapToGrid w:val="0"/>
        <w:spacing w:line="360" w:lineRule="auto"/>
        <w:ind w:firstLine="480" w:firstLineChars="200"/>
        <w:rPr>
          <w:color w:val="auto"/>
          <w:sz w:val="24"/>
        </w:rPr>
      </w:pPr>
      <w:r>
        <w:rPr>
          <w:color w:val="auto"/>
          <w:sz w:val="24"/>
        </w:rPr>
        <w:t>式中：L</w:t>
      </w:r>
      <w:r>
        <w:rPr>
          <w:color w:val="auto"/>
          <w:sz w:val="24"/>
          <w:vertAlign w:val="subscript"/>
        </w:rPr>
        <w:t>p</w:t>
      </w:r>
      <w:r>
        <w:rPr>
          <w:color w:val="auto"/>
          <w:sz w:val="24"/>
        </w:rPr>
        <w:t>（r）——距离r米远位置的声级，dB（A）；</w:t>
      </w:r>
    </w:p>
    <w:p>
      <w:pPr>
        <w:adjustRightInd w:val="0"/>
        <w:snapToGrid w:val="0"/>
        <w:spacing w:line="360" w:lineRule="auto"/>
        <w:ind w:firstLine="1200" w:firstLineChars="500"/>
        <w:rPr>
          <w:color w:val="auto"/>
          <w:sz w:val="24"/>
        </w:rPr>
      </w:pPr>
      <w:r>
        <w:rPr>
          <w:color w:val="auto"/>
          <w:sz w:val="24"/>
        </w:rPr>
        <w:t>L</w:t>
      </w:r>
      <w:r>
        <w:rPr>
          <w:color w:val="auto"/>
          <w:sz w:val="24"/>
          <w:vertAlign w:val="subscript"/>
        </w:rPr>
        <w:t xml:space="preserve">Aw </w:t>
      </w:r>
      <w:r>
        <w:rPr>
          <w:color w:val="auto"/>
          <w:sz w:val="24"/>
        </w:rPr>
        <w:t>——A声功率级，dB（A）。</w:t>
      </w:r>
    </w:p>
    <w:p>
      <w:pPr>
        <w:spacing w:line="360" w:lineRule="auto"/>
        <w:ind w:firstLine="480" w:firstLineChars="200"/>
        <w:rPr>
          <w:color w:val="auto"/>
          <w:sz w:val="24"/>
        </w:rPr>
      </w:pPr>
      <w:r>
        <w:rPr>
          <w:color w:val="auto"/>
          <w:sz w:val="24"/>
        </w:rPr>
        <w:t>2、屏障衰减</w:t>
      </w:r>
    </w:p>
    <w:p>
      <w:pPr>
        <w:spacing w:line="360" w:lineRule="auto"/>
        <w:ind w:firstLine="480" w:firstLineChars="200"/>
        <w:rPr>
          <w:color w:val="auto"/>
          <w:sz w:val="24"/>
        </w:rPr>
      </w:pPr>
      <w:r>
        <w:rPr>
          <w:color w:val="auto"/>
          <w:sz w:val="24"/>
        </w:rPr>
        <w:t>屏障衰减主要考虑运营场所墙体的衰减。根据现场勘察及建设单位提供资料，项目设备设置于生产车间内，项目的厂房采用抹灰砖墙（120mm）作为实体围墙，能起到一定的隔声作用。根据《噪声与振动控制工程手册》（机械工业出版社，2002年）表 5.1-15常用墙板隔声量图表，120mm抹灰砖墙隔声量为47dB（A）、240mm抹灰砖墙隔声量为55dB（A）。考虑到项目门窗面积和开窗对隔声的负面影响，120mm抹灰砖墙实际隔声量在25dB（A）左右、240mm抹灰砖墙实际隔声量在30dB（A）左右，故本项目实际隔声量取值</w:t>
      </w:r>
      <w:r>
        <w:rPr>
          <w:rFonts w:hint="eastAsia"/>
          <w:color w:val="auto"/>
          <w:sz w:val="24"/>
        </w:rPr>
        <w:t>30</w:t>
      </w:r>
      <w:r>
        <w:rPr>
          <w:color w:val="auto"/>
          <w:sz w:val="24"/>
        </w:rPr>
        <w:t>dB（A）。</w:t>
      </w:r>
    </w:p>
    <w:p>
      <w:pPr>
        <w:adjustRightInd w:val="0"/>
        <w:snapToGrid w:val="0"/>
        <w:spacing w:line="360" w:lineRule="auto"/>
        <w:ind w:firstLine="480" w:firstLineChars="200"/>
        <w:rPr>
          <w:color w:val="auto"/>
          <w:sz w:val="24"/>
        </w:rPr>
      </w:pPr>
      <w:r>
        <w:rPr>
          <w:color w:val="auto"/>
          <w:sz w:val="24"/>
        </w:rPr>
        <w:t>3、噪声叠加公式：</w:t>
      </w:r>
    </w:p>
    <w:p>
      <w:pPr>
        <w:pStyle w:val="64"/>
        <w:adjustRightInd w:val="0"/>
        <w:snapToGrid w:val="0"/>
        <w:spacing w:line="360" w:lineRule="auto"/>
        <w:ind w:firstLine="480"/>
        <w:rPr>
          <w:rFonts w:ascii="Times New Roman" w:hAnsi="Times New Roman"/>
          <w:color w:val="auto"/>
          <w:sz w:val="24"/>
          <w:szCs w:val="24"/>
        </w:rPr>
      </w:pPr>
      <w:r>
        <w:rPr>
          <w:rFonts w:ascii="Times New Roman" w:hAnsi="Times New Roman"/>
          <w:color w:val="auto"/>
          <w:sz w:val="24"/>
          <w:szCs w:val="24"/>
        </w:rPr>
        <w:t>多个噪声源共同作用于某个预测点，该预测点噪声值为各声源传播到预测点声级的叠加后的总等效声级Leq，计算公式如下：</w:t>
      </w:r>
    </w:p>
    <w:p>
      <w:pPr>
        <w:pStyle w:val="64"/>
        <w:adjustRightInd w:val="0"/>
        <w:snapToGrid w:val="0"/>
        <w:spacing w:line="360" w:lineRule="auto"/>
        <w:ind w:firstLine="900" w:firstLineChars="375"/>
        <w:jc w:val="center"/>
        <w:rPr>
          <w:rFonts w:ascii="Times New Roman" w:hAnsi="Times New Roman"/>
          <w:color w:val="auto"/>
          <w:sz w:val="24"/>
          <w:szCs w:val="24"/>
        </w:rPr>
      </w:pPr>
      <w:r>
        <w:rPr>
          <w:rFonts w:ascii="Times New Roman" w:hAnsi="Times New Roman"/>
          <w:color w:val="auto"/>
          <w:position w:val="-30"/>
          <w:sz w:val="24"/>
          <w:szCs w:val="24"/>
        </w:rPr>
        <w:object>
          <v:shape id="_x0000_i1032" o:spt="75" type="#_x0000_t75" style="height:36.3pt;width:116.1pt;" o:ole="t" filled="f" o:preferrelative="t" stroked="f" coordsize="21600,21600">
            <v:path/>
            <v:fill on="f" focussize="0,0"/>
            <v:stroke on="f"/>
            <v:imagedata r:id="rId98" o:title=""/>
            <o:lock v:ext="edit" aspectratio="t"/>
            <w10:wrap type="none"/>
            <w10:anchorlock/>
          </v:shape>
          <o:OLEObject Type="Embed" ProgID="Equation.3" ShapeID="_x0000_i1032" DrawAspect="Content" ObjectID="_1468075732" r:id="rId97">
            <o:LockedField>false</o:LockedField>
          </o:OLEObject>
        </w:object>
      </w:r>
    </w:p>
    <w:p>
      <w:pPr>
        <w:adjustRightInd w:val="0"/>
        <w:snapToGrid w:val="0"/>
        <w:spacing w:line="360" w:lineRule="auto"/>
        <w:ind w:firstLine="480" w:firstLineChars="200"/>
        <w:rPr>
          <w:color w:val="auto"/>
          <w:sz w:val="24"/>
        </w:rPr>
      </w:pPr>
      <w:r>
        <w:rPr>
          <w:color w:val="auto"/>
          <w:sz w:val="24"/>
        </w:rPr>
        <w:t>式中：L</w:t>
      </w:r>
      <w:r>
        <w:rPr>
          <w:color w:val="auto"/>
          <w:sz w:val="24"/>
          <w:vertAlign w:val="subscript"/>
        </w:rPr>
        <w:t>ep</w:t>
      </w:r>
      <w:r>
        <w:rPr>
          <w:color w:val="auto"/>
          <w:sz w:val="24"/>
        </w:rPr>
        <w:t>——N个噪声源在同一受声点上的合成声压级dB（A）；</w:t>
      </w:r>
    </w:p>
    <w:p>
      <w:pPr>
        <w:pStyle w:val="32"/>
        <w:rPr>
          <w:color w:val="auto"/>
        </w:rPr>
      </w:pPr>
      <w:r>
        <w:rPr>
          <w:color w:val="auto"/>
        </w:rPr>
        <w:t xml:space="preserve">          L</w:t>
      </w:r>
      <w:r>
        <w:rPr>
          <w:color w:val="auto"/>
          <w:vertAlign w:val="subscript"/>
        </w:rPr>
        <w:t>pi</w:t>
      </w:r>
      <w:r>
        <w:rPr>
          <w:color w:val="auto"/>
        </w:rPr>
        <w:t>——第i个噪声源在受声点的声压级dB（A）。</w:t>
      </w:r>
    </w:p>
    <w:p>
      <w:pPr>
        <w:pStyle w:val="44"/>
        <w:numPr>
          <w:ilvl w:val="2"/>
          <w:numId w:val="0"/>
        </w:numPr>
        <w:tabs>
          <w:tab w:val="clear" w:pos="720"/>
        </w:tabs>
        <w:spacing w:before="159" w:after="159" w:line="360" w:lineRule="auto"/>
        <w:rPr>
          <w:color w:val="auto"/>
          <w:sz w:val="28"/>
          <w:szCs w:val="28"/>
        </w:rPr>
      </w:pPr>
      <w:bookmarkStart w:id="2502" w:name="_Toc6540"/>
      <w:bookmarkStart w:id="2503" w:name="_Toc29847"/>
      <w:r>
        <w:rPr>
          <w:rFonts w:hint="eastAsia"/>
          <w:color w:val="auto"/>
          <w:sz w:val="28"/>
          <w:szCs w:val="28"/>
        </w:rPr>
        <w:t>6</w:t>
      </w:r>
      <w:r>
        <w:rPr>
          <w:color w:val="auto"/>
          <w:sz w:val="28"/>
          <w:szCs w:val="28"/>
        </w:rPr>
        <w:t>.5.3</w:t>
      </w:r>
      <w:r>
        <w:rPr>
          <w:rFonts w:hint="eastAsia"/>
          <w:color w:val="auto"/>
          <w:sz w:val="28"/>
          <w:szCs w:val="28"/>
        </w:rPr>
        <w:t xml:space="preserve">  </w:t>
      </w:r>
      <w:r>
        <w:rPr>
          <w:color w:val="auto"/>
          <w:sz w:val="28"/>
          <w:szCs w:val="28"/>
        </w:rPr>
        <w:t>预测结果和分析</w:t>
      </w:r>
      <w:bookmarkEnd w:id="2502"/>
      <w:bookmarkEnd w:id="2503"/>
    </w:p>
    <w:p>
      <w:pPr>
        <w:spacing w:line="360" w:lineRule="auto"/>
        <w:ind w:firstLine="480" w:firstLineChars="200"/>
        <w:rPr>
          <w:color w:val="auto"/>
          <w:sz w:val="24"/>
        </w:rPr>
      </w:pPr>
      <w:r>
        <w:rPr>
          <w:color w:val="auto"/>
          <w:sz w:val="24"/>
        </w:rPr>
        <w:t>项目车间边界即为项目边界。将项目运营时设备噪声源强代入上述的距离衰减公式，减去屏障衰减值后代入叠加公式，得出项目四周厂界噪声贡献值，具体见下表。</w:t>
      </w:r>
    </w:p>
    <w:p>
      <w:pPr>
        <w:spacing w:line="360" w:lineRule="auto"/>
        <w:ind w:firstLine="422" w:firstLineChars="200"/>
        <w:jc w:val="center"/>
        <w:rPr>
          <w:b/>
          <w:color w:val="auto"/>
          <w:kern w:val="0"/>
          <w:sz w:val="24"/>
        </w:rPr>
      </w:pPr>
      <w:r>
        <w:rPr>
          <w:b/>
          <w:bCs/>
          <w:color w:val="auto"/>
          <w:szCs w:val="21"/>
        </w:rPr>
        <w:t>表</w:t>
      </w:r>
      <w:r>
        <w:rPr>
          <w:rFonts w:hint="eastAsia"/>
          <w:b/>
          <w:bCs/>
          <w:color w:val="auto"/>
          <w:szCs w:val="21"/>
        </w:rPr>
        <w:t>6</w:t>
      </w:r>
      <w:r>
        <w:rPr>
          <w:b/>
          <w:bCs/>
          <w:color w:val="auto"/>
          <w:szCs w:val="21"/>
        </w:rPr>
        <w:t>.5-</w:t>
      </w:r>
      <w:r>
        <w:rPr>
          <w:rFonts w:hint="eastAsia"/>
          <w:b/>
          <w:bCs/>
          <w:color w:val="auto"/>
          <w:szCs w:val="21"/>
        </w:rPr>
        <w:t xml:space="preserve">3  </w:t>
      </w:r>
      <w:r>
        <w:rPr>
          <w:b/>
          <w:color w:val="auto"/>
          <w:kern w:val="0"/>
          <w:szCs w:val="21"/>
        </w:rPr>
        <w:t>本项目噪声估算结果</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9"/>
        <w:gridCol w:w="1547"/>
        <w:gridCol w:w="1547"/>
        <w:gridCol w:w="1547"/>
        <w:gridCol w:w="1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位置</w:t>
            </w:r>
          </w:p>
        </w:tc>
        <w:tc>
          <w:tcPr>
            <w:tcW w:w="1547" w:type="dxa"/>
            <w:tcBorders>
              <w:tl2br w:val="nil"/>
              <w:tr2bl w:val="nil"/>
            </w:tcBorders>
            <w:vAlign w:val="center"/>
          </w:tcPr>
          <w:p>
            <w:pPr>
              <w:jc w:val="center"/>
              <w:rPr>
                <w:color w:val="auto"/>
                <w:szCs w:val="21"/>
              </w:rPr>
            </w:pPr>
            <w:r>
              <w:rPr>
                <w:color w:val="auto"/>
                <w:szCs w:val="21"/>
              </w:rPr>
              <w:t>东面</w:t>
            </w:r>
          </w:p>
          <w:p>
            <w:pPr>
              <w:jc w:val="center"/>
              <w:rPr>
                <w:color w:val="auto"/>
                <w:szCs w:val="21"/>
              </w:rPr>
            </w:pPr>
            <w:r>
              <w:rPr>
                <w:color w:val="auto"/>
                <w:szCs w:val="21"/>
              </w:rPr>
              <w:t>（厂界外1m）</w:t>
            </w:r>
          </w:p>
        </w:tc>
        <w:tc>
          <w:tcPr>
            <w:tcW w:w="1547" w:type="dxa"/>
            <w:tcBorders>
              <w:tl2br w:val="nil"/>
              <w:tr2bl w:val="nil"/>
            </w:tcBorders>
            <w:vAlign w:val="center"/>
          </w:tcPr>
          <w:p>
            <w:pPr>
              <w:jc w:val="center"/>
              <w:rPr>
                <w:color w:val="auto"/>
                <w:szCs w:val="21"/>
              </w:rPr>
            </w:pPr>
            <w:r>
              <w:rPr>
                <w:color w:val="auto"/>
                <w:szCs w:val="21"/>
              </w:rPr>
              <w:t>南面</w:t>
            </w:r>
          </w:p>
          <w:p>
            <w:pPr>
              <w:jc w:val="center"/>
              <w:rPr>
                <w:color w:val="auto"/>
                <w:szCs w:val="21"/>
              </w:rPr>
            </w:pPr>
            <w:r>
              <w:rPr>
                <w:color w:val="auto"/>
                <w:szCs w:val="21"/>
              </w:rPr>
              <w:t>（厂界外1m）</w:t>
            </w:r>
          </w:p>
        </w:tc>
        <w:tc>
          <w:tcPr>
            <w:tcW w:w="1547" w:type="dxa"/>
            <w:tcBorders>
              <w:tl2br w:val="nil"/>
              <w:tr2bl w:val="nil"/>
            </w:tcBorders>
            <w:vAlign w:val="center"/>
          </w:tcPr>
          <w:p>
            <w:pPr>
              <w:jc w:val="center"/>
              <w:rPr>
                <w:color w:val="auto"/>
                <w:szCs w:val="21"/>
              </w:rPr>
            </w:pPr>
            <w:r>
              <w:rPr>
                <w:color w:val="auto"/>
                <w:szCs w:val="21"/>
              </w:rPr>
              <w:t>西面</w:t>
            </w:r>
          </w:p>
          <w:p>
            <w:pPr>
              <w:jc w:val="center"/>
              <w:rPr>
                <w:color w:val="auto"/>
                <w:szCs w:val="21"/>
              </w:rPr>
            </w:pPr>
            <w:r>
              <w:rPr>
                <w:color w:val="auto"/>
                <w:szCs w:val="21"/>
              </w:rPr>
              <w:t>（厂界外1m）</w:t>
            </w:r>
          </w:p>
        </w:tc>
        <w:tc>
          <w:tcPr>
            <w:tcW w:w="1548" w:type="dxa"/>
            <w:tcBorders>
              <w:tl2br w:val="nil"/>
              <w:tr2bl w:val="nil"/>
            </w:tcBorders>
            <w:vAlign w:val="center"/>
          </w:tcPr>
          <w:p>
            <w:pPr>
              <w:jc w:val="center"/>
              <w:rPr>
                <w:color w:val="auto"/>
                <w:szCs w:val="21"/>
              </w:rPr>
            </w:pPr>
            <w:r>
              <w:rPr>
                <w:color w:val="auto"/>
                <w:szCs w:val="21"/>
              </w:rPr>
              <w:t>北面</w:t>
            </w:r>
          </w:p>
          <w:p>
            <w:pPr>
              <w:jc w:val="center"/>
              <w:rPr>
                <w:color w:val="auto"/>
                <w:szCs w:val="21"/>
              </w:rPr>
            </w:pPr>
            <w:r>
              <w:rPr>
                <w:color w:val="auto"/>
                <w:szCs w:val="21"/>
              </w:rPr>
              <w:t>（厂界外1m）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屏障衰减值</w:t>
            </w:r>
            <w:r>
              <w:rPr>
                <w:color w:val="auto"/>
                <w:kern w:val="0"/>
                <w:szCs w:val="21"/>
              </w:rPr>
              <w:t>（</w:t>
            </w:r>
            <w:r>
              <w:rPr>
                <w:color w:val="auto"/>
                <w:szCs w:val="21"/>
              </w:rPr>
              <w:t>dB（A）</w:t>
            </w:r>
            <w:r>
              <w:rPr>
                <w:color w:val="auto"/>
                <w:kern w:val="0"/>
                <w:szCs w:val="21"/>
              </w:rPr>
              <w:t>）</w:t>
            </w:r>
          </w:p>
        </w:tc>
        <w:tc>
          <w:tcPr>
            <w:tcW w:w="6189" w:type="dxa"/>
            <w:gridSpan w:val="4"/>
            <w:tcBorders>
              <w:tl2br w:val="nil"/>
              <w:tr2bl w:val="nil"/>
            </w:tcBorders>
            <w:vAlign w:val="center"/>
          </w:tcPr>
          <w:p>
            <w:pPr>
              <w:jc w:val="center"/>
              <w:rPr>
                <w:rFonts w:hint="eastAsia" w:eastAsia="宋体"/>
                <w:color w:val="auto"/>
                <w:szCs w:val="21"/>
                <w:lang w:eastAsia="zh-CN"/>
              </w:rPr>
            </w:pPr>
            <w:r>
              <w:rPr>
                <w:rFonts w:hint="eastAsia"/>
                <w:color w:val="auto"/>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时间</w:t>
            </w:r>
          </w:p>
        </w:tc>
        <w:tc>
          <w:tcPr>
            <w:tcW w:w="6189" w:type="dxa"/>
            <w:gridSpan w:val="4"/>
            <w:tcBorders>
              <w:tl2br w:val="nil"/>
              <w:tr2bl w:val="nil"/>
            </w:tcBorders>
            <w:vAlign w:val="center"/>
          </w:tcPr>
          <w:p>
            <w:pPr>
              <w:jc w:val="center"/>
              <w:rPr>
                <w:color w:val="auto"/>
                <w:szCs w:val="21"/>
              </w:rPr>
            </w:pPr>
            <w:r>
              <w:rPr>
                <w:color w:val="auto"/>
                <w:szCs w:val="21"/>
              </w:rPr>
              <w:t>昼间</w:t>
            </w:r>
            <w:r>
              <w:rPr>
                <w:rFonts w:hint="eastAsia"/>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贡献值</w:t>
            </w:r>
            <w:r>
              <w:rPr>
                <w:color w:val="auto"/>
                <w:kern w:val="0"/>
                <w:szCs w:val="21"/>
              </w:rPr>
              <w:t>（</w:t>
            </w:r>
            <w:r>
              <w:rPr>
                <w:color w:val="auto"/>
                <w:szCs w:val="21"/>
              </w:rPr>
              <w:t>dB（A）</w:t>
            </w:r>
            <w:r>
              <w:rPr>
                <w:color w:val="auto"/>
                <w:kern w:val="0"/>
                <w:szCs w:val="21"/>
              </w:rPr>
              <w:t>）</w:t>
            </w:r>
          </w:p>
        </w:tc>
        <w:tc>
          <w:tcPr>
            <w:tcW w:w="1547" w:type="dxa"/>
            <w:tcBorders>
              <w:tl2br w:val="nil"/>
              <w:tr2bl w:val="nil"/>
            </w:tcBorders>
            <w:vAlign w:val="center"/>
          </w:tcPr>
          <w:p>
            <w:pPr>
              <w:widowControl/>
              <w:jc w:val="center"/>
              <w:textAlignment w:val="center"/>
              <w:rPr>
                <w:color w:val="auto"/>
                <w:szCs w:val="21"/>
              </w:rPr>
            </w:pPr>
            <w:r>
              <w:rPr>
                <w:rFonts w:hint="eastAsia"/>
                <w:color w:val="auto"/>
                <w:szCs w:val="21"/>
              </w:rPr>
              <w:t>45.29</w:t>
            </w:r>
          </w:p>
        </w:tc>
        <w:tc>
          <w:tcPr>
            <w:tcW w:w="1547" w:type="dxa"/>
            <w:tcBorders>
              <w:tl2br w:val="nil"/>
              <w:tr2bl w:val="nil"/>
            </w:tcBorders>
            <w:vAlign w:val="center"/>
          </w:tcPr>
          <w:p>
            <w:pPr>
              <w:widowControl/>
              <w:jc w:val="center"/>
              <w:textAlignment w:val="center"/>
              <w:rPr>
                <w:color w:val="auto"/>
                <w:szCs w:val="21"/>
              </w:rPr>
            </w:pPr>
            <w:r>
              <w:rPr>
                <w:rFonts w:hint="eastAsia"/>
                <w:color w:val="auto"/>
                <w:szCs w:val="21"/>
              </w:rPr>
              <w:t>61.37</w:t>
            </w:r>
          </w:p>
        </w:tc>
        <w:tc>
          <w:tcPr>
            <w:tcW w:w="1547" w:type="dxa"/>
            <w:tcBorders>
              <w:tl2br w:val="nil"/>
              <w:tr2bl w:val="nil"/>
            </w:tcBorders>
            <w:vAlign w:val="center"/>
          </w:tcPr>
          <w:p>
            <w:pPr>
              <w:widowControl/>
              <w:jc w:val="center"/>
              <w:textAlignment w:val="center"/>
              <w:rPr>
                <w:color w:val="auto"/>
              </w:rPr>
            </w:pPr>
            <w:r>
              <w:rPr>
                <w:rFonts w:hint="eastAsia"/>
                <w:color w:val="auto"/>
              </w:rPr>
              <w:t>51.37</w:t>
            </w:r>
          </w:p>
        </w:tc>
        <w:tc>
          <w:tcPr>
            <w:tcW w:w="1548" w:type="dxa"/>
            <w:tcBorders>
              <w:tl2br w:val="nil"/>
              <w:tr2bl w:val="nil"/>
            </w:tcBorders>
            <w:vAlign w:val="center"/>
          </w:tcPr>
          <w:p>
            <w:pPr>
              <w:widowControl/>
              <w:jc w:val="center"/>
              <w:textAlignment w:val="center"/>
              <w:rPr>
                <w:color w:val="auto"/>
                <w:szCs w:val="21"/>
              </w:rPr>
            </w:pPr>
            <w:r>
              <w:rPr>
                <w:rFonts w:hint="eastAsia"/>
                <w:color w:val="auto"/>
                <w:szCs w:val="21"/>
              </w:rPr>
              <w:t>37.82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执行标准值</w:t>
            </w:r>
          </w:p>
        </w:tc>
        <w:tc>
          <w:tcPr>
            <w:tcW w:w="6189" w:type="dxa"/>
            <w:gridSpan w:val="4"/>
            <w:tcBorders>
              <w:tl2br w:val="nil"/>
              <w:tr2bl w:val="nil"/>
            </w:tcBorders>
            <w:vAlign w:val="center"/>
          </w:tcPr>
          <w:p>
            <w:pPr>
              <w:jc w:val="center"/>
              <w:rPr>
                <w:color w:val="auto"/>
                <w:szCs w:val="21"/>
              </w:rPr>
            </w:pPr>
            <w:r>
              <w:rPr>
                <w:color w:val="auto"/>
                <w:szCs w:val="21"/>
              </w:rPr>
              <w:t>日间65dB（A），夜间55dB（A）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9" w:type="dxa"/>
            <w:tcBorders>
              <w:tl2br w:val="nil"/>
              <w:tr2bl w:val="nil"/>
            </w:tcBorders>
            <w:vAlign w:val="center"/>
          </w:tcPr>
          <w:p>
            <w:pPr>
              <w:jc w:val="center"/>
              <w:rPr>
                <w:color w:val="auto"/>
                <w:szCs w:val="21"/>
              </w:rPr>
            </w:pPr>
            <w:r>
              <w:rPr>
                <w:color w:val="auto"/>
                <w:szCs w:val="21"/>
              </w:rPr>
              <w:t>达标情况</w:t>
            </w:r>
          </w:p>
        </w:tc>
        <w:tc>
          <w:tcPr>
            <w:tcW w:w="1547" w:type="dxa"/>
            <w:tcBorders>
              <w:tl2br w:val="nil"/>
              <w:tr2bl w:val="nil"/>
            </w:tcBorders>
            <w:vAlign w:val="center"/>
          </w:tcPr>
          <w:p>
            <w:pPr>
              <w:jc w:val="center"/>
              <w:rPr>
                <w:color w:val="auto"/>
                <w:szCs w:val="21"/>
              </w:rPr>
            </w:pPr>
            <w:r>
              <w:rPr>
                <w:color w:val="auto"/>
                <w:szCs w:val="21"/>
              </w:rPr>
              <w:t>达标</w:t>
            </w:r>
          </w:p>
        </w:tc>
        <w:tc>
          <w:tcPr>
            <w:tcW w:w="1547" w:type="dxa"/>
            <w:tcBorders>
              <w:tl2br w:val="nil"/>
              <w:tr2bl w:val="nil"/>
            </w:tcBorders>
            <w:vAlign w:val="center"/>
          </w:tcPr>
          <w:p>
            <w:pPr>
              <w:jc w:val="center"/>
              <w:rPr>
                <w:color w:val="auto"/>
                <w:szCs w:val="21"/>
              </w:rPr>
            </w:pPr>
            <w:r>
              <w:rPr>
                <w:color w:val="auto"/>
                <w:szCs w:val="21"/>
              </w:rPr>
              <w:t>达标</w:t>
            </w:r>
          </w:p>
        </w:tc>
        <w:tc>
          <w:tcPr>
            <w:tcW w:w="1547" w:type="dxa"/>
            <w:tcBorders>
              <w:tl2br w:val="nil"/>
              <w:tr2bl w:val="nil"/>
            </w:tcBorders>
            <w:vAlign w:val="center"/>
          </w:tcPr>
          <w:p>
            <w:pPr>
              <w:jc w:val="center"/>
              <w:rPr>
                <w:color w:val="auto"/>
                <w:szCs w:val="21"/>
              </w:rPr>
            </w:pPr>
            <w:r>
              <w:rPr>
                <w:color w:val="auto"/>
                <w:szCs w:val="21"/>
              </w:rPr>
              <w:t>达标</w:t>
            </w:r>
          </w:p>
        </w:tc>
        <w:tc>
          <w:tcPr>
            <w:tcW w:w="1548" w:type="dxa"/>
            <w:tcBorders>
              <w:tl2br w:val="nil"/>
              <w:tr2bl w:val="nil"/>
            </w:tcBorders>
            <w:vAlign w:val="center"/>
          </w:tcPr>
          <w:p>
            <w:pPr>
              <w:jc w:val="center"/>
              <w:rPr>
                <w:color w:val="auto"/>
                <w:szCs w:val="21"/>
              </w:rPr>
            </w:pPr>
            <w:r>
              <w:rPr>
                <w:color w:val="auto"/>
                <w:szCs w:val="21"/>
              </w:rPr>
              <w:t>达标</w:t>
            </w:r>
          </w:p>
        </w:tc>
      </w:tr>
    </w:tbl>
    <w:p>
      <w:pPr>
        <w:spacing w:line="360" w:lineRule="auto"/>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项目</w:t>
      </w:r>
      <w:r>
        <w:rPr>
          <w:rFonts w:hint="eastAsia"/>
          <w:color w:val="auto"/>
          <w:sz w:val="24"/>
        </w:rPr>
        <w:t>湿式生产线</w:t>
      </w:r>
      <w:r>
        <w:rPr>
          <w:color w:val="auto"/>
          <w:sz w:val="24"/>
        </w:rPr>
        <w:t>每天运行8小时，</w:t>
      </w:r>
      <w:r>
        <w:rPr>
          <w:rFonts w:hint="eastAsia"/>
          <w:color w:val="auto"/>
          <w:sz w:val="24"/>
        </w:rPr>
        <w:t>卷材生产线每日运作24小时</w:t>
      </w:r>
      <w:r>
        <w:rPr>
          <w:color w:val="auto"/>
          <w:sz w:val="24"/>
        </w:rPr>
        <w:t>，周边均为工业厂房。建设单位通过采用隔声措施、合理调整车间布局、安装减振垫、定期对设备进行保养维护等措施后，项目边界营运期四周厂界的昼间噪声预测值符合《工业企业厂界环境噪声排放标准》（GB12348~2008）中的3类要求。本项目的建设对所在区域的声环境影响不明显。</w:t>
      </w:r>
    </w:p>
    <w:p>
      <w:pPr>
        <w:spacing w:line="360" w:lineRule="auto"/>
        <w:jc w:val="center"/>
        <w:rPr>
          <w:b/>
          <w:bCs/>
          <w:color w:val="auto"/>
          <w:sz w:val="30"/>
          <w:szCs w:val="30"/>
        </w:rPr>
      </w:pPr>
      <w:r>
        <w:rPr>
          <w:b/>
          <w:bCs/>
          <w:color w:val="auto"/>
          <w:sz w:val="30"/>
          <w:szCs w:val="30"/>
        </w:rPr>
        <w:drawing>
          <wp:inline distT="0" distB="0" distL="114300" distR="114300">
            <wp:extent cx="7993380" cy="5178425"/>
            <wp:effectExtent l="0" t="0" r="7620" b="3175"/>
            <wp:docPr id="3" name="图片 3" descr="昼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昼间"/>
                    <pic:cNvPicPr>
                      <a:picLocks noChangeAspect="1"/>
                    </pic:cNvPicPr>
                  </pic:nvPicPr>
                  <pic:blipFill>
                    <a:blip r:embed="rId99"/>
                    <a:stretch>
                      <a:fillRect/>
                    </a:stretch>
                  </pic:blipFill>
                  <pic:spPr>
                    <a:xfrm>
                      <a:off x="0" y="0"/>
                      <a:ext cx="7993380" cy="5178425"/>
                    </a:xfrm>
                    <a:prstGeom prst="rect">
                      <a:avLst/>
                    </a:prstGeom>
                  </pic:spPr>
                </pic:pic>
              </a:graphicData>
            </a:graphic>
          </wp:inline>
        </w:drawing>
      </w:r>
    </w:p>
    <w:p>
      <w:pPr>
        <w:spacing w:line="360" w:lineRule="auto"/>
        <w:jc w:val="center"/>
        <w:rPr>
          <w:b/>
          <w:bCs/>
          <w:color w:val="auto"/>
          <w:sz w:val="24"/>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bookmarkStart w:id="2504" w:name="_Toc15650"/>
      <w:bookmarkStart w:id="2505" w:name="_Toc18382"/>
      <w:r>
        <w:rPr>
          <w:rFonts w:hint="eastAsia"/>
          <w:b/>
          <w:bCs/>
          <w:color w:val="auto"/>
          <w:sz w:val="24"/>
        </w:rPr>
        <w:t>图6.5-1 噪声影响预测等值线图</w:t>
      </w:r>
    </w:p>
    <w:p>
      <w:pPr>
        <w:spacing w:line="360" w:lineRule="auto"/>
        <w:outlineLvl w:val="1"/>
        <w:rPr>
          <w:b/>
          <w:bCs/>
          <w:color w:val="auto"/>
          <w:sz w:val="32"/>
          <w:szCs w:val="32"/>
        </w:rPr>
      </w:pPr>
      <w:bookmarkStart w:id="2506" w:name="_Toc32751"/>
      <w:bookmarkStart w:id="2507" w:name="_Toc32349"/>
      <w:r>
        <w:rPr>
          <w:rFonts w:hint="eastAsia"/>
          <w:b/>
          <w:bCs/>
          <w:color w:val="auto"/>
          <w:sz w:val="32"/>
          <w:szCs w:val="32"/>
        </w:rPr>
        <w:t>6</w:t>
      </w:r>
      <w:r>
        <w:rPr>
          <w:b/>
          <w:bCs/>
          <w:color w:val="auto"/>
          <w:sz w:val="32"/>
          <w:szCs w:val="32"/>
        </w:rPr>
        <w:t>.6</w:t>
      </w:r>
      <w:r>
        <w:rPr>
          <w:rFonts w:hint="eastAsia"/>
          <w:b/>
          <w:bCs/>
          <w:color w:val="auto"/>
          <w:sz w:val="32"/>
          <w:szCs w:val="32"/>
        </w:rPr>
        <w:t xml:space="preserve">  </w:t>
      </w:r>
      <w:r>
        <w:rPr>
          <w:b/>
          <w:bCs/>
          <w:color w:val="auto"/>
          <w:sz w:val="32"/>
          <w:szCs w:val="32"/>
        </w:rPr>
        <w:t>运营期固体废弃物环境影响</w:t>
      </w:r>
      <w:bookmarkEnd w:id="2504"/>
      <w:bookmarkEnd w:id="2505"/>
      <w:bookmarkEnd w:id="2506"/>
      <w:bookmarkEnd w:id="2507"/>
    </w:p>
    <w:p>
      <w:pPr>
        <w:pStyle w:val="44"/>
        <w:numPr>
          <w:ilvl w:val="2"/>
          <w:numId w:val="0"/>
        </w:numPr>
        <w:tabs>
          <w:tab w:val="clear" w:pos="720"/>
        </w:tabs>
        <w:spacing w:before="159" w:after="159" w:line="360" w:lineRule="auto"/>
        <w:rPr>
          <w:color w:val="auto"/>
          <w:sz w:val="28"/>
          <w:szCs w:val="28"/>
        </w:rPr>
      </w:pPr>
      <w:bookmarkStart w:id="2508" w:name="_Toc1216"/>
      <w:bookmarkStart w:id="2509" w:name="_Toc13682"/>
      <w:r>
        <w:rPr>
          <w:rFonts w:hint="eastAsia"/>
          <w:color w:val="auto"/>
          <w:sz w:val="28"/>
          <w:szCs w:val="28"/>
        </w:rPr>
        <w:t>6</w:t>
      </w:r>
      <w:r>
        <w:rPr>
          <w:color w:val="auto"/>
          <w:sz w:val="28"/>
          <w:szCs w:val="28"/>
        </w:rPr>
        <w:t xml:space="preserve">.6.1 </w:t>
      </w:r>
      <w:r>
        <w:rPr>
          <w:rFonts w:hint="eastAsia"/>
          <w:color w:val="auto"/>
          <w:sz w:val="28"/>
          <w:szCs w:val="28"/>
        </w:rPr>
        <w:t xml:space="preserve"> </w:t>
      </w:r>
      <w:r>
        <w:rPr>
          <w:color w:val="auto"/>
          <w:sz w:val="28"/>
          <w:szCs w:val="28"/>
        </w:rPr>
        <w:t>一般固体废物</w:t>
      </w:r>
    </w:p>
    <w:p>
      <w:pPr>
        <w:pStyle w:val="44"/>
        <w:numPr>
          <w:ilvl w:val="2"/>
          <w:numId w:val="0"/>
        </w:numPr>
        <w:tabs>
          <w:tab w:val="clear" w:pos="720"/>
        </w:tabs>
        <w:spacing w:before="159" w:after="159" w:line="360" w:lineRule="auto"/>
        <w:outlineLvl w:val="3"/>
        <w:rPr>
          <w:color w:val="auto"/>
          <w:sz w:val="24"/>
          <w:szCs w:val="24"/>
        </w:rPr>
      </w:pPr>
      <w:r>
        <w:rPr>
          <w:rFonts w:hint="eastAsia"/>
          <w:color w:val="auto"/>
          <w:sz w:val="24"/>
          <w:szCs w:val="24"/>
          <w:lang w:val="en-US" w:eastAsia="zh-CN"/>
        </w:rPr>
        <w:t xml:space="preserve">6.6.1.1  </w:t>
      </w:r>
      <w:r>
        <w:rPr>
          <w:color w:val="auto"/>
          <w:sz w:val="24"/>
          <w:szCs w:val="24"/>
        </w:rPr>
        <w:t>产生情况</w:t>
      </w:r>
      <w:bookmarkEnd w:id="2508"/>
      <w:bookmarkEnd w:id="2509"/>
    </w:p>
    <w:p>
      <w:pPr>
        <w:pStyle w:val="32"/>
        <w:spacing w:line="360" w:lineRule="auto"/>
        <w:ind w:firstLine="480" w:firstLineChars="200"/>
        <w:rPr>
          <w:color w:val="auto"/>
          <w:kern w:val="2"/>
        </w:rPr>
      </w:pPr>
      <w:r>
        <w:rPr>
          <w:color w:val="auto"/>
          <w:kern w:val="2"/>
        </w:rPr>
        <w:t>本项目产生的</w:t>
      </w:r>
      <w:r>
        <w:rPr>
          <w:rFonts w:hint="eastAsia"/>
          <w:color w:val="auto"/>
          <w:kern w:val="2"/>
        </w:rPr>
        <w:t>一般</w:t>
      </w:r>
      <w:r>
        <w:rPr>
          <w:color w:val="auto"/>
          <w:kern w:val="2"/>
        </w:rPr>
        <w:t>固体废物主要如下：员工生活垃圾</w:t>
      </w:r>
      <w:r>
        <w:rPr>
          <w:rFonts w:hint="eastAsia"/>
          <w:color w:val="auto"/>
          <w:kern w:val="2"/>
        </w:rPr>
        <w:t>10.098</w:t>
      </w:r>
      <w:r>
        <w:rPr>
          <w:color w:val="auto"/>
          <w:kern w:val="2"/>
        </w:rPr>
        <w:t>t/a、</w:t>
      </w:r>
      <w:r>
        <w:rPr>
          <w:rFonts w:hint="eastAsia"/>
          <w:color w:val="auto"/>
          <w:kern w:val="2"/>
        </w:rPr>
        <w:t>废塑料膜</w:t>
      </w:r>
      <w:r>
        <w:rPr>
          <w:rFonts w:hint="eastAsia"/>
          <w:color w:val="auto"/>
          <w:kern w:val="2"/>
          <w:lang w:val="en-US" w:eastAsia="zh-CN"/>
        </w:rPr>
        <w:t>30</w:t>
      </w:r>
      <w:r>
        <w:rPr>
          <w:rFonts w:hint="eastAsia"/>
          <w:color w:val="auto"/>
          <w:kern w:val="2"/>
        </w:rPr>
        <w:t>t/a、包装废弃物5t/a</w:t>
      </w:r>
      <w:r>
        <w:rPr>
          <w:color w:val="auto"/>
          <w:kern w:val="2"/>
        </w:rPr>
        <w:t>、</w:t>
      </w:r>
      <w:r>
        <w:rPr>
          <w:rFonts w:hint="eastAsia"/>
          <w:color w:val="auto"/>
          <w:kern w:val="2"/>
        </w:rPr>
        <w:t>旋风布袋除尘器更换的布袋</w:t>
      </w:r>
      <w:r>
        <w:rPr>
          <w:color w:val="auto"/>
          <w:kern w:val="2"/>
        </w:rPr>
        <w:t>约</w:t>
      </w:r>
      <w:r>
        <w:rPr>
          <w:rFonts w:hint="eastAsia"/>
          <w:color w:val="auto"/>
          <w:kern w:val="2"/>
        </w:rPr>
        <w:t>0.02</w:t>
      </w:r>
      <w:r>
        <w:rPr>
          <w:color w:val="auto"/>
          <w:kern w:val="2"/>
        </w:rPr>
        <w:t>t/a</w:t>
      </w:r>
      <w:r>
        <w:rPr>
          <w:rFonts w:hint="eastAsia"/>
          <w:color w:val="auto"/>
          <w:kern w:val="2"/>
        </w:rPr>
        <w:t>，化粪池污泥0.08556</w:t>
      </w:r>
      <w:r>
        <w:rPr>
          <w:color w:val="auto"/>
          <w:kern w:val="2"/>
        </w:rPr>
        <w:t>t/a。</w:t>
      </w:r>
    </w:p>
    <w:p>
      <w:pPr>
        <w:pStyle w:val="44"/>
        <w:numPr>
          <w:ilvl w:val="2"/>
          <w:numId w:val="0"/>
        </w:numPr>
        <w:tabs>
          <w:tab w:val="clear" w:pos="720"/>
        </w:tabs>
        <w:spacing w:before="159" w:after="159" w:line="360" w:lineRule="auto"/>
        <w:outlineLvl w:val="3"/>
        <w:rPr>
          <w:color w:val="auto"/>
          <w:sz w:val="24"/>
          <w:szCs w:val="24"/>
        </w:rPr>
      </w:pPr>
      <w:bookmarkStart w:id="2510" w:name="_Toc24823"/>
      <w:bookmarkStart w:id="2511" w:name="_Toc29044"/>
      <w:r>
        <w:rPr>
          <w:rFonts w:hint="eastAsia"/>
          <w:color w:val="auto"/>
          <w:sz w:val="24"/>
          <w:szCs w:val="24"/>
        </w:rPr>
        <w:t>6</w:t>
      </w:r>
      <w:r>
        <w:rPr>
          <w:color w:val="auto"/>
          <w:sz w:val="24"/>
          <w:szCs w:val="24"/>
        </w:rPr>
        <w:t>.6.</w:t>
      </w:r>
      <w:r>
        <w:rPr>
          <w:rFonts w:hint="eastAsia"/>
          <w:color w:val="auto"/>
          <w:sz w:val="24"/>
          <w:szCs w:val="24"/>
          <w:lang w:val="en-US" w:eastAsia="zh-CN"/>
        </w:rPr>
        <w:t>1.</w:t>
      </w:r>
      <w:r>
        <w:rPr>
          <w:color w:val="auto"/>
          <w:sz w:val="24"/>
          <w:szCs w:val="24"/>
        </w:rPr>
        <w:t>2</w:t>
      </w:r>
      <w:r>
        <w:rPr>
          <w:rFonts w:hint="eastAsia"/>
          <w:color w:val="auto"/>
          <w:sz w:val="24"/>
          <w:szCs w:val="24"/>
        </w:rPr>
        <w:t xml:space="preserve">  </w:t>
      </w:r>
      <w:r>
        <w:rPr>
          <w:color w:val="auto"/>
          <w:sz w:val="24"/>
          <w:szCs w:val="24"/>
        </w:rPr>
        <w:t>一般固体废物影响</w:t>
      </w:r>
      <w:bookmarkEnd w:id="2510"/>
      <w:bookmarkEnd w:id="2511"/>
    </w:p>
    <w:p>
      <w:pPr>
        <w:pStyle w:val="32"/>
        <w:spacing w:line="360" w:lineRule="auto"/>
        <w:ind w:firstLine="480" w:firstLineChars="200"/>
        <w:rPr>
          <w:color w:val="auto"/>
        </w:rPr>
      </w:pPr>
      <w:r>
        <w:rPr>
          <w:color w:val="auto"/>
        </w:rPr>
        <w:t>项目产生的固体废物若随意丢弃，则会导致垃圾在项目周边堆积，引发恶臭，滋生蚊虫、老鼠，使周边环境恶化。其中的污染物还会随雨水进入河流、土壤和地下水中，进一步污染环境。故应对固体废物进行防治。</w:t>
      </w:r>
    </w:p>
    <w:p>
      <w:pPr>
        <w:pStyle w:val="32"/>
        <w:spacing w:line="360" w:lineRule="auto"/>
        <w:ind w:firstLine="480" w:firstLineChars="200"/>
        <w:rPr>
          <w:color w:val="auto"/>
        </w:rPr>
      </w:pPr>
      <w:r>
        <w:rPr>
          <w:color w:val="auto"/>
        </w:rPr>
        <w:t>本项目的固体废物大部分属于可资源化废物，应考虑回收和综合利用。其中员工生活垃圾资源价值不高，且容易腐败，需及时处理，由环卫部门每日运走处理。</w:t>
      </w:r>
      <w:r>
        <w:rPr>
          <w:rFonts w:hint="eastAsia"/>
          <w:color w:val="auto"/>
        </w:rPr>
        <w:t>废塑料膜</w:t>
      </w:r>
      <w:r>
        <w:rPr>
          <w:color w:val="auto"/>
        </w:rPr>
        <w:t>、包装废弃物</w:t>
      </w:r>
      <w:r>
        <w:rPr>
          <w:rFonts w:hint="eastAsia"/>
          <w:color w:val="auto"/>
        </w:rPr>
        <w:t>和更换的布袋</w:t>
      </w:r>
      <w:r>
        <w:rPr>
          <w:color w:val="auto"/>
        </w:rPr>
        <w:t>均具有一定的价值，可进行回收和综合利用，项目拟将其分类收集，妥善存放，并定期外售给回收单位。</w:t>
      </w:r>
      <w:r>
        <w:rPr>
          <w:rFonts w:hint="eastAsia"/>
          <w:color w:val="auto"/>
        </w:rPr>
        <w:t>化粪池污泥</w:t>
      </w:r>
      <w:r>
        <w:rPr>
          <w:color w:val="auto"/>
        </w:rPr>
        <w:t>项目拟定期委托专业处理公司使用吸粪车对其进行清理并外运。</w:t>
      </w:r>
    </w:p>
    <w:p>
      <w:pPr>
        <w:pStyle w:val="44"/>
        <w:numPr>
          <w:ilvl w:val="2"/>
          <w:numId w:val="0"/>
        </w:numPr>
        <w:tabs>
          <w:tab w:val="clear" w:pos="720"/>
        </w:tabs>
        <w:spacing w:before="159" w:after="159" w:line="360" w:lineRule="auto"/>
        <w:outlineLvl w:val="3"/>
        <w:rPr>
          <w:color w:val="auto"/>
          <w:sz w:val="24"/>
          <w:szCs w:val="24"/>
        </w:rPr>
      </w:pPr>
      <w:bookmarkStart w:id="2512" w:name="_Toc10962"/>
      <w:bookmarkStart w:id="2513" w:name="_Toc10235"/>
      <w:r>
        <w:rPr>
          <w:rFonts w:hint="eastAsia"/>
          <w:color w:val="auto"/>
          <w:sz w:val="24"/>
          <w:szCs w:val="24"/>
        </w:rPr>
        <w:t>6</w:t>
      </w:r>
      <w:r>
        <w:rPr>
          <w:color w:val="auto"/>
          <w:sz w:val="24"/>
          <w:szCs w:val="24"/>
        </w:rPr>
        <w:t>.6.</w:t>
      </w:r>
      <w:r>
        <w:rPr>
          <w:rFonts w:hint="eastAsia"/>
          <w:color w:val="auto"/>
          <w:sz w:val="24"/>
          <w:szCs w:val="24"/>
          <w:lang w:val="en-US" w:eastAsia="zh-CN"/>
        </w:rPr>
        <w:t>1.</w:t>
      </w:r>
      <w:r>
        <w:rPr>
          <w:color w:val="auto"/>
          <w:sz w:val="24"/>
          <w:szCs w:val="24"/>
        </w:rPr>
        <w:t>3</w:t>
      </w:r>
      <w:r>
        <w:rPr>
          <w:rFonts w:hint="eastAsia"/>
          <w:color w:val="auto"/>
          <w:sz w:val="24"/>
          <w:szCs w:val="24"/>
        </w:rPr>
        <w:t xml:space="preserve">  </w:t>
      </w:r>
      <w:r>
        <w:rPr>
          <w:rFonts w:hint="eastAsia"/>
          <w:color w:val="auto"/>
          <w:sz w:val="24"/>
          <w:szCs w:val="24"/>
          <w:lang w:val="en-US" w:eastAsia="zh-CN"/>
        </w:rPr>
        <w:t>一般固体废物环境影响</w:t>
      </w:r>
      <w:r>
        <w:rPr>
          <w:color w:val="auto"/>
          <w:sz w:val="24"/>
          <w:szCs w:val="24"/>
        </w:rPr>
        <w:t>结果</w:t>
      </w:r>
      <w:bookmarkEnd w:id="2512"/>
      <w:bookmarkEnd w:id="2513"/>
    </w:p>
    <w:p>
      <w:pPr>
        <w:pStyle w:val="32"/>
        <w:spacing w:line="360" w:lineRule="auto"/>
        <w:ind w:firstLine="480" w:firstLineChars="200"/>
        <w:rPr>
          <w:color w:val="auto"/>
        </w:rPr>
      </w:pPr>
      <w:r>
        <w:rPr>
          <w:color w:val="auto"/>
        </w:rPr>
        <w:t>综上所述，本项目产生的固体废物均可做到“资源化、减量化、无害化”，去向明确，不会直接被遗弃在自然环境中，一般固体废弃物处置符合《一般工业固体废物贮存、处置场污染控制标准》（GB18599-2001）及其2013年修改单的相关规定，对周边环境影响较小。</w:t>
      </w:r>
    </w:p>
    <w:p>
      <w:pPr>
        <w:pStyle w:val="44"/>
        <w:numPr>
          <w:ilvl w:val="2"/>
          <w:numId w:val="0"/>
        </w:numPr>
        <w:tabs>
          <w:tab w:val="clear" w:pos="720"/>
        </w:tabs>
        <w:spacing w:before="159" w:after="159" w:line="360" w:lineRule="auto"/>
        <w:rPr>
          <w:rFonts w:hint="eastAsia"/>
          <w:color w:val="auto"/>
          <w:sz w:val="28"/>
          <w:szCs w:val="28"/>
        </w:rPr>
      </w:pPr>
      <w:bookmarkStart w:id="2514" w:name="_Toc28025"/>
      <w:bookmarkStart w:id="2515" w:name="_Toc2069"/>
      <w:r>
        <w:rPr>
          <w:rFonts w:hint="eastAsia"/>
          <w:color w:val="auto"/>
          <w:sz w:val="28"/>
          <w:szCs w:val="28"/>
        </w:rPr>
        <w:t>6</w:t>
      </w:r>
      <w:r>
        <w:rPr>
          <w:color w:val="auto"/>
          <w:sz w:val="28"/>
          <w:szCs w:val="28"/>
        </w:rPr>
        <w:t>.</w:t>
      </w:r>
      <w:r>
        <w:rPr>
          <w:rFonts w:hint="eastAsia"/>
          <w:color w:val="auto"/>
          <w:sz w:val="28"/>
          <w:szCs w:val="28"/>
        </w:rPr>
        <w:t>6</w:t>
      </w:r>
      <w:r>
        <w:rPr>
          <w:color w:val="auto"/>
          <w:sz w:val="28"/>
          <w:szCs w:val="28"/>
        </w:rPr>
        <w:t>.</w:t>
      </w:r>
      <w:r>
        <w:rPr>
          <w:rFonts w:hint="eastAsia"/>
          <w:color w:val="auto"/>
          <w:sz w:val="28"/>
          <w:szCs w:val="28"/>
          <w:lang w:val="en-US" w:eastAsia="zh-CN"/>
        </w:rPr>
        <w:t>2</w:t>
      </w:r>
      <w:r>
        <w:rPr>
          <w:rFonts w:hint="eastAsia"/>
          <w:color w:val="auto"/>
          <w:sz w:val="28"/>
          <w:szCs w:val="28"/>
        </w:rPr>
        <w:t xml:space="preserve">  危险废物</w:t>
      </w:r>
    </w:p>
    <w:p>
      <w:pPr>
        <w:pStyle w:val="44"/>
        <w:numPr>
          <w:ilvl w:val="2"/>
          <w:numId w:val="0"/>
        </w:numPr>
        <w:tabs>
          <w:tab w:val="clear" w:pos="720"/>
        </w:tabs>
        <w:spacing w:before="159" w:after="159" w:line="360" w:lineRule="auto"/>
        <w:outlineLvl w:val="3"/>
        <w:rPr>
          <w:color w:val="auto"/>
          <w:sz w:val="24"/>
          <w:szCs w:val="24"/>
        </w:rPr>
      </w:pPr>
      <w:r>
        <w:rPr>
          <w:rFonts w:hint="eastAsia"/>
          <w:color w:val="auto"/>
          <w:sz w:val="24"/>
          <w:szCs w:val="24"/>
          <w:lang w:val="en-US" w:eastAsia="zh-CN"/>
        </w:rPr>
        <w:t xml:space="preserve">6.6.2.1  </w:t>
      </w:r>
      <w:r>
        <w:rPr>
          <w:color w:val="auto"/>
          <w:sz w:val="24"/>
          <w:szCs w:val="24"/>
        </w:rPr>
        <w:t>产</w:t>
      </w:r>
      <w:r>
        <w:rPr>
          <w:rFonts w:hint="eastAsia"/>
          <w:color w:val="auto"/>
          <w:sz w:val="24"/>
          <w:szCs w:val="24"/>
        </w:rPr>
        <w:t>生及处置</w:t>
      </w:r>
      <w:r>
        <w:rPr>
          <w:color w:val="auto"/>
          <w:sz w:val="24"/>
          <w:szCs w:val="24"/>
        </w:rPr>
        <w:t>情况</w:t>
      </w:r>
      <w:bookmarkEnd w:id="2514"/>
      <w:bookmarkEnd w:id="2515"/>
    </w:p>
    <w:p>
      <w:pPr>
        <w:autoSpaceDE w:val="0"/>
        <w:autoSpaceDN w:val="0"/>
        <w:spacing w:line="360" w:lineRule="auto"/>
        <w:ind w:firstLine="520" w:firstLineChars="217"/>
        <w:rPr>
          <w:color w:val="auto"/>
          <w:sz w:val="24"/>
        </w:rPr>
      </w:pPr>
      <w:r>
        <w:rPr>
          <w:color w:val="auto"/>
          <w:sz w:val="24"/>
        </w:rPr>
        <w:t>根据工程分析，</w:t>
      </w:r>
      <w:r>
        <w:rPr>
          <w:rFonts w:hint="eastAsia"/>
          <w:color w:val="auto"/>
          <w:sz w:val="24"/>
        </w:rPr>
        <w:t>本项目危险废物产生及处置情况如下表。</w:t>
      </w:r>
    </w:p>
    <w:p>
      <w:pPr>
        <w:spacing w:line="360" w:lineRule="auto"/>
        <w:jc w:val="center"/>
        <w:rPr>
          <w:b/>
          <w:bCs/>
          <w:color w:val="auto"/>
          <w:szCs w:val="21"/>
        </w:rPr>
      </w:pPr>
    </w:p>
    <w:p>
      <w:pPr>
        <w:spacing w:line="360" w:lineRule="auto"/>
        <w:jc w:val="center"/>
        <w:rPr>
          <w:b/>
          <w:bCs/>
          <w:color w:val="auto"/>
          <w:szCs w:val="21"/>
        </w:rPr>
      </w:pPr>
    </w:p>
    <w:p>
      <w:pPr>
        <w:spacing w:line="360" w:lineRule="auto"/>
        <w:jc w:val="center"/>
        <w:rPr>
          <w:b/>
          <w:bCs/>
          <w:color w:val="auto"/>
          <w:szCs w:val="21"/>
        </w:rPr>
      </w:pPr>
    </w:p>
    <w:p>
      <w:pPr>
        <w:spacing w:line="360" w:lineRule="auto"/>
        <w:jc w:val="center"/>
        <w:rPr>
          <w:b/>
          <w:bCs/>
          <w:color w:val="auto"/>
          <w:szCs w:val="21"/>
        </w:rPr>
      </w:pPr>
      <w:r>
        <w:rPr>
          <w:b/>
          <w:bCs/>
          <w:color w:val="auto"/>
          <w:szCs w:val="21"/>
        </w:rPr>
        <w:t>表</w:t>
      </w:r>
      <w:r>
        <w:rPr>
          <w:rFonts w:hint="eastAsia"/>
          <w:b/>
          <w:bCs/>
          <w:color w:val="auto"/>
          <w:szCs w:val="21"/>
        </w:rPr>
        <w:t xml:space="preserve">6.6-1 </w:t>
      </w:r>
      <w:r>
        <w:rPr>
          <w:b/>
          <w:bCs/>
          <w:color w:val="auto"/>
          <w:szCs w:val="21"/>
        </w:rPr>
        <w:t xml:space="preserve"> </w:t>
      </w:r>
      <w:r>
        <w:rPr>
          <w:rFonts w:hint="eastAsia"/>
          <w:b/>
          <w:bCs/>
          <w:color w:val="auto"/>
          <w:szCs w:val="21"/>
          <w:lang w:eastAsia="zh-CN"/>
        </w:rPr>
        <w:t>迁改</w:t>
      </w:r>
      <w:r>
        <w:rPr>
          <w:rFonts w:hint="eastAsia"/>
          <w:b/>
          <w:bCs/>
          <w:color w:val="auto"/>
          <w:szCs w:val="21"/>
        </w:rPr>
        <w:t>扩建后项目危险废物</w:t>
      </w:r>
      <w:r>
        <w:rPr>
          <w:b/>
          <w:bCs/>
          <w:color w:val="auto"/>
          <w:szCs w:val="21"/>
        </w:rPr>
        <w:t>产生与处置</w:t>
      </w:r>
      <w:r>
        <w:rPr>
          <w:rFonts w:hint="eastAsia"/>
          <w:b/>
          <w:bCs/>
          <w:color w:val="auto"/>
          <w:szCs w:val="21"/>
        </w:rPr>
        <w:t>情况</w:t>
      </w:r>
      <w:r>
        <w:rPr>
          <w:b/>
          <w:bCs/>
          <w:color w:val="auto"/>
          <w:szCs w:val="21"/>
        </w:rPr>
        <w:t>一览表</w:t>
      </w:r>
    </w:p>
    <w:tbl>
      <w:tblPr>
        <w:tblStyle w:val="23"/>
        <w:tblW w:w="89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8"/>
        <w:gridCol w:w="1814"/>
        <w:gridCol w:w="1827"/>
        <w:gridCol w:w="1261"/>
        <w:gridCol w:w="1004"/>
        <w:gridCol w:w="25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8" w:type="dxa"/>
            <w:vAlign w:val="center"/>
          </w:tcPr>
          <w:p>
            <w:pPr>
              <w:topLinePunct/>
              <w:adjustRightInd w:val="0"/>
              <w:snapToGrid w:val="0"/>
              <w:spacing w:line="25" w:lineRule="atLeast"/>
              <w:jc w:val="center"/>
              <w:rPr>
                <w:color w:val="auto"/>
                <w:kern w:val="0"/>
                <w:szCs w:val="21"/>
              </w:rPr>
            </w:pPr>
            <w:r>
              <w:rPr>
                <w:color w:val="auto"/>
                <w:kern w:val="0"/>
                <w:szCs w:val="21"/>
              </w:rPr>
              <w:t>类别</w:t>
            </w:r>
          </w:p>
        </w:tc>
        <w:tc>
          <w:tcPr>
            <w:tcW w:w="1814" w:type="dxa"/>
            <w:vAlign w:val="center"/>
          </w:tcPr>
          <w:p>
            <w:pPr>
              <w:topLinePunct/>
              <w:adjustRightInd w:val="0"/>
              <w:snapToGrid w:val="0"/>
              <w:spacing w:line="25" w:lineRule="atLeast"/>
              <w:jc w:val="center"/>
              <w:rPr>
                <w:color w:val="auto"/>
                <w:kern w:val="0"/>
                <w:szCs w:val="21"/>
              </w:rPr>
            </w:pPr>
            <w:r>
              <w:rPr>
                <w:color w:val="auto"/>
                <w:kern w:val="0"/>
                <w:szCs w:val="21"/>
              </w:rPr>
              <w:t>固体废物名称</w:t>
            </w:r>
          </w:p>
        </w:tc>
        <w:tc>
          <w:tcPr>
            <w:tcW w:w="1827" w:type="dxa"/>
            <w:vAlign w:val="center"/>
          </w:tcPr>
          <w:p>
            <w:pPr>
              <w:topLinePunct/>
              <w:adjustRightInd w:val="0"/>
              <w:snapToGrid w:val="0"/>
              <w:spacing w:line="25" w:lineRule="atLeast"/>
              <w:jc w:val="center"/>
              <w:rPr>
                <w:color w:val="auto"/>
                <w:kern w:val="0"/>
                <w:szCs w:val="21"/>
              </w:rPr>
            </w:pPr>
            <w:r>
              <w:rPr>
                <w:color w:val="auto"/>
                <w:kern w:val="0"/>
                <w:szCs w:val="21"/>
              </w:rPr>
              <w:t>危险废物</w:t>
            </w:r>
          </w:p>
          <w:p>
            <w:pPr>
              <w:topLinePunct/>
              <w:adjustRightInd w:val="0"/>
              <w:snapToGrid w:val="0"/>
              <w:spacing w:line="25" w:lineRule="atLeast"/>
              <w:jc w:val="center"/>
              <w:rPr>
                <w:color w:val="auto"/>
                <w:kern w:val="0"/>
                <w:szCs w:val="21"/>
              </w:rPr>
            </w:pPr>
            <w:r>
              <w:rPr>
                <w:color w:val="auto"/>
                <w:kern w:val="0"/>
                <w:szCs w:val="21"/>
              </w:rPr>
              <w:t>类别</w:t>
            </w:r>
          </w:p>
        </w:tc>
        <w:tc>
          <w:tcPr>
            <w:tcW w:w="1261" w:type="dxa"/>
            <w:vAlign w:val="center"/>
          </w:tcPr>
          <w:p>
            <w:pPr>
              <w:topLinePunct/>
              <w:adjustRightInd w:val="0"/>
              <w:snapToGrid w:val="0"/>
              <w:spacing w:line="25" w:lineRule="atLeast"/>
              <w:jc w:val="center"/>
              <w:rPr>
                <w:color w:val="auto"/>
                <w:kern w:val="0"/>
                <w:szCs w:val="21"/>
              </w:rPr>
            </w:pPr>
            <w:r>
              <w:rPr>
                <w:color w:val="auto"/>
                <w:kern w:val="0"/>
                <w:szCs w:val="21"/>
              </w:rPr>
              <w:t>危险废物</w:t>
            </w:r>
          </w:p>
          <w:p>
            <w:pPr>
              <w:topLinePunct/>
              <w:adjustRightInd w:val="0"/>
              <w:snapToGrid w:val="0"/>
              <w:spacing w:line="25" w:lineRule="atLeast"/>
              <w:jc w:val="center"/>
              <w:rPr>
                <w:color w:val="auto"/>
                <w:kern w:val="0"/>
                <w:szCs w:val="21"/>
              </w:rPr>
            </w:pPr>
            <w:r>
              <w:rPr>
                <w:color w:val="auto"/>
                <w:kern w:val="0"/>
                <w:szCs w:val="21"/>
              </w:rPr>
              <w:t>代码</w:t>
            </w:r>
          </w:p>
        </w:tc>
        <w:tc>
          <w:tcPr>
            <w:tcW w:w="1004" w:type="dxa"/>
            <w:vAlign w:val="center"/>
          </w:tcPr>
          <w:p>
            <w:pPr>
              <w:topLinePunct/>
              <w:adjustRightInd w:val="0"/>
              <w:snapToGrid w:val="0"/>
              <w:spacing w:line="25" w:lineRule="atLeast"/>
              <w:jc w:val="center"/>
              <w:rPr>
                <w:color w:val="auto"/>
                <w:kern w:val="0"/>
                <w:szCs w:val="21"/>
              </w:rPr>
            </w:pPr>
            <w:r>
              <w:rPr>
                <w:color w:val="auto"/>
                <w:kern w:val="0"/>
                <w:szCs w:val="21"/>
              </w:rPr>
              <w:t>产生量</w:t>
            </w:r>
          </w:p>
          <w:p>
            <w:pPr>
              <w:topLinePunct/>
              <w:adjustRightInd w:val="0"/>
              <w:snapToGrid w:val="0"/>
              <w:spacing w:line="25" w:lineRule="atLeast"/>
              <w:jc w:val="center"/>
              <w:rPr>
                <w:color w:val="auto"/>
                <w:kern w:val="0"/>
                <w:szCs w:val="21"/>
              </w:rPr>
            </w:pPr>
            <w:r>
              <w:rPr>
                <w:color w:val="auto"/>
                <w:kern w:val="0"/>
                <w:szCs w:val="21"/>
              </w:rPr>
              <w:t>(t/a)</w:t>
            </w:r>
          </w:p>
        </w:tc>
        <w:tc>
          <w:tcPr>
            <w:tcW w:w="2554" w:type="dxa"/>
            <w:vAlign w:val="center"/>
          </w:tcPr>
          <w:p>
            <w:pPr>
              <w:topLinePunct/>
              <w:adjustRightInd w:val="0"/>
              <w:snapToGrid w:val="0"/>
              <w:spacing w:line="25" w:lineRule="atLeast"/>
              <w:jc w:val="center"/>
              <w:rPr>
                <w:color w:val="auto"/>
                <w:kern w:val="0"/>
                <w:szCs w:val="21"/>
              </w:rPr>
            </w:pPr>
            <w:r>
              <w:rPr>
                <w:color w:val="auto"/>
                <w:kern w:val="0"/>
                <w:szCs w:val="21"/>
              </w:rPr>
              <w:t>污染防治措施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restart"/>
            <w:vAlign w:val="center"/>
          </w:tcPr>
          <w:p>
            <w:pPr>
              <w:topLinePunct/>
              <w:adjustRightInd w:val="0"/>
              <w:snapToGrid w:val="0"/>
              <w:spacing w:line="25" w:lineRule="atLeast"/>
              <w:jc w:val="center"/>
              <w:rPr>
                <w:color w:val="auto"/>
                <w:kern w:val="0"/>
                <w:szCs w:val="21"/>
              </w:rPr>
            </w:pPr>
            <w:r>
              <w:rPr>
                <w:color w:val="auto"/>
                <w:kern w:val="0"/>
                <w:szCs w:val="21"/>
              </w:rPr>
              <w:t>厂内回收的危险废物</w:t>
            </w:r>
          </w:p>
        </w:tc>
        <w:tc>
          <w:tcPr>
            <w:tcW w:w="1814" w:type="dxa"/>
            <w:vAlign w:val="center"/>
          </w:tcPr>
          <w:p>
            <w:pPr>
              <w:widowControl/>
              <w:adjustRightInd w:val="0"/>
              <w:snapToGrid w:val="0"/>
              <w:spacing w:line="25" w:lineRule="atLeast"/>
              <w:jc w:val="center"/>
              <w:rPr>
                <w:color w:val="auto"/>
                <w:kern w:val="0"/>
                <w:szCs w:val="21"/>
              </w:rPr>
            </w:pPr>
            <w:r>
              <w:rPr>
                <w:color w:val="auto"/>
                <w:szCs w:val="21"/>
              </w:rPr>
              <w:t>截留的粉尘</w:t>
            </w:r>
          </w:p>
        </w:tc>
        <w:tc>
          <w:tcPr>
            <w:tcW w:w="1827" w:type="dxa"/>
            <w:vAlign w:val="center"/>
          </w:tcPr>
          <w:p>
            <w:pPr>
              <w:spacing w:line="25" w:lineRule="atLeast"/>
              <w:jc w:val="center"/>
              <w:rPr>
                <w:color w:val="auto"/>
                <w:kern w:val="0"/>
                <w:szCs w:val="21"/>
              </w:rPr>
            </w:pPr>
            <w:r>
              <w:rPr>
                <w:color w:val="auto"/>
                <w:kern w:val="0"/>
                <w:szCs w:val="21"/>
              </w:rPr>
              <w:t>HW13</w:t>
            </w:r>
          </w:p>
          <w:p>
            <w:pPr>
              <w:spacing w:line="25" w:lineRule="atLeast"/>
              <w:jc w:val="center"/>
              <w:rPr>
                <w:color w:val="auto"/>
                <w:kern w:val="0"/>
                <w:szCs w:val="21"/>
              </w:rPr>
            </w:pPr>
            <w:r>
              <w:rPr>
                <w:color w:val="auto"/>
                <w:szCs w:val="21"/>
              </w:rPr>
              <w:t>有机树脂类废物</w:t>
            </w:r>
          </w:p>
        </w:tc>
        <w:tc>
          <w:tcPr>
            <w:tcW w:w="1261" w:type="dxa"/>
            <w:vAlign w:val="center"/>
          </w:tcPr>
          <w:p>
            <w:pPr>
              <w:widowControl/>
              <w:adjustRightInd w:val="0"/>
              <w:snapToGrid w:val="0"/>
              <w:spacing w:line="25" w:lineRule="atLeast"/>
              <w:jc w:val="center"/>
              <w:rPr>
                <w:color w:val="auto"/>
                <w:kern w:val="0"/>
                <w:szCs w:val="21"/>
              </w:rPr>
            </w:pPr>
            <w:r>
              <w:rPr>
                <w:color w:val="auto"/>
                <w:szCs w:val="21"/>
              </w:rPr>
              <w:t>900-451-13</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6.2813</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作为卷材生产的原材料回收利用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spacing w:line="25" w:lineRule="atLeast"/>
              <w:jc w:val="center"/>
              <w:rPr>
                <w:color w:val="auto"/>
                <w:kern w:val="0"/>
                <w:szCs w:val="21"/>
              </w:rPr>
            </w:pPr>
          </w:p>
        </w:tc>
        <w:tc>
          <w:tcPr>
            <w:tcW w:w="1814" w:type="dxa"/>
            <w:tcBorders>
              <w:left w:val="single" w:color="000000" w:sz="4" w:space="0"/>
            </w:tcBorders>
            <w:vAlign w:val="center"/>
          </w:tcPr>
          <w:p>
            <w:pPr>
              <w:widowControl/>
              <w:adjustRightInd w:val="0"/>
              <w:snapToGrid w:val="0"/>
              <w:spacing w:line="25" w:lineRule="atLeast"/>
              <w:rPr>
                <w:color w:val="auto"/>
                <w:kern w:val="0"/>
                <w:szCs w:val="21"/>
              </w:rPr>
            </w:pPr>
            <w:r>
              <w:rPr>
                <w:color w:val="auto"/>
                <w:kern w:val="0"/>
                <w:szCs w:val="21"/>
              </w:rPr>
              <w:t>截留的沥青油</w:t>
            </w:r>
          </w:p>
        </w:tc>
        <w:tc>
          <w:tcPr>
            <w:tcW w:w="1827" w:type="dxa"/>
            <w:vAlign w:val="center"/>
          </w:tcPr>
          <w:p>
            <w:pPr>
              <w:spacing w:line="25" w:lineRule="atLeast"/>
              <w:jc w:val="center"/>
              <w:rPr>
                <w:color w:val="auto"/>
                <w:kern w:val="0"/>
                <w:szCs w:val="21"/>
              </w:rPr>
            </w:pPr>
            <w:r>
              <w:rPr>
                <w:color w:val="auto"/>
                <w:kern w:val="0"/>
                <w:szCs w:val="21"/>
              </w:rPr>
              <w:t>HW11</w:t>
            </w:r>
          </w:p>
          <w:p>
            <w:pPr>
              <w:spacing w:line="25" w:lineRule="atLeast"/>
              <w:jc w:val="center"/>
              <w:rPr>
                <w:color w:val="auto"/>
                <w:kern w:val="0"/>
                <w:szCs w:val="21"/>
              </w:rPr>
            </w:pPr>
            <w:r>
              <w:rPr>
                <w:color w:val="auto"/>
                <w:szCs w:val="21"/>
              </w:rPr>
              <w:t>精（蒸）馏残渣</w:t>
            </w:r>
          </w:p>
        </w:tc>
        <w:tc>
          <w:tcPr>
            <w:tcW w:w="1261" w:type="dxa"/>
            <w:vAlign w:val="center"/>
          </w:tcPr>
          <w:p>
            <w:pPr>
              <w:widowControl/>
              <w:adjustRightInd w:val="0"/>
              <w:snapToGrid w:val="0"/>
              <w:spacing w:line="25" w:lineRule="atLeast"/>
              <w:jc w:val="center"/>
              <w:rPr>
                <w:color w:val="auto"/>
                <w:kern w:val="0"/>
                <w:szCs w:val="21"/>
              </w:rPr>
            </w:pPr>
            <w:r>
              <w:rPr>
                <w:color w:val="auto"/>
                <w:szCs w:val="21"/>
              </w:rPr>
              <w:t>252-016-11</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0.2</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作为卷材生产的原材料回收利用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shd w:val="clear" w:color="auto" w:fill="auto"/>
            <w:vAlign w:val="center"/>
          </w:tcPr>
          <w:p>
            <w:pPr>
              <w:spacing w:line="25" w:lineRule="atLeast"/>
              <w:jc w:val="center"/>
              <w:rPr>
                <w:color w:val="auto"/>
                <w:kern w:val="0"/>
                <w:szCs w:val="21"/>
              </w:rPr>
            </w:pPr>
          </w:p>
        </w:tc>
        <w:tc>
          <w:tcPr>
            <w:tcW w:w="4902" w:type="dxa"/>
            <w:gridSpan w:val="3"/>
            <w:tcBorders>
              <w:left w:val="single" w:color="000000" w:sz="4" w:space="0"/>
            </w:tcBorders>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厂内回收利用的危险废物小计</w:t>
            </w:r>
          </w:p>
        </w:tc>
        <w:tc>
          <w:tcPr>
            <w:tcW w:w="1004" w:type="dxa"/>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6.4813</w:t>
            </w:r>
          </w:p>
        </w:tc>
        <w:tc>
          <w:tcPr>
            <w:tcW w:w="2554" w:type="dxa"/>
            <w:shd w:val="clear" w:color="auto" w:fill="F1F1F1" w:themeFill="background1" w:themeFillShade="F2"/>
            <w:vAlign w:val="center"/>
          </w:tcPr>
          <w:p>
            <w:pPr>
              <w:topLinePunct/>
              <w:adjustRightInd w:val="0"/>
              <w:snapToGrid w:val="0"/>
              <w:spacing w:line="25" w:lineRule="atLeast"/>
              <w:jc w:val="left"/>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spacing w:line="25" w:lineRule="atLeast"/>
              <w:jc w:val="center"/>
              <w:rPr>
                <w:color w:val="auto"/>
                <w:szCs w:val="21"/>
              </w:rPr>
            </w:pPr>
          </w:p>
        </w:tc>
        <w:tc>
          <w:tcPr>
            <w:tcW w:w="1814" w:type="dxa"/>
            <w:tcBorders>
              <w:left w:val="single" w:color="000000" w:sz="4" w:space="0"/>
            </w:tcBorders>
            <w:vAlign w:val="center"/>
          </w:tcPr>
          <w:p>
            <w:pPr>
              <w:widowControl/>
              <w:adjustRightInd w:val="0"/>
              <w:snapToGrid w:val="0"/>
              <w:spacing w:line="25" w:lineRule="atLeast"/>
              <w:jc w:val="center"/>
              <w:rPr>
                <w:color w:val="auto"/>
                <w:szCs w:val="21"/>
              </w:rPr>
            </w:pPr>
            <w:r>
              <w:rPr>
                <w:rFonts w:hint="eastAsia"/>
                <w:color w:val="auto"/>
                <w:kern w:val="0"/>
                <w:szCs w:val="21"/>
                <w:lang w:bidi="ar"/>
              </w:rPr>
              <w:t>废矿物油</w:t>
            </w:r>
          </w:p>
        </w:tc>
        <w:tc>
          <w:tcPr>
            <w:tcW w:w="1827" w:type="dxa"/>
            <w:vAlign w:val="center"/>
          </w:tcPr>
          <w:p>
            <w:pPr>
              <w:widowControl/>
              <w:adjustRightInd w:val="0"/>
              <w:snapToGrid w:val="0"/>
              <w:spacing w:line="25" w:lineRule="atLeast"/>
              <w:jc w:val="center"/>
              <w:rPr>
                <w:color w:val="auto"/>
                <w:kern w:val="0"/>
                <w:szCs w:val="21"/>
              </w:rPr>
            </w:pPr>
            <w:r>
              <w:rPr>
                <w:color w:val="auto"/>
                <w:kern w:val="0"/>
                <w:szCs w:val="21"/>
                <w:lang w:bidi="ar"/>
              </w:rPr>
              <w:t>HW08废矿物油与含矿物油废物</w:t>
            </w:r>
          </w:p>
        </w:tc>
        <w:tc>
          <w:tcPr>
            <w:tcW w:w="1261" w:type="dxa"/>
            <w:vAlign w:val="center"/>
          </w:tcPr>
          <w:p>
            <w:pPr>
              <w:widowControl/>
              <w:adjustRightInd w:val="0"/>
              <w:snapToGrid w:val="0"/>
              <w:spacing w:line="25" w:lineRule="atLeast"/>
              <w:jc w:val="center"/>
              <w:rPr>
                <w:color w:val="auto"/>
                <w:kern w:val="0"/>
                <w:szCs w:val="21"/>
              </w:rPr>
            </w:pPr>
            <w:r>
              <w:rPr>
                <w:color w:val="auto"/>
                <w:kern w:val="0"/>
                <w:szCs w:val="21"/>
                <w:lang w:bidi="ar"/>
              </w:rPr>
              <w:t>900-249-08</w:t>
            </w:r>
          </w:p>
        </w:tc>
        <w:tc>
          <w:tcPr>
            <w:tcW w:w="1004" w:type="dxa"/>
            <w:vAlign w:val="center"/>
          </w:tcPr>
          <w:p>
            <w:pPr>
              <w:widowControl/>
              <w:adjustRightInd w:val="0"/>
              <w:snapToGrid w:val="0"/>
              <w:spacing w:line="25" w:lineRule="atLeast"/>
              <w:jc w:val="center"/>
              <w:rPr>
                <w:color w:val="auto"/>
                <w:kern w:val="0"/>
                <w:szCs w:val="21"/>
              </w:rPr>
            </w:pPr>
            <w:r>
              <w:rPr>
                <w:rFonts w:hint="eastAsia"/>
                <w:color w:val="auto"/>
                <w:kern w:val="18"/>
                <w:szCs w:val="21"/>
              </w:rPr>
              <w:t>1</w:t>
            </w:r>
            <w:r>
              <w:rPr>
                <w:color w:val="auto"/>
                <w:kern w:val="18"/>
                <w:szCs w:val="21"/>
              </w:rPr>
              <w:t>.076</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暂存于</w:t>
            </w:r>
            <w:r>
              <w:rPr>
                <w:rFonts w:hint="eastAsia"/>
                <w:color w:val="auto"/>
                <w:kern w:val="0"/>
                <w:szCs w:val="21"/>
              </w:rPr>
              <w:t>危废暂存间</w:t>
            </w:r>
            <w:r>
              <w:rPr>
                <w:color w:val="auto"/>
                <w:kern w:val="0"/>
                <w:szCs w:val="21"/>
              </w:rPr>
              <w:t>，外委有资质单位处理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shd w:val="clear" w:color="auto" w:fill="auto"/>
            <w:vAlign w:val="center"/>
          </w:tcPr>
          <w:p>
            <w:pPr>
              <w:spacing w:line="25" w:lineRule="atLeast"/>
              <w:jc w:val="center"/>
              <w:rPr>
                <w:color w:val="auto"/>
                <w:szCs w:val="21"/>
              </w:rPr>
            </w:pPr>
          </w:p>
        </w:tc>
        <w:tc>
          <w:tcPr>
            <w:tcW w:w="4902" w:type="dxa"/>
            <w:gridSpan w:val="3"/>
            <w:tcBorders>
              <w:left w:val="single" w:color="000000" w:sz="4" w:space="0"/>
            </w:tcBorders>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需外委有HW08危废资质单位的危险废物小计</w:t>
            </w:r>
          </w:p>
        </w:tc>
        <w:tc>
          <w:tcPr>
            <w:tcW w:w="1004" w:type="dxa"/>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rFonts w:hint="eastAsia"/>
                <w:color w:val="auto"/>
                <w:kern w:val="18"/>
                <w:szCs w:val="21"/>
              </w:rPr>
              <w:t>1</w:t>
            </w:r>
            <w:r>
              <w:rPr>
                <w:color w:val="auto"/>
                <w:kern w:val="18"/>
                <w:szCs w:val="21"/>
              </w:rPr>
              <w:t>.076</w:t>
            </w:r>
          </w:p>
        </w:tc>
        <w:tc>
          <w:tcPr>
            <w:tcW w:w="2554" w:type="dxa"/>
            <w:shd w:val="clear" w:color="auto" w:fill="F1F1F1" w:themeFill="background1" w:themeFillShade="F2"/>
            <w:vAlign w:val="center"/>
          </w:tcPr>
          <w:p>
            <w:pPr>
              <w:topLinePunct/>
              <w:adjustRightInd w:val="0"/>
              <w:snapToGrid w:val="0"/>
              <w:spacing w:line="25" w:lineRule="atLeast"/>
              <w:jc w:val="left"/>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spacing w:line="25" w:lineRule="atLeast"/>
              <w:jc w:val="center"/>
              <w:rPr>
                <w:color w:val="auto"/>
                <w:szCs w:val="21"/>
              </w:rPr>
            </w:pPr>
          </w:p>
        </w:tc>
        <w:tc>
          <w:tcPr>
            <w:tcW w:w="1814" w:type="dxa"/>
            <w:tcBorders>
              <w:left w:val="single" w:color="000000" w:sz="4" w:space="0"/>
            </w:tcBorders>
            <w:vAlign w:val="center"/>
          </w:tcPr>
          <w:p>
            <w:pPr>
              <w:widowControl/>
              <w:adjustRightInd w:val="0"/>
              <w:snapToGrid w:val="0"/>
              <w:spacing w:line="25" w:lineRule="atLeast"/>
              <w:jc w:val="center"/>
              <w:rPr>
                <w:color w:val="auto"/>
                <w:kern w:val="0"/>
                <w:szCs w:val="21"/>
              </w:rPr>
            </w:pPr>
            <w:r>
              <w:rPr>
                <w:color w:val="auto"/>
                <w:szCs w:val="21"/>
              </w:rPr>
              <w:t>废UV灯管</w:t>
            </w:r>
          </w:p>
        </w:tc>
        <w:tc>
          <w:tcPr>
            <w:tcW w:w="1827" w:type="dxa"/>
            <w:vAlign w:val="center"/>
          </w:tcPr>
          <w:p>
            <w:pPr>
              <w:widowControl/>
              <w:adjustRightInd w:val="0"/>
              <w:snapToGrid w:val="0"/>
              <w:spacing w:line="25" w:lineRule="atLeast"/>
              <w:jc w:val="center"/>
              <w:rPr>
                <w:color w:val="auto"/>
                <w:kern w:val="0"/>
                <w:szCs w:val="21"/>
              </w:rPr>
            </w:pPr>
            <w:r>
              <w:rPr>
                <w:color w:val="auto"/>
                <w:szCs w:val="21"/>
              </w:rPr>
              <w:t>HW29含汞废物</w:t>
            </w:r>
          </w:p>
        </w:tc>
        <w:tc>
          <w:tcPr>
            <w:tcW w:w="1261" w:type="dxa"/>
            <w:vAlign w:val="center"/>
          </w:tcPr>
          <w:p>
            <w:pPr>
              <w:widowControl/>
              <w:adjustRightInd w:val="0"/>
              <w:snapToGrid w:val="0"/>
              <w:spacing w:line="25" w:lineRule="atLeast"/>
              <w:jc w:val="center"/>
              <w:rPr>
                <w:color w:val="auto"/>
                <w:kern w:val="0"/>
                <w:szCs w:val="21"/>
              </w:rPr>
            </w:pPr>
            <w:r>
              <w:rPr>
                <w:color w:val="auto"/>
                <w:szCs w:val="21"/>
              </w:rPr>
              <w:t>900-023-29</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0.005</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暂存于</w:t>
            </w:r>
            <w:r>
              <w:rPr>
                <w:rFonts w:hint="eastAsia"/>
                <w:color w:val="auto"/>
                <w:kern w:val="0"/>
                <w:szCs w:val="21"/>
              </w:rPr>
              <w:t>危废暂存间</w:t>
            </w:r>
            <w:r>
              <w:rPr>
                <w:color w:val="auto"/>
                <w:kern w:val="0"/>
                <w:szCs w:val="21"/>
              </w:rPr>
              <w:t>，外委有资质单位处理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shd w:val="clear" w:color="auto" w:fill="auto"/>
            <w:vAlign w:val="center"/>
          </w:tcPr>
          <w:p>
            <w:pPr>
              <w:spacing w:line="25" w:lineRule="atLeast"/>
              <w:jc w:val="center"/>
              <w:rPr>
                <w:color w:val="auto"/>
                <w:szCs w:val="21"/>
              </w:rPr>
            </w:pPr>
          </w:p>
        </w:tc>
        <w:tc>
          <w:tcPr>
            <w:tcW w:w="4902" w:type="dxa"/>
            <w:gridSpan w:val="3"/>
            <w:tcBorders>
              <w:left w:val="single" w:color="000000" w:sz="4" w:space="0"/>
            </w:tcBorders>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需外委有HW48危废资质单位的危险废物小计</w:t>
            </w:r>
          </w:p>
        </w:tc>
        <w:tc>
          <w:tcPr>
            <w:tcW w:w="1004" w:type="dxa"/>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szCs w:val="21"/>
              </w:rPr>
              <w:t>0.005</w:t>
            </w:r>
          </w:p>
        </w:tc>
        <w:tc>
          <w:tcPr>
            <w:tcW w:w="2554" w:type="dxa"/>
            <w:shd w:val="clear" w:color="auto" w:fill="F1F1F1" w:themeFill="background1" w:themeFillShade="F2"/>
            <w:vAlign w:val="center"/>
          </w:tcPr>
          <w:p>
            <w:pPr>
              <w:topLinePunct/>
              <w:adjustRightInd w:val="0"/>
              <w:snapToGrid w:val="0"/>
              <w:spacing w:line="25" w:lineRule="atLeast"/>
              <w:jc w:val="left"/>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spacing w:line="25" w:lineRule="atLeast"/>
              <w:jc w:val="center"/>
              <w:rPr>
                <w:color w:val="auto"/>
                <w:szCs w:val="21"/>
              </w:rPr>
            </w:pPr>
          </w:p>
        </w:tc>
        <w:tc>
          <w:tcPr>
            <w:tcW w:w="1814" w:type="dxa"/>
            <w:tcBorders>
              <w:left w:val="single" w:color="000000" w:sz="4" w:space="0"/>
            </w:tcBorders>
            <w:vAlign w:val="center"/>
          </w:tcPr>
          <w:p>
            <w:pPr>
              <w:widowControl/>
              <w:adjustRightInd w:val="0"/>
              <w:snapToGrid w:val="0"/>
              <w:spacing w:line="25" w:lineRule="atLeast"/>
              <w:jc w:val="center"/>
              <w:rPr>
                <w:color w:val="auto"/>
                <w:kern w:val="0"/>
                <w:szCs w:val="21"/>
              </w:rPr>
            </w:pPr>
            <w:r>
              <w:rPr>
                <w:color w:val="auto"/>
                <w:kern w:val="0"/>
                <w:szCs w:val="21"/>
                <w:lang w:bidi="ar"/>
              </w:rPr>
              <w:t>含油废抹布、手套</w:t>
            </w:r>
          </w:p>
        </w:tc>
        <w:tc>
          <w:tcPr>
            <w:tcW w:w="1827" w:type="dxa"/>
            <w:vAlign w:val="center"/>
          </w:tcPr>
          <w:p>
            <w:pPr>
              <w:widowControl/>
              <w:adjustRightInd w:val="0"/>
              <w:snapToGrid w:val="0"/>
              <w:spacing w:line="25" w:lineRule="atLeast"/>
              <w:jc w:val="center"/>
              <w:rPr>
                <w:color w:val="auto"/>
                <w:kern w:val="0"/>
                <w:szCs w:val="21"/>
              </w:rPr>
            </w:pPr>
            <w:r>
              <w:rPr>
                <w:color w:val="auto"/>
                <w:kern w:val="0"/>
                <w:szCs w:val="21"/>
                <w:lang w:bidi="ar"/>
              </w:rPr>
              <w:t>HW49其他废物</w:t>
            </w:r>
          </w:p>
        </w:tc>
        <w:tc>
          <w:tcPr>
            <w:tcW w:w="1261" w:type="dxa"/>
            <w:vAlign w:val="center"/>
          </w:tcPr>
          <w:p>
            <w:pPr>
              <w:widowControl/>
              <w:adjustRightInd w:val="0"/>
              <w:snapToGrid w:val="0"/>
              <w:spacing w:line="25" w:lineRule="atLeast"/>
              <w:jc w:val="center"/>
              <w:rPr>
                <w:color w:val="auto"/>
                <w:kern w:val="0"/>
                <w:szCs w:val="21"/>
              </w:rPr>
            </w:pPr>
            <w:r>
              <w:rPr>
                <w:color w:val="auto"/>
                <w:kern w:val="0"/>
                <w:szCs w:val="21"/>
                <w:lang w:bidi="ar"/>
              </w:rPr>
              <w:t>900-041-49</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0.015</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暂存于</w:t>
            </w:r>
            <w:r>
              <w:rPr>
                <w:rFonts w:hint="eastAsia"/>
                <w:color w:val="auto"/>
                <w:kern w:val="0"/>
                <w:szCs w:val="21"/>
              </w:rPr>
              <w:t>危废暂存间</w:t>
            </w:r>
            <w:r>
              <w:rPr>
                <w:color w:val="auto"/>
                <w:kern w:val="0"/>
                <w:szCs w:val="21"/>
              </w:rPr>
              <w:t>，外委有资质单位处理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spacing w:line="25" w:lineRule="atLeast"/>
              <w:jc w:val="center"/>
              <w:rPr>
                <w:color w:val="auto"/>
                <w:szCs w:val="21"/>
              </w:rPr>
            </w:pPr>
          </w:p>
        </w:tc>
        <w:tc>
          <w:tcPr>
            <w:tcW w:w="1814" w:type="dxa"/>
            <w:tcBorders>
              <w:left w:val="single" w:color="000000" w:sz="4" w:space="0"/>
            </w:tcBorders>
            <w:vAlign w:val="center"/>
          </w:tcPr>
          <w:p>
            <w:pPr>
              <w:widowControl/>
              <w:adjustRightInd w:val="0"/>
              <w:snapToGrid w:val="0"/>
              <w:spacing w:line="25" w:lineRule="atLeast"/>
              <w:jc w:val="center"/>
              <w:rPr>
                <w:color w:val="auto"/>
                <w:kern w:val="0"/>
                <w:szCs w:val="21"/>
              </w:rPr>
            </w:pPr>
            <w:r>
              <w:rPr>
                <w:rFonts w:hint="eastAsia"/>
                <w:color w:val="auto"/>
                <w:szCs w:val="21"/>
              </w:rPr>
              <w:t>空油桶</w:t>
            </w:r>
          </w:p>
        </w:tc>
        <w:tc>
          <w:tcPr>
            <w:tcW w:w="1827" w:type="dxa"/>
            <w:vAlign w:val="center"/>
          </w:tcPr>
          <w:p>
            <w:pPr>
              <w:widowControl/>
              <w:adjustRightInd w:val="0"/>
              <w:snapToGrid w:val="0"/>
              <w:spacing w:line="25" w:lineRule="atLeast"/>
              <w:jc w:val="center"/>
              <w:rPr>
                <w:color w:val="auto"/>
                <w:kern w:val="0"/>
                <w:szCs w:val="21"/>
              </w:rPr>
            </w:pPr>
            <w:r>
              <w:rPr>
                <w:color w:val="auto"/>
                <w:kern w:val="0"/>
                <w:szCs w:val="21"/>
                <w:lang w:bidi="ar"/>
              </w:rPr>
              <w:t>HW49其他废物</w:t>
            </w:r>
          </w:p>
        </w:tc>
        <w:tc>
          <w:tcPr>
            <w:tcW w:w="1261" w:type="dxa"/>
            <w:vAlign w:val="center"/>
          </w:tcPr>
          <w:p>
            <w:pPr>
              <w:widowControl/>
              <w:adjustRightInd w:val="0"/>
              <w:snapToGrid w:val="0"/>
              <w:spacing w:line="25" w:lineRule="atLeast"/>
              <w:jc w:val="center"/>
              <w:rPr>
                <w:color w:val="auto"/>
                <w:kern w:val="0"/>
                <w:szCs w:val="21"/>
              </w:rPr>
            </w:pPr>
            <w:r>
              <w:rPr>
                <w:color w:val="auto"/>
                <w:szCs w:val="21"/>
              </w:rPr>
              <w:t>900-041-49</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0.0</w:t>
            </w:r>
            <w:r>
              <w:rPr>
                <w:rFonts w:hint="eastAsia"/>
                <w:color w:val="auto"/>
                <w:szCs w:val="21"/>
              </w:rPr>
              <w:t>27</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暂存于</w:t>
            </w:r>
            <w:r>
              <w:rPr>
                <w:rFonts w:hint="eastAsia"/>
                <w:color w:val="auto"/>
                <w:kern w:val="0"/>
                <w:szCs w:val="21"/>
              </w:rPr>
              <w:t>危废暂存间</w:t>
            </w:r>
            <w:r>
              <w:rPr>
                <w:color w:val="auto"/>
                <w:kern w:val="0"/>
                <w:szCs w:val="21"/>
              </w:rPr>
              <w:t>，外委有资质单位处理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vAlign w:val="center"/>
          </w:tcPr>
          <w:p>
            <w:pPr>
              <w:topLinePunct/>
              <w:adjustRightInd w:val="0"/>
              <w:snapToGrid w:val="0"/>
              <w:spacing w:line="25" w:lineRule="atLeast"/>
              <w:jc w:val="center"/>
              <w:rPr>
                <w:color w:val="auto"/>
                <w:kern w:val="0"/>
                <w:szCs w:val="21"/>
              </w:rPr>
            </w:pPr>
          </w:p>
        </w:tc>
        <w:tc>
          <w:tcPr>
            <w:tcW w:w="1814" w:type="dxa"/>
            <w:tcBorders>
              <w:left w:val="single" w:color="000000" w:sz="4" w:space="0"/>
            </w:tcBorders>
            <w:vAlign w:val="center"/>
          </w:tcPr>
          <w:p>
            <w:pPr>
              <w:widowControl/>
              <w:adjustRightInd w:val="0"/>
              <w:snapToGrid w:val="0"/>
              <w:spacing w:line="25" w:lineRule="atLeast"/>
              <w:jc w:val="center"/>
              <w:rPr>
                <w:color w:val="auto"/>
                <w:kern w:val="0"/>
                <w:szCs w:val="21"/>
              </w:rPr>
            </w:pPr>
            <w:r>
              <w:rPr>
                <w:color w:val="auto"/>
                <w:szCs w:val="21"/>
              </w:rPr>
              <w:t>废活性炭</w:t>
            </w:r>
          </w:p>
        </w:tc>
        <w:tc>
          <w:tcPr>
            <w:tcW w:w="1827" w:type="dxa"/>
            <w:vAlign w:val="center"/>
          </w:tcPr>
          <w:p>
            <w:pPr>
              <w:widowControl/>
              <w:adjustRightInd w:val="0"/>
              <w:snapToGrid w:val="0"/>
              <w:spacing w:line="25" w:lineRule="atLeast"/>
              <w:jc w:val="center"/>
              <w:rPr>
                <w:color w:val="auto"/>
                <w:kern w:val="0"/>
                <w:szCs w:val="21"/>
              </w:rPr>
            </w:pPr>
            <w:r>
              <w:rPr>
                <w:color w:val="auto"/>
                <w:szCs w:val="21"/>
              </w:rPr>
              <w:t>HW49</w:t>
            </w:r>
            <w:r>
              <w:rPr>
                <w:color w:val="auto"/>
                <w:kern w:val="0"/>
                <w:szCs w:val="21"/>
                <w:lang w:bidi="ar"/>
              </w:rPr>
              <w:t>其他废物</w:t>
            </w:r>
          </w:p>
        </w:tc>
        <w:tc>
          <w:tcPr>
            <w:tcW w:w="1261" w:type="dxa"/>
            <w:vAlign w:val="center"/>
          </w:tcPr>
          <w:p>
            <w:pPr>
              <w:widowControl/>
              <w:adjustRightInd w:val="0"/>
              <w:snapToGrid w:val="0"/>
              <w:spacing w:line="25" w:lineRule="atLeast"/>
              <w:jc w:val="center"/>
              <w:rPr>
                <w:color w:val="auto"/>
                <w:kern w:val="0"/>
                <w:szCs w:val="21"/>
              </w:rPr>
            </w:pPr>
            <w:r>
              <w:rPr>
                <w:color w:val="auto"/>
                <w:szCs w:val="21"/>
              </w:rPr>
              <w:t>900-041-49</w:t>
            </w:r>
          </w:p>
        </w:tc>
        <w:tc>
          <w:tcPr>
            <w:tcW w:w="1004" w:type="dxa"/>
            <w:vAlign w:val="center"/>
          </w:tcPr>
          <w:p>
            <w:pPr>
              <w:widowControl/>
              <w:adjustRightInd w:val="0"/>
              <w:snapToGrid w:val="0"/>
              <w:spacing w:line="25" w:lineRule="atLeast"/>
              <w:jc w:val="center"/>
              <w:rPr>
                <w:color w:val="auto"/>
                <w:kern w:val="0"/>
                <w:szCs w:val="21"/>
              </w:rPr>
            </w:pPr>
            <w:r>
              <w:rPr>
                <w:color w:val="auto"/>
                <w:szCs w:val="21"/>
              </w:rPr>
              <w:t>2.4934</w:t>
            </w:r>
          </w:p>
        </w:tc>
        <w:tc>
          <w:tcPr>
            <w:tcW w:w="2554" w:type="dxa"/>
            <w:vAlign w:val="center"/>
          </w:tcPr>
          <w:p>
            <w:pPr>
              <w:topLinePunct/>
              <w:adjustRightInd w:val="0"/>
              <w:snapToGrid w:val="0"/>
              <w:spacing w:line="25" w:lineRule="atLeast"/>
              <w:jc w:val="left"/>
              <w:rPr>
                <w:color w:val="auto"/>
                <w:kern w:val="0"/>
                <w:szCs w:val="21"/>
              </w:rPr>
            </w:pPr>
            <w:r>
              <w:rPr>
                <w:color w:val="auto"/>
                <w:kern w:val="0"/>
                <w:szCs w:val="21"/>
              </w:rPr>
              <w:t>暂存于</w:t>
            </w:r>
            <w:r>
              <w:rPr>
                <w:rFonts w:hint="eastAsia"/>
                <w:color w:val="auto"/>
                <w:kern w:val="0"/>
                <w:szCs w:val="21"/>
              </w:rPr>
              <w:t>危废暂存间</w:t>
            </w:r>
            <w:r>
              <w:rPr>
                <w:color w:val="auto"/>
                <w:kern w:val="0"/>
                <w:szCs w:val="21"/>
              </w:rPr>
              <w:t>，外委有资质单位处理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shd w:val="clear" w:color="auto" w:fill="auto"/>
            <w:vAlign w:val="center"/>
          </w:tcPr>
          <w:p>
            <w:pPr>
              <w:spacing w:line="25" w:lineRule="atLeast"/>
              <w:jc w:val="center"/>
              <w:rPr>
                <w:color w:val="auto"/>
                <w:szCs w:val="21"/>
              </w:rPr>
            </w:pPr>
          </w:p>
        </w:tc>
        <w:tc>
          <w:tcPr>
            <w:tcW w:w="4902" w:type="dxa"/>
            <w:gridSpan w:val="3"/>
            <w:tcBorders>
              <w:left w:val="single" w:color="000000" w:sz="4" w:space="0"/>
            </w:tcBorders>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需外委有HW49危废资质单位的危险废物小计</w:t>
            </w:r>
          </w:p>
        </w:tc>
        <w:tc>
          <w:tcPr>
            <w:tcW w:w="1004" w:type="dxa"/>
            <w:shd w:val="clear" w:color="auto" w:fill="F1F1F1" w:themeFill="background1" w:themeFillShade="F2"/>
            <w:vAlign w:val="center"/>
          </w:tcPr>
          <w:p>
            <w:pPr>
              <w:topLinePunct/>
              <w:adjustRightInd w:val="0"/>
              <w:snapToGrid w:val="0"/>
              <w:spacing w:line="25" w:lineRule="atLeast"/>
              <w:jc w:val="center"/>
              <w:rPr>
                <w:color w:val="auto"/>
                <w:kern w:val="0"/>
                <w:szCs w:val="21"/>
              </w:rPr>
            </w:pPr>
            <w:r>
              <w:rPr>
                <w:color w:val="auto"/>
                <w:kern w:val="0"/>
                <w:szCs w:val="21"/>
              </w:rPr>
              <w:t>2.5</w:t>
            </w:r>
            <w:r>
              <w:rPr>
                <w:rFonts w:hint="eastAsia"/>
                <w:color w:val="auto"/>
                <w:kern w:val="0"/>
                <w:szCs w:val="21"/>
              </w:rPr>
              <w:t>354</w:t>
            </w:r>
          </w:p>
        </w:tc>
        <w:tc>
          <w:tcPr>
            <w:tcW w:w="2554" w:type="dxa"/>
            <w:shd w:val="clear" w:color="auto" w:fill="F1F1F1" w:themeFill="background1" w:themeFillShade="F2"/>
            <w:vAlign w:val="center"/>
          </w:tcPr>
          <w:p>
            <w:pPr>
              <w:topLinePunct/>
              <w:adjustRightInd w:val="0"/>
              <w:snapToGrid w:val="0"/>
              <w:spacing w:line="25" w:lineRule="atLeast"/>
              <w:jc w:val="left"/>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8" w:type="dxa"/>
            <w:vMerge w:val="continue"/>
            <w:shd w:val="clear" w:color="auto" w:fill="auto"/>
            <w:vAlign w:val="center"/>
          </w:tcPr>
          <w:p>
            <w:pPr>
              <w:spacing w:line="25" w:lineRule="atLeast"/>
              <w:jc w:val="center"/>
              <w:rPr>
                <w:color w:val="auto"/>
                <w:szCs w:val="21"/>
              </w:rPr>
            </w:pPr>
          </w:p>
        </w:tc>
        <w:tc>
          <w:tcPr>
            <w:tcW w:w="4902" w:type="dxa"/>
            <w:gridSpan w:val="3"/>
            <w:tcBorders>
              <w:left w:val="single" w:color="000000" w:sz="4" w:space="0"/>
            </w:tcBorders>
            <w:shd w:val="clear" w:color="auto" w:fill="CFCECE" w:themeFill="background2" w:themeFillShade="E5"/>
            <w:vAlign w:val="center"/>
          </w:tcPr>
          <w:p>
            <w:pPr>
              <w:topLinePunct/>
              <w:adjustRightInd w:val="0"/>
              <w:snapToGrid w:val="0"/>
              <w:spacing w:line="25" w:lineRule="atLeast"/>
              <w:jc w:val="center"/>
              <w:rPr>
                <w:color w:val="auto"/>
                <w:kern w:val="0"/>
                <w:szCs w:val="21"/>
              </w:rPr>
            </w:pPr>
            <w:r>
              <w:rPr>
                <w:color w:val="auto"/>
                <w:kern w:val="0"/>
                <w:szCs w:val="21"/>
              </w:rPr>
              <w:t>需委托有相关危废资质单位处理的危险废物小计</w:t>
            </w:r>
          </w:p>
        </w:tc>
        <w:tc>
          <w:tcPr>
            <w:tcW w:w="1004" w:type="dxa"/>
            <w:shd w:val="clear" w:color="auto" w:fill="CFCECE" w:themeFill="background2" w:themeFillShade="E5"/>
            <w:vAlign w:val="center"/>
          </w:tcPr>
          <w:p>
            <w:pPr>
              <w:topLinePunct/>
              <w:adjustRightInd w:val="0"/>
              <w:snapToGrid w:val="0"/>
              <w:spacing w:line="25" w:lineRule="atLeast"/>
              <w:jc w:val="center"/>
              <w:rPr>
                <w:color w:val="auto"/>
                <w:kern w:val="0"/>
                <w:szCs w:val="21"/>
              </w:rPr>
            </w:pPr>
            <w:r>
              <w:rPr>
                <w:rFonts w:hint="eastAsia"/>
                <w:color w:val="auto"/>
                <w:kern w:val="0"/>
                <w:szCs w:val="21"/>
              </w:rPr>
              <w:t>3.616</w:t>
            </w:r>
            <w:r>
              <w:rPr>
                <w:color w:val="auto"/>
                <w:kern w:val="0"/>
                <w:szCs w:val="21"/>
              </w:rPr>
              <w:t>4</w:t>
            </w:r>
          </w:p>
        </w:tc>
        <w:tc>
          <w:tcPr>
            <w:tcW w:w="2554" w:type="dxa"/>
            <w:shd w:val="clear" w:color="auto" w:fill="CFCECE" w:themeFill="background2" w:themeFillShade="E5"/>
            <w:vAlign w:val="center"/>
          </w:tcPr>
          <w:p>
            <w:pPr>
              <w:topLinePunct/>
              <w:adjustRightInd w:val="0"/>
              <w:snapToGrid w:val="0"/>
              <w:spacing w:line="25" w:lineRule="atLeast"/>
              <w:jc w:val="left"/>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8" w:type="dxa"/>
            <w:gridSpan w:val="6"/>
            <w:tcBorders>
              <w:left w:val="single" w:color="000000" w:sz="4" w:space="0"/>
            </w:tcBorders>
            <w:shd w:val="clear" w:color="auto" w:fill="BEBEBE"/>
            <w:vAlign w:val="center"/>
          </w:tcPr>
          <w:p>
            <w:pPr>
              <w:topLinePunct/>
              <w:adjustRightInd w:val="0"/>
              <w:snapToGrid w:val="0"/>
              <w:spacing w:line="25" w:lineRule="atLeast"/>
              <w:jc w:val="center"/>
              <w:rPr>
                <w:color w:val="auto"/>
                <w:kern w:val="0"/>
                <w:szCs w:val="21"/>
              </w:rPr>
            </w:pPr>
            <w:r>
              <w:rPr>
                <w:color w:val="auto"/>
                <w:kern w:val="0"/>
                <w:szCs w:val="21"/>
              </w:rPr>
              <w:t>全厂危险废物合计：</w:t>
            </w:r>
            <w:r>
              <w:rPr>
                <w:rFonts w:hint="eastAsia"/>
                <w:color w:val="auto"/>
                <w:kern w:val="0"/>
                <w:szCs w:val="21"/>
              </w:rPr>
              <w:t>10</w:t>
            </w:r>
            <w:r>
              <w:rPr>
                <w:color w:val="auto"/>
                <w:szCs w:val="21"/>
              </w:rPr>
              <w:t>.0</w:t>
            </w:r>
            <w:r>
              <w:rPr>
                <w:rFonts w:hint="eastAsia"/>
                <w:color w:val="auto"/>
                <w:szCs w:val="21"/>
              </w:rPr>
              <w:t>97</w:t>
            </w:r>
            <w:r>
              <w:rPr>
                <w:color w:val="auto"/>
                <w:szCs w:val="21"/>
              </w:rPr>
              <w:t>7</w:t>
            </w:r>
            <w:r>
              <w:rPr>
                <w:rFonts w:hint="eastAsia"/>
                <w:color w:val="auto"/>
                <w:szCs w:val="21"/>
                <w:lang w:val="en-US" w:eastAsia="zh-CN"/>
              </w:rPr>
              <w:t>t/a</w:t>
            </w:r>
          </w:p>
        </w:tc>
      </w:tr>
    </w:tbl>
    <w:p>
      <w:pPr>
        <w:spacing w:line="360" w:lineRule="auto"/>
        <w:ind w:firstLine="480" w:firstLineChars="200"/>
        <w:rPr>
          <w:color w:val="auto"/>
          <w:sz w:val="24"/>
        </w:rPr>
      </w:pPr>
      <w:r>
        <w:rPr>
          <w:color w:val="auto"/>
          <w:sz w:val="24"/>
        </w:rPr>
        <w:t>项目危险废物共计</w:t>
      </w:r>
      <w:r>
        <w:rPr>
          <w:rFonts w:hint="eastAsia"/>
          <w:color w:val="auto"/>
          <w:sz w:val="24"/>
        </w:rPr>
        <w:t>10.0977</w:t>
      </w:r>
      <w:r>
        <w:rPr>
          <w:rFonts w:hint="eastAsia"/>
          <w:color w:val="auto"/>
          <w:sz w:val="24"/>
          <w:lang w:val="en-US" w:eastAsia="zh-CN"/>
        </w:rPr>
        <w:t>t/a</w:t>
      </w:r>
      <w:r>
        <w:rPr>
          <w:color w:val="auto"/>
          <w:sz w:val="24"/>
        </w:rPr>
        <w:t>，分类暂存于</w:t>
      </w:r>
      <w:r>
        <w:rPr>
          <w:rFonts w:hint="eastAsia"/>
          <w:color w:val="auto"/>
          <w:sz w:val="24"/>
        </w:rPr>
        <w:t>危废暂存间</w:t>
      </w:r>
      <w:r>
        <w:rPr>
          <w:color w:val="auto"/>
          <w:sz w:val="24"/>
        </w:rPr>
        <w:t>，其中</w:t>
      </w:r>
      <w:r>
        <w:rPr>
          <w:color w:val="auto"/>
          <w:kern w:val="0"/>
          <w:sz w:val="24"/>
        </w:rPr>
        <w:t>6.4813</w:t>
      </w:r>
      <w:r>
        <w:rPr>
          <w:rFonts w:hint="eastAsia"/>
          <w:color w:val="auto"/>
          <w:sz w:val="24"/>
          <w:lang w:val="en-US" w:eastAsia="zh-CN"/>
        </w:rPr>
        <w:t>t/a</w:t>
      </w:r>
      <w:r>
        <w:rPr>
          <w:color w:val="auto"/>
          <w:sz w:val="24"/>
        </w:rPr>
        <w:t>危险废物可直接回收利用于</w:t>
      </w:r>
      <w:r>
        <w:rPr>
          <w:rFonts w:hint="eastAsia"/>
          <w:color w:val="auto"/>
          <w:sz w:val="24"/>
          <w:lang w:val="en-US" w:eastAsia="zh-CN"/>
        </w:rPr>
        <w:t>防水卷材的</w:t>
      </w:r>
      <w:r>
        <w:rPr>
          <w:color w:val="auto"/>
          <w:sz w:val="24"/>
        </w:rPr>
        <w:t>生产，不外排；</w:t>
      </w:r>
      <w:r>
        <w:rPr>
          <w:rFonts w:hint="eastAsia"/>
          <w:color w:val="auto"/>
          <w:sz w:val="24"/>
        </w:rPr>
        <w:t>3.6164</w:t>
      </w:r>
      <w:r>
        <w:rPr>
          <w:rFonts w:hint="eastAsia"/>
          <w:color w:val="auto"/>
          <w:sz w:val="24"/>
          <w:lang w:val="en-US" w:eastAsia="zh-CN"/>
        </w:rPr>
        <w:t>t/a</w:t>
      </w:r>
      <w:r>
        <w:rPr>
          <w:color w:val="auto"/>
          <w:sz w:val="24"/>
        </w:rPr>
        <w:t>危险废物需定期交由有相关危险废物处理资质的单位进行处理。如此，</w:t>
      </w:r>
      <w:r>
        <w:rPr>
          <w:rFonts w:hint="eastAsia"/>
          <w:color w:val="auto"/>
          <w:sz w:val="24"/>
        </w:rPr>
        <w:t>项目产生的</w:t>
      </w:r>
      <w:r>
        <w:rPr>
          <w:color w:val="auto"/>
          <w:sz w:val="24"/>
        </w:rPr>
        <w:t>危险固废不会对周围环境产生明显的不良影响。</w:t>
      </w:r>
    </w:p>
    <w:p>
      <w:pPr>
        <w:spacing w:line="360" w:lineRule="auto"/>
        <w:ind w:firstLine="480" w:firstLineChars="200"/>
        <w:rPr>
          <w:color w:val="auto"/>
          <w:sz w:val="24"/>
        </w:rPr>
      </w:pPr>
      <w:r>
        <w:rPr>
          <w:color w:val="auto"/>
          <w:sz w:val="24"/>
        </w:rPr>
        <w:t>本报告中所列各项危险废物，当《国家危险废物名录》调整或国家、广东省及</w:t>
      </w:r>
      <w:r>
        <w:rPr>
          <w:rFonts w:hint="eastAsia"/>
          <w:color w:val="auto"/>
          <w:sz w:val="24"/>
        </w:rPr>
        <w:t>清远</w:t>
      </w:r>
      <w:r>
        <w:rPr>
          <w:color w:val="auto"/>
          <w:sz w:val="24"/>
        </w:rPr>
        <w:t>市各级环保主管部门有新的管理要求时，项目中各项固体废物属性随之调整，其处理处置方式随着环保部门的管理要求的调整而变动。</w:t>
      </w:r>
    </w:p>
    <w:p>
      <w:pPr>
        <w:pStyle w:val="44"/>
        <w:numPr>
          <w:ilvl w:val="2"/>
          <w:numId w:val="0"/>
        </w:numPr>
        <w:tabs>
          <w:tab w:val="clear" w:pos="720"/>
        </w:tabs>
        <w:spacing w:before="159" w:after="159" w:line="360" w:lineRule="auto"/>
        <w:outlineLvl w:val="3"/>
        <w:rPr>
          <w:color w:val="auto"/>
          <w:sz w:val="24"/>
          <w:szCs w:val="24"/>
        </w:rPr>
      </w:pPr>
      <w:bookmarkStart w:id="2516" w:name="_Toc20906"/>
      <w:r>
        <w:rPr>
          <w:rFonts w:hint="eastAsia"/>
          <w:color w:val="auto"/>
          <w:sz w:val="24"/>
          <w:szCs w:val="24"/>
        </w:rPr>
        <w:t>6.6.</w:t>
      </w:r>
      <w:r>
        <w:rPr>
          <w:rFonts w:hint="eastAsia"/>
          <w:color w:val="auto"/>
          <w:sz w:val="24"/>
          <w:szCs w:val="24"/>
          <w:lang w:val="en-US" w:eastAsia="zh-CN"/>
        </w:rPr>
        <w:t>2.2</w:t>
      </w:r>
      <w:r>
        <w:rPr>
          <w:rFonts w:hint="eastAsia"/>
          <w:color w:val="auto"/>
          <w:sz w:val="24"/>
          <w:szCs w:val="24"/>
        </w:rPr>
        <w:t xml:space="preserve">  </w:t>
      </w:r>
      <w:r>
        <w:rPr>
          <w:color w:val="auto"/>
          <w:sz w:val="24"/>
          <w:szCs w:val="24"/>
        </w:rPr>
        <w:t>危险废物影响</w:t>
      </w:r>
      <w:bookmarkEnd w:id="2516"/>
    </w:p>
    <w:p>
      <w:pPr>
        <w:spacing w:line="360" w:lineRule="auto"/>
        <w:ind w:firstLine="482"/>
        <w:rPr>
          <w:color w:val="auto"/>
          <w:sz w:val="24"/>
        </w:rPr>
      </w:pPr>
      <w:r>
        <w:rPr>
          <w:color w:val="auto"/>
          <w:sz w:val="24"/>
        </w:rPr>
        <w:t>危险废物若不妥当处置，将有可能对土壤、水体、环境空气质量造成影响。</w:t>
      </w:r>
    </w:p>
    <w:p>
      <w:pPr>
        <w:spacing w:line="360" w:lineRule="auto"/>
        <w:ind w:firstLine="482"/>
        <w:rPr>
          <w:color w:val="auto"/>
          <w:sz w:val="24"/>
        </w:rPr>
      </w:pPr>
      <w:r>
        <w:rPr>
          <w:color w:val="auto"/>
          <w:sz w:val="24"/>
        </w:rPr>
        <w:t>（1）对土壤环境的影响分析</w:t>
      </w:r>
    </w:p>
    <w:p>
      <w:pPr>
        <w:spacing w:line="360" w:lineRule="auto"/>
        <w:ind w:firstLine="482"/>
        <w:rPr>
          <w:color w:val="auto"/>
          <w:sz w:val="24"/>
        </w:rPr>
      </w:pPr>
      <w:r>
        <w:rPr>
          <w:color w:val="auto"/>
          <w:sz w:val="24"/>
        </w:rPr>
        <w:t>危险废物含有有毒有害物质，若危险废物不考虑设置废物堆放处或者没有适当的防漏措施，其中的有害组分经过风化、雨水淋溶、地表径流的侵蚀，产生有毒液体渗入土壤。有毒物在土壤中累积，会杀死土壤中的微生物，破坏微生物与周围环境构成系统的平衡，导致草木不生，对于耕地则造成大面积的减产。严重的甚至会直接危害人们身体健康。因此，本项目危险废物不能直接用于农业、一般的堆存或填埋。</w:t>
      </w:r>
    </w:p>
    <w:p>
      <w:pPr>
        <w:spacing w:line="360" w:lineRule="auto"/>
        <w:ind w:firstLine="482"/>
        <w:rPr>
          <w:color w:val="auto"/>
          <w:sz w:val="24"/>
        </w:rPr>
      </w:pPr>
      <w:r>
        <w:rPr>
          <w:color w:val="auto"/>
          <w:sz w:val="24"/>
        </w:rPr>
        <w:t>（2）对水体环境的影响分析</w:t>
      </w:r>
    </w:p>
    <w:p>
      <w:pPr>
        <w:spacing w:line="360" w:lineRule="auto"/>
        <w:ind w:firstLine="482"/>
        <w:rPr>
          <w:color w:val="auto"/>
          <w:sz w:val="24"/>
        </w:rPr>
      </w:pPr>
      <w:r>
        <w:rPr>
          <w:color w:val="auto"/>
          <w:sz w:val="24"/>
        </w:rPr>
        <w:t>危险废物一旦与水和地表径流接触，有害成份就会渗漏出来，随浸出液体进入地面水体，使地面水体受到污染。或随渗水进入土壤污染地下水和土壤，可能对地面水体和地下水体造成二次污染。</w:t>
      </w:r>
    </w:p>
    <w:p>
      <w:pPr>
        <w:spacing w:line="360" w:lineRule="auto"/>
        <w:ind w:firstLine="482"/>
        <w:rPr>
          <w:color w:val="auto"/>
          <w:sz w:val="24"/>
        </w:rPr>
      </w:pPr>
      <w:r>
        <w:rPr>
          <w:color w:val="auto"/>
          <w:sz w:val="24"/>
        </w:rPr>
        <w:t>（3）对环境空气质量的影响分析</w:t>
      </w:r>
    </w:p>
    <w:p>
      <w:pPr>
        <w:spacing w:line="360" w:lineRule="auto"/>
        <w:ind w:firstLine="482"/>
        <w:rPr>
          <w:color w:val="auto"/>
          <w:sz w:val="24"/>
        </w:rPr>
      </w:pPr>
      <w:r>
        <w:rPr>
          <w:color w:val="auto"/>
          <w:sz w:val="24"/>
        </w:rPr>
        <w:t>危险废物若长期暴露，则有毒物质可能因挥发等原因进入到空气中，直接污染环境空气。相对于固态污染物，气态污染物不易收集和处理，危险废物一旦进入环境空气，则波及范围会大大增加，更难处理。而且会直接接触并进入人体内，危害性更大。会对环境空气造成一定的影响。</w:t>
      </w:r>
    </w:p>
    <w:p>
      <w:pPr>
        <w:pStyle w:val="44"/>
        <w:numPr>
          <w:ilvl w:val="2"/>
          <w:numId w:val="0"/>
        </w:numPr>
        <w:tabs>
          <w:tab w:val="clear" w:pos="720"/>
        </w:tabs>
        <w:spacing w:before="159" w:after="159" w:line="360" w:lineRule="auto"/>
        <w:outlineLvl w:val="3"/>
        <w:rPr>
          <w:color w:val="auto"/>
          <w:sz w:val="24"/>
          <w:szCs w:val="24"/>
        </w:rPr>
      </w:pPr>
      <w:bookmarkStart w:id="2517" w:name="_Toc30550"/>
      <w:bookmarkStart w:id="2518" w:name="_Toc24538"/>
      <w:r>
        <w:rPr>
          <w:rFonts w:hint="eastAsia"/>
          <w:color w:val="auto"/>
          <w:sz w:val="24"/>
          <w:szCs w:val="24"/>
        </w:rPr>
        <w:t>6</w:t>
      </w:r>
      <w:r>
        <w:rPr>
          <w:color w:val="auto"/>
          <w:sz w:val="24"/>
          <w:szCs w:val="24"/>
        </w:rPr>
        <w:t>.</w:t>
      </w:r>
      <w:r>
        <w:rPr>
          <w:rFonts w:hint="eastAsia"/>
          <w:color w:val="auto"/>
          <w:sz w:val="24"/>
          <w:szCs w:val="24"/>
        </w:rPr>
        <w:t>6</w:t>
      </w:r>
      <w:r>
        <w:rPr>
          <w:color w:val="auto"/>
          <w:sz w:val="24"/>
          <w:szCs w:val="24"/>
        </w:rPr>
        <w:t>.</w:t>
      </w:r>
      <w:r>
        <w:rPr>
          <w:rFonts w:hint="eastAsia"/>
          <w:color w:val="auto"/>
          <w:sz w:val="24"/>
          <w:szCs w:val="24"/>
          <w:lang w:val="en-US" w:eastAsia="zh-CN"/>
        </w:rPr>
        <w:t>2.3</w:t>
      </w:r>
      <w:r>
        <w:rPr>
          <w:rFonts w:hint="eastAsia"/>
          <w:color w:val="auto"/>
          <w:sz w:val="24"/>
          <w:szCs w:val="24"/>
        </w:rPr>
        <w:t xml:space="preserve">  危险废物贮存场所（设施）选址的可行性分析</w:t>
      </w:r>
      <w:bookmarkEnd w:id="2517"/>
    </w:p>
    <w:p>
      <w:pPr>
        <w:spacing w:line="360" w:lineRule="auto"/>
        <w:ind w:firstLine="480" w:firstLineChars="200"/>
        <w:rPr>
          <w:color w:val="auto"/>
          <w:sz w:val="24"/>
        </w:rPr>
      </w:pPr>
      <w:r>
        <w:rPr>
          <w:rFonts w:hint="eastAsia"/>
          <w:color w:val="auto"/>
          <w:sz w:val="24"/>
        </w:rPr>
        <w:t>危废暂存间</w:t>
      </w:r>
      <w:r>
        <w:rPr>
          <w:color w:val="auto"/>
          <w:sz w:val="24"/>
        </w:rPr>
        <w:t>建设</w:t>
      </w:r>
      <w:r>
        <w:rPr>
          <w:rFonts w:hint="eastAsia"/>
          <w:color w:val="auto"/>
          <w:sz w:val="24"/>
        </w:rPr>
        <w:t>需</w:t>
      </w:r>
      <w:r>
        <w:rPr>
          <w:color w:val="auto"/>
          <w:sz w:val="24"/>
        </w:rPr>
        <w:t>符合《危险废物贮存污染控制标准》（GB18597-2001）等国家、地方有关规范设计，并设置有《环境保护图形标志—固体废物贮存（处置）场》（GB15562.2-1995）规定的专用标志。</w:t>
      </w:r>
    </w:p>
    <w:p>
      <w:pPr>
        <w:spacing w:line="360" w:lineRule="auto"/>
        <w:ind w:firstLine="480" w:firstLineChars="200"/>
        <w:rPr>
          <w:color w:val="auto"/>
          <w:sz w:val="24"/>
        </w:rPr>
      </w:pPr>
      <w:r>
        <w:rPr>
          <w:color w:val="auto"/>
          <w:sz w:val="24"/>
        </w:rPr>
        <w:t>《危险废物贮存污染控制标准》（GB18597-2001）要求</w:t>
      </w:r>
      <w:r>
        <w:rPr>
          <w:rFonts w:hint="eastAsia"/>
          <w:color w:val="auto"/>
          <w:sz w:val="24"/>
        </w:rPr>
        <w:t>危废暂存间</w:t>
      </w:r>
      <w:r>
        <w:rPr>
          <w:color w:val="auto"/>
          <w:sz w:val="24"/>
        </w:rPr>
        <w:t>地面采用耐腐蚀的硬底化地面和基础防渗措施。防渗层为至少1m厚粘土层（渗透系数≤10</w:t>
      </w:r>
      <w:r>
        <w:rPr>
          <w:color w:val="auto"/>
          <w:sz w:val="24"/>
          <w:vertAlign w:val="superscript"/>
        </w:rPr>
        <w:t>-7</w:t>
      </w:r>
      <w:r>
        <w:rPr>
          <w:color w:val="auto"/>
          <w:sz w:val="24"/>
        </w:rPr>
        <w:t>cm/s），或2mm厚高密度聚乙烯，或至少2mm厚度其它人工防渗材料，防渗系数≤10</w:t>
      </w:r>
      <w:r>
        <w:rPr>
          <w:color w:val="auto"/>
          <w:sz w:val="24"/>
          <w:vertAlign w:val="superscript"/>
        </w:rPr>
        <w:t>-10</w:t>
      </w:r>
      <w:r>
        <w:rPr>
          <w:color w:val="auto"/>
          <w:sz w:val="24"/>
        </w:rPr>
        <w:t>cm/s。地面与裙</w:t>
      </w:r>
      <w:r>
        <w:rPr>
          <w:rFonts w:hint="eastAsia"/>
          <w:color w:val="auto"/>
          <w:sz w:val="24"/>
        </w:rPr>
        <w:t>脚</w:t>
      </w:r>
      <w:r>
        <w:rPr>
          <w:color w:val="auto"/>
          <w:sz w:val="24"/>
        </w:rPr>
        <w:t>使用坚固、防渗材料建造，建筑材料必须不能与危险废物相容，仓库地面必须为耐腐蚀硬化地面，且表面无裂隙，防止液体废物意外泄露造成无组织溢流渗入地下；仓库设计堵截泄露的裙</w:t>
      </w:r>
      <w:r>
        <w:rPr>
          <w:rFonts w:hint="eastAsia"/>
          <w:color w:val="auto"/>
          <w:sz w:val="24"/>
        </w:rPr>
        <w:t>脚</w:t>
      </w:r>
      <w:r>
        <w:rPr>
          <w:color w:val="auto"/>
          <w:sz w:val="24"/>
        </w:rPr>
        <w:t>，地面与裙</w:t>
      </w:r>
      <w:r>
        <w:rPr>
          <w:rFonts w:hint="eastAsia"/>
          <w:color w:val="auto"/>
          <w:sz w:val="24"/>
        </w:rPr>
        <w:t>脚</w:t>
      </w:r>
      <w:r>
        <w:rPr>
          <w:color w:val="auto"/>
          <w:sz w:val="24"/>
        </w:rPr>
        <w:t>所围建的容积不低于堵截最大容器的最大储量或总储量的1/5，设计建造径流疏导系统，保证能防止25年一遇的暴雨不会流到危险废物堆里。</w:t>
      </w:r>
    </w:p>
    <w:p>
      <w:pPr>
        <w:spacing w:line="360" w:lineRule="auto"/>
        <w:ind w:firstLine="480" w:firstLineChars="200"/>
        <w:rPr>
          <w:color w:val="auto"/>
          <w:sz w:val="24"/>
        </w:rPr>
      </w:pPr>
      <w:r>
        <w:rPr>
          <w:rFonts w:hint="eastAsia"/>
          <w:color w:val="auto"/>
          <w:sz w:val="24"/>
        </w:rPr>
        <w:t>项目在</w:t>
      </w:r>
      <w:r>
        <w:rPr>
          <w:color w:val="auto"/>
          <w:sz w:val="24"/>
        </w:rPr>
        <w:t>厂区内</w:t>
      </w:r>
      <w:r>
        <w:rPr>
          <w:rFonts w:hint="eastAsia"/>
          <w:color w:val="auto"/>
          <w:sz w:val="24"/>
        </w:rPr>
        <w:t>的东面边界处</w:t>
      </w:r>
      <w:r>
        <w:rPr>
          <w:color w:val="auto"/>
          <w:sz w:val="24"/>
        </w:rPr>
        <w:t>设置有</w:t>
      </w:r>
      <w:r>
        <w:rPr>
          <w:rFonts w:hint="eastAsia"/>
          <w:color w:val="auto"/>
          <w:sz w:val="24"/>
        </w:rPr>
        <w:t>1</w:t>
      </w:r>
      <w:r>
        <w:rPr>
          <w:color w:val="auto"/>
          <w:sz w:val="24"/>
        </w:rPr>
        <w:t>个</w:t>
      </w:r>
      <w:r>
        <w:rPr>
          <w:rFonts w:hint="eastAsia"/>
          <w:color w:val="auto"/>
          <w:sz w:val="24"/>
        </w:rPr>
        <w:t>危废暂存间</w:t>
      </w:r>
      <w:r>
        <w:rPr>
          <w:color w:val="auto"/>
          <w:sz w:val="24"/>
        </w:rPr>
        <w:t>。</w:t>
      </w:r>
      <w:r>
        <w:rPr>
          <w:rFonts w:hint="eastAsia"/>
          <w:color w:val="auto"/>
          <w:sz w:val="24"/>
        </w:rPr>
        <w:t>长7m，宽3m，面积为</w:t>
      </w:r>
      <w:r>
        <w:rPr>
          <w:color w:val="auto"/>
          <w:sz w:val="24"/>
        </w:rPr>
        <w:t>3</w:t>
      </w:r>
      <w:r>
        <w:rPr>
          <w:rFonts w:hint="eastAsia"/>
          <w:color w:val="auto"/>
          <w:sz w:val="24"/>
        </w:rPr>
        <w:t>5</w:t>
      </w:r>
      <w:r>
        <w:rPr>
          <w:color w:val="auto"/>
          <w:sz w:val="24"/>
        </w:rPr>
        <w:t>m</w:t>
      </w:r>
      <w:r>
        <w:rPr>
          <w:color w:val="auto"/>
          <w:sz w:val="24"/>
          <w:vertAlign w:val="superscript"/>
        </w:rPr>
        <w:t>2</w:t>
      </w:r>
      <w:r>
        <w:rPr>
          <w:rFonts w:hint="eastAsia"/>
          <w:color w:val="auto"/>
          <w:sz w:val="24"/>
        </w:rPr>
        <w:t>。</w:t>
      </w:r>
      <w:r>
        <w:rPr>
          <w:color w:val="auto"/>
          <w:sz w:val="24"/>
        </w:rPr>
        <w:t>围堰</w:t>
      </w:r>
      <w:r>
        <w:rPr>
          <w:rFonts w:hint="eastAsia"/>
          <w:color w:val="auto"/>
          <w:sz w:val="24"/>
        </w:rPr>
        <w:t>高20cm，危废暂存间内的</w:t>
      </w:r>
      <w:r>
        <w:rPr>
          <w:color w:val="auto"/>
          <w:sz w:val="24"/>
        </w:rPr>
        <w:t>总容积</w:t>
      </w:r>
      <w:r>
        <w:rPr>
          <w:rFonts w:hint="eastAsia"/>
          <w:color w:val="auto"/>
          <w:sz w:val="24"/>
        </w:rPr>
        <w:t>为7</w:t>
      </w:r>
      <w:r>
        <w:rPr>
          <w:color w:val="auto"/>
          <w:sz w:val="24"/>
        </w:rPr>
        <w:t>m</w:t>
      </w:r>
      <w:r>
        <w:rPr>
          <w:color w:val="auto"/>
          <w:sz w:val="24"/>
          <w:vertAlign w:val="superscript"/>
        </w:rPr>
        <w:t>3</w:t>
      </w:r>
      <w:r>
        <w:rPr>
          <w:color w:val="auto"/>
          <w:sz w:val="24"/>
        </w:rPr>
        <w:t>。</w:t>
      </w:r>
      <w:r>
        <w:rPr>
          <w:rFonts w:hint="eastAsia"/>
          <w:color w:val="auto"/>
          <w:sz w:val="24"/>
        </w:rPr>
        <w:t>危废暂存间</w:t>
      </w:r>
      <w:r>
        <w:rPr>
          <w:color w:val="auto"/>
          <w:sz w:val="24"/>
        </w:rPr>
        <w:t>地面已按《危险废物贮存污染控制标准》（GB18597-2001）等国家、地方有关规范设计，并设置有《环境保护图形标志—固体废物贮存（处置）场》（GB15562.2-1995）规定的专用标志。</w:t>
      </w:r>
    </w:p>
    <w:p>
      <w:pPr>
        <w:spacing w:line="360" w:lineRule="auto"/>
        <w:ind w:firstLine="480" w:firstLineChars="200"/>
        <w:rPr>
          <w:color w:val="auto"/>
          <w:sz w:val="24"/>
        </w:rPr>
      </w:pPr>
      <w:r>
        <w:rPr>
          <w:color w:val="auto"/>
          <w:sz w:val="24"/>
        </w:rPr>
        <w:t>本项目需委托</w:t>
      </w:r>
      <w:r>
        <w:rPr>
          <w:rFonts w:hint="eastAsia"/>
          <w:color w:val="auto"/>
          <w:sz w:val="24"/>
        </w:rPr>
        <w:t>处理的危险废物总量不大，合计3.6164t/a。其中</w:t>
      </w:r>
      <w:r>
        <w:rPr>
          <w:color w:val="auto"/>
          <w:sz w:val="24"/>
        </w:rPr>
        <w:t>废活性炭</w:t>
      </w:r>
      <w:r>
        <w:rPr>
          <w:rFonts w:hint="eastAsia"/>
          <w:color w:val="auto"/>
          <w:sz w:val="24"/>
        </w:rPr>
        <w:t>的量为</w:t>
      </w:r>
      <w:r>
        <w:rPr>
          <w:color w:val="auto"/>
          <w:sz w:val="24"/>
        </w:rPr>
        <w:t>2.4934</w:t>
      </w:r>
      <w:r>
        <w:rPr>
          <w:rFonts w:hint="eastAsia"/>
          <w:color w:val="auto"/>
          <w:sz w:val="24"/>
        </w:rPr>
        <w:t>t/a，总体积约5m</w:t>
      </w:r>
      <w:r>
        <w:rPr>
          <w:rFonts w:hint="eastAsia"/>
          <w:color w:val="auto"/>
          <w:sz w:val="24"/>
          <w:vertAlign w:val="superscript"/>
        </w:rPr>
        <w:t>3</w:t>
      </w:r>
      <w:r>
        <w:rPr>
          <w:rFonts w:hint="eastAsia"/>
          <w:color w:val="auto"/>
          <w:sz w:val="24"/>
        </w:rPr>
        <w:t>。此外的废矿物油、</w:t>
      </w:r>
      <w:r>
        <w:rPr>
          <w:color w:val="auto"/>
          <w:sz w:val="24"/>
        </w:rPr>
        <w:t>含油废抹布、手套</w:t>
      </w:r>
      <w:r>
        <w:rPr>
          <w:rFonts w:hint="eastAsia"/>
          <w:color w:val="auto"/>
          <w:sz w:val="24"/>
        </w:rPr>
        <w:t>、废UV灯管等产生量均较少，所占空间小。本项目的危废暂存间有足够的位置和空间存放本项目1年内产生的危险废物。</w:t>
      </w:r>
    </w:p>
    <w:p>
      <w:pPr>
        <w:pStyle w:val="44"/>
        <w:numPr>
          <w:ilvl w:val="2"/>
          <w:numId w:val="0"/>
        </w:numPr>
        <w:tabs>
          <w:tab w:val="clear" w:pos="720"/>
        </w:tabs>
        <w:spacing w:before="159" w:after="159" w:line="360" w:lineRule="auto"/>
        <w:outlineLvl w:val="3"/>
        <w:rPr>
          <w:color w:val="auto"/>
          <w:sz w:val="24"/>
          <w:szCs w:val="24"/>
        </w:rPr>
      </w:pPr>
      <w:bookmarkStart w:id="2519" w:name="_Toc19335"/>
      <w:r>
        <w:rPr>
          <w:rFonts w:hint="eastAsia"/>
          <w:color w:val="auto"/>
          <w:sz w:val="24"/>
          <w:szCs w:val="24"/>
        </w:rPr>
        <w:t>6</w:t>
      </w:r>
      <w:r>
        <w:rPr>
          <w:color w:val="auto"/>
          <w:sz w:val="24"/>
          <w:szCs w:val="24"/>
        </w:rPr>
        <w:t>.</w:t>
      </w:r>
      <w:r>
        <w:rPr>
          <w:rFonts w:hint="eastAsia"/>
          <w:color w:val="auto"/>
          <w:sz w:val="24"/>
          <w:szCs w:val="24"/>
        </w:rPr>
        <w:t>6</w:t>
      </w:r>
      <w:r>
        <w:rPr>
          <w:color w:val="auto"/>
          <w:sz w:val="24"/>
          <w:szCs w:val="24"/>
        </w:rPr>
        <w:t>.</w:t>
      </w:r>
      <w:r>
        <w:rPr>
          <w:rFonts w:hint="eastAsia"/>
          <w:color w:val="auto"/>
          <w:sz w:val="24"/>
          <w:szCs w:val="24"/>
          <w:lang w:val="en-US" w:eastAsia="zh-CN"/>
        </w:rPr>
        <w:t>2.4</w:t>
      </w:r>
      <w:r>
        <w:rPr>
          <w:rFonts w:hint="eastAsia"/>
          <w:color w:val="auto"/>
          <w:sz w:val="24"/>
          <w:szCs w:val="24"/>
        </w:rPr>
        <w:t xml:space="preserve">  运输过程的环境影响分析</w:t>
      </w:r>
      <w:bookmarkEnd w:id="2519"/>
    </w:p>
    <w:p>
      <w:pPr>
        <w:spacing w:line="360" w:lineRule="auto"/>
        <w:ind w:firstLine="420" w:firstLineChars="200"/>
        <w:rPr>
          <w:color w:val="auto"/>
          <w:sz w:val="24"/>
        </w:rPr>
      </w:pPr>
      <w:r>
        <w:rPr>
          <w:rFonts w:hint="eastAsia"/>
          <w:color w:val="auto"/>
        </w:rPr>
        <w:t xml:space="preserve"> </w:t>
      </w:r>
      <w:r>
        <w:rPr>
          <w:color w:val="auto"/>
          <w:sz w:val="24"/>
        </w:rPr>
        <w:t>国家对危险废物处理采取严格的管理制度，在转移过程中，均应遵从《危险废物转移联单管理办法》及其他有关规定的要求，以便管理部门对危险废物的流向进行有效控制，防止在转移过程中将危险废物排放至环境中。落实台帐制度、转移联单制度和专职管理人员。</w:t>
      </w:r>
    </w:p>
    <w:p>
      <w:pPr>
        <w:spacing w:line="360" w:lineRule="auto"/>
        <w:ind w:firstLine="480" w:firstLineChars="200"/>
        <w:rPr>
          <w:color w:val="auto"/>
          <w:sz w:val="24"/>
        </w:rPr>
      </w:pPr>
      <w:r>
        <w:rPr>
          <w:color w:val="auto"/>
          <w:sz w:val="24"/>
        </w:rPr>
        <w:t>运输者需要认真核对运输清单、标记、选择合适的装载方式和适宜的运输工具，确定合理的运输路线及对泄漏或临时事故的应急措施。采用车辆运输方式收运危险废物时，应考虑对收运人员的培训、许可证的审核以及收运过程中的安全防护等。为防止运输过程中危险废物泄漏对环境造成污染，运输车辆必须具有必要的安全的、密闭的装卸条件，对司机也应进行专业培训，执行系列的特殊规定。危险废物运载车辆应标有醒目的危险符号，危险废物承运者必须掌握所运危险废物的必要资料，并制定在出现危险废物泄漏事故时的应急措施等。运输单位严格落实上述措施后，危险废物运输过程对环境影响程度在可接受范围内。</w:t>
      </w:r>
    </w:p>
    <w:p>
      <w:pPr>
        <w:tabs>
          <w:tab w:val="left" w:pos="900"/>
        </w:tabs>
        <w:spacing w:line="360" w:lineRule="auto"/>
        <w:ind w:firstLine="480" w:firstLineChars="200"/>
        <w:rPr>
          <w:color w:val="auto"/>
          <w:sz w:val="24"/>
        </w:rPr>
      </w:pPr>
      <w:r>
        <w:rPr>
          <w:color w:val="auto"/>
          <w:sz w:val="24"/>
        </w:rPr>
        <w:t>危险废物转移报批程序如下：</w:t>
      </w:r>
    </w:p>
    <w:p>
      <w:pPr>
        <w:tabs>
          <w:tab w:val="left" w:pos="900"/>
        </w:tabs>
        <w:spacing w:line="360" w:lineRule="auto"/>
        <w:ind w:firstLine="480" w:firstLineChars="200"/>
        <w:rPr>
          <w:color w:val="auto"/>
          <w:sz w:val="24"/>
        </w:rPr>
      </w:pPr>
      <w:r>
        <w:rPr>
          <w:color w:val="auto"/>
          <w:sz w:val="24"/>
        </w:rPr>
        <w:t>①由危险废物移出单位提出有关废物转移或委托处理的书面申请，填写《广东省危险废物转移报批表》，并提供废物处理合同、协议。每转移一种危险废物，填写《广东省危险废物转移报批表》一式两份，须列明废物的类别、危险特性、有害成分、转移的起始时间、总数量、批次、产生工序。为减低转移时发生事故的风险，存放条件允许时，应尽量减少转移批次。</w:t>
      </w:r>
    </w:p>
    <w:p>
      <w:pPr>
        <w:tabs>
          <w:tab w:val="left" w:pos="900"/>
        </w:tabs>
        <w:spacing w:line="360" w:lineRule="auto"/>
        <w:ind w:firstLine="480" w:firstLineChars="200"/>
        <w:rPr>
          <w:color w:val="auto"/>
          <w:sz w:val="24"/>
        </w:rPr>
      </w:pPr>
      <w:r>
        <w:rPr>
          <w:color w:val="auto"/>
          <w:sz w:val="24"/>
        </w:rPr>
        <w:t>②环保主管部门对提供的材料进行审查，并视需要到现场勘察，在《广东省危险废物转移报批表》上签署审批意见，返还申请单位。同意转移的，发放危险废物转移联单。</w:t>
      </w:r>
    </w:p>
    <w:p>
      <w:pPr>
        <w:tabs>
          <w:tab w:val="left" w:pos="900"/>
        </w:tabs>
        <w:spacing w:line="360" w:lineRule="auto"/>
        <w:ind w:firstLine="480" w:firstLineChars="200"/>
        <w:rPr>
          <w:color w:val="auto"/>
          <w:sz w:val="24"/>
        </w:rPr>
      </w:pPr>
      <w:r>
        <w:rPr>
          <w:color w:val="auto"/>
          <w:sz w:val="24"/>
        </w:rPr>
        <w:t>③定期转移危险废物的，每半年报批一次（转移期间废物处理合同、协议必须有效）；非定期转移危险废物的，每转移一批，报批一次。</w:t>
      </w:r>
    </w:p>
    <w:p>
      <w:pPr>
        <w:tabs>
          <w:tab w:val="left" w:pos="900"/>
        </w:tabs>
        <w:spacing w:line="360" w:lineRule="auto"/>
        <w:ind w:firstLine="480" w:firstLineChars="200"/>
        <w:rPr>
          <w:color w:val="auto"/>
          <w:sz w:val="24"/>
        </w:rPr>
      </w:pPr>
      <w:r>
        <w:rPr>
          <w:color w:val="auto"/>
          <w:sz w:val="24"/>
        </w:rPr>
        <w:t>此外，建设单位在转移处理危险废物时，还需要注意：</w:t>
      </w:r>
    </w:p>
    <w:p>
      <w:pPr>
        <w:tabs>
          <w:tab w:val="left" w:pos="900"/>
        </w:tabs>
        <w:spacing w:line="360" w:lineRule="auto"/>
        <w:ind w:firstLine="480" w:firstLineChars="200"/>
        <w:rPr>
          <w:color w:val="auto"/>
          <w:sz w:val="24"/>
        </w:rPr>
      </w:pPr>
      <w:r>
        <w:rPr>
          <w:color w:val="auto"/>
          <w:sz w:val="24"/>
        </w:rPr>
        <w:t>①项目业主、危险废物处理单位应会同公路管理部门及公安部门建立运载危险废物车辆上路申报审批制度，对危险废物运载车辆检查批准后指定其通行路线和时间，危险废物运输车辆应配备GPS全球卫星定位系统，对运输车辆和通行路线进行监控，确保危险废物运输的安全，防止污染事故的发生。</w:t>
      </w:r>
    </w:p>
    <w:p>
      <w:pPr>
        <w:tabs>
          <w:tab w:val="left" w:pos="900"/>
        </w:tabs>
        <w:spacing w:line="360" w:lineRule="auto"/>
        <w:ind w:firstLine="480" w:firstLineChars="200"/>
        <w:rPr>
          <w:color w:val="auto"/>
          <w:sz w:val="24"/>
        </w:rPr>
      </w:pPr>
      <w:r>
        <w:rPr>
          <w:color w:val="auto"/>
          <w:sz w:val="24"/>
        </w:rPr>
        <w:t>②危险废物的运输应严格按照危险废物管理规定进行运输，应建立专业化的收运队伍和专用运输车辆，所有运输车辆均应具备危险品运输许可证，运输全程使用GPRS系统监控管理。应严格培训持证上岗的驾驶人员与押运人员，保证运输途中的安全以及应对突发事件，能最大限度减少所运输废物对环境可能产生的危害。</w:t>
      </w:r>
    </w:p>
    <w:p>
      <w:pPr>
        <w:tabs>
          <w:tab w:val="left" w:pos="900"/>
        </w:tabs>
        <w:spacing w:line="360" w:lineRule="auto"/>
        <w:ind w:firstLine="480" w:firstLineChars="200"/>
        <w:rPr>
          <w:color w:val="auto"/>
          <w:sz w:val="24"/>
        </w:rPr>
      </w:pPr>
      <w:r>
        <w:rPr>
          <w:color w:val="auto"/>
          <w:sz w:val="24"/>
        </w:rPr>
        <w:t>③遇暴雨、大雾等恶劣天气，应禁止运载危废车辆通行。</w:t>
      </w:r>
    </w:p>
    <w:p>
      <w:pPr>
        <w:tabs>
          <w:tab w:val="left" w:pos="900"/>
        </w:tabs>
        <w:spacing w:line="360" w:lineRule="auto"/>
        <w:ind w:firstLine="480" w:firstLineChars="200"/>
        <w:rPr>
          <w:color w:val="auto"/>
          <w:sz w:val="24"/>
        </w:rPr>
      </w:pPr>
      <w:r>
        <w:rPr>
          <w:color w:val="auto"/>
          <w:sz w:val="24"/>
        </w:rPr>
        <w:t>④加强对驾驶员和押运员的交通安全教育和管理，司机和押运员都应经过危险废物运输培训合格、并持证上岗，禁止酒后开车、无证开车、违规超车，减少因交通事故而导致的污染事故及人员伤亡。</w:t>
      </w:r>
    </w:p>
    <w:p>
      <w:pPr>
        <w:tabs>
          <w:tab w:val="left" w:pos="900"/>
        </w:tabs>
        <w:spacing w:line="360" w:lineRule="auto"/>
        <w:ind w:firstLine="480" w:firstLineChars="200"/>
        <w:rPr>
          <w:color w:val="auto"/>
          <w:sz w:val="24"/>
        </w:rPr>
      </w:pPr>
      <w:r>
        <w:rPr>
          <w:color w:val="auto"/>
          <w:sz w:val="24"/>
        </w:rPr>
        <w:t>⑤危险废物运输车辆应配备相应的消防器材和捆扎、防水、防散失等器具。</w:t>
      </w:r>
    </w:p>
    <w:p>
      <w:pPr>
        <w:tabs>
          <w:tab w:val="left" w:pos="900"/>
        </w:tabs>
        <w:spacing w:line="360" w:lineRule="auto"/>
        <w:ind w:firstLine="480" w:firstLineChars="200"/>
        <w:rPr>
          <w:color w:val="auto"/>
          <w:sz w:val="24"/>
        </w:rPr>
      </w:pPr>
      <w:r>
        <w:rPr>
          <w:color w:val="auto"/>
          <w:sz w:val="24"/>
        </w:rPr>
        <w:t>⑥在运输过程中，如果发生事故，应立即通知有关部门采取应急行动，在应急队伍未来到之前，可以根据经验采取应急措施。</w:t>
      </w:r>
    </w:p>
    <w:p>
      <w:pPr>
        <w:pStyle w:val="44"/>
        <w:numPr>
          <w:ilvl w:val="2"/>
          <w:numId w:val="0"/>
        </w:numPr>
        <w:tabs>
          <w:tab w:val="clear" w:pos="720"/>
        </w:tabs>
        <w:spacing w:before="159" w:after="159" w:line="360" w:lineRule="auto"/>
        <w:outlineLvl w:val="3"/>
        <w:rPr>
          <w:color w:val="auto"/>
          <w:sz w:val="24"/>
          <w:szCs w:val="24"/>
        </w:rPr>
      </w:pPr>
      <w:bookmarkStart w:id="2520" w:name="_Toc2950"/>
      <w:r>
        <w:rPr>
          <w:rFonts w:hint="eastAsia"/>
          <w:color w:val="auto"/>
          <w:sz w:val="24"/>
          <w:szCs w:val="24"/>
        </w:rPr>
        <w:t>6</w:t>
      </w:r>
      <w:r>
        <w:rPr>
          <w:color w:val="auto"/>
          <w:sz w:val="24"/>
          <w:szCs w:val="24"/>
        </w:rPr>
        <w:t>.</w:t>
      </w:r>
      <w:r>
        <w:rPr>
          <w:rFonts w:hint="eastAsia"/>
          <w:color w:val="auto"/>
          <w:sz w:val="24"/>
          <w:szCs w:val="24"/>
        </w:rPr>
        <w:t>6</w:t>
      </w:r>
      <w:r>
        <w:rPr>
          <w:color w:val="auto"/>
          <w:sz w:val="24"/>
          <w:szCs w:val="24"/>
        </w:rPr>
        <w:t>.</w:t>
      </w:r>
      <w:r>
        <w:rPr>
          <w:rFonts w:hint="eastAsia"/>
          <w:color w:val="auto"/>
          <w:sz w:val="24"/>
          <w:szCs w:val="24"/>
          <w:lang w:val="en-US" w:eastAsia="zh-CN"/>
        </w:rPr>
        <w:t>2.5</w:t>
      </w:r>
      <w:r>
        <w:rPr>
          <w:rFonts w:hint="eastAsia"/>
          <w:color w:val="auto"/>
          <w:sz w:val="24"/>
          <w:szCs w:val="24"/>
        </w:rPr>
        <w:t xml:space="preserve">  </w:t>
      </w:r>
      <w:r>
        <w:rPr>
          <w:bCs/>
          <w:color w:val="auto"/>
          <w:sz w:val="24"/>
          <w:szCs w:val="24"/>
        </w:rPr>
        <w:t>自行回收利用</w:t>
      </w:r>
      <w:r>
        <w:rPr>
          <w:color w:val="auto"/>
          <w:sz w:val="24"/>
          <w:szCs w:val="24"/>
        </w:rPr>
        <w:t>的环境影响</w:t>
      </w:r>
      <w:r>
        <w:rPr>
          <w:rFonts w:hint="eastAsia"/>
          <w:color w:val="auto"/>
          <w:sz w:val="24"/>
          <w:szCs w:val="24"/>
        </w:rPr>
        <w:t>分析</w:t>
      </w:r>
      <w:bookmarkEnd w:id="2520"/>
    </w:p>
    <w:p>
      <w:pPr>
        <w:pStyle w:val="32"/>
        <w:spacing w:line="360" w:lineRule="auto"/>
        <w:ind w:firstLine="480" w:firstLineChars="200"/>
        <w:rPr>
          <w:bCs/>
          <w:color w:val="auto"/>
        </w:rPr>
      </w:pPr>
      <w:r>
        <w:rPr>
          <w:color w:val="auto"/>
        </w:rPr>
        <w:t>对于截留的粉尘和截留的沥青油，本项目将其作为卷材生产线的原料回用于生产中。</w:t>
      </w:r>
      <w:r>
        <w:rPr>
          <w:bCs/>
          <w:color w:val="auto"/>
        </w:rPr>
        <w:t>湿式卷材生产线截留的粉尘的成分主要有废树脂粉和铜粉，与项目破碎覆铜板形成的渣浆成分完全一致。其中铜粉为项目的产品，废树脂粉为项目生产防水卷材的原料。项目的分选摇床可在震荡和水流的冲刷下将其中的废树脂粉、铜粉分选。对于湿式卷材生产线截留的粉尘，仅需将其倒入生产线中的渣浆中即可对其进行利用，利用过程中不产生污染物。</w:t>
      </w:r>
    </w:p>
    <w:p>
      <w:pPr>
        <w:pStyle w:val="32"/>
        <w:spacing w:line="360" w:lineRule="auto"/>
        <w:ind w:firstLine="480" w:firstLineChars="200"/>
        <w:rPr>
          <w:bCs/>
          <w:color w:val="auto"/>
        </w:rPr>
      </w:pPr>
      <w:r>
        <w:rPr>
          <w:bCs/>
          <w:color w:val="auto"/>
        </w:rPr>
        <w:t>卷材生产线截留的粉尘成分主要是废树脂粉和滑石粉，均属于项目卷材生产的原材料。项目仅需将其倒入拌料罐中即完成对其的利用。利用过程省事、安全、环保。既可以减少危险废物的外排，又可以减少原料的用量，更可以增大项目材料的利用率。</w:t>
      </w:r>
    </w:p>
    <w:p>
      <w:pPr>
        <w:pStyle w:val="32"/>
        <w:spacing w:line="360" w:lineRule="auto"/>
        <w:ind w:firstLine="480" w:firstLineChars="200"/>
        <w:rPr>
          <w:bCs/>
          <w:color w:val="auto"/>
        </w:rPr>
      </w:pPr>
      <w:r>
        <w:rPr>
          <w:bCs/>
          <w:color w:val="auto"/>
        </w:rPr>
        <w:t>截留的沥青油主要是沥青烟冷凝后或者被油烟净化器电场捕集的小颗粒，其成分与项目卷材生产的原料沥青高度相似，故可将其作为原料重新利用于生产。利用方式为将其收集后倒入搅拌罐中即可，利用过程不产生二次污染。由于项目对截留的粉尘和截留的沥青油的利用均在项目车间内即可完成，因此整个利用过程中无需额外的运输，不涉及运输过程的污染。且利用方式均为作为原料直接投入已有的生产线中，利用过程无需进行额外的处理，也无需投入额外的费用。无论从环境保护角度，还是经济角度，均不会对外部环境有任何的影响。项目对截留的粉尘和截留的沥青油自行回收利用合理。</w:t>
      </w:r>
    </w:p>
    <w:p>
      <w:pPr>
        <w:pStyle w:val="44"/>
        <w:numPr>
          <w:ilvl w:val="2"/>
          <w:numId w:val="0"/>
        </w:numPr>
        <w:tabs>
          <w:tab w:val="clear" w:pos="720"/>
        </w:tabs>
        <w:spacing w:before="159" w:after="159" w:line="360" w:lineRule="auto"/>
        <w:outlineLvl w:val="3"/>
        <w:rPr>
          <w:color w:val="auto"/>
          <w:sz w:val="24"/>
          <w:szCs w:val="24"/>
        </w:rPr>
      </w:pPr>
      <w:bookmarkStart w:id="2521" w:name="_Toc12616"/>
      <w:r>
        <w:rPr>
          <w:rFonts w:hint="eastAsia"/>
          <w:color w:val="auto"/>
          <w:sz w:val="24"/>
          <w:szCs w:val="24"/>
        </w:rPr>
        <w:t>6</w:t>
      </w:r>
      <w:r>
        <w:rPr>
          <w:color w:val="auto"/>
          <w:sz w:val="24"/>
          <w:szCs w:val="24"/>
        </w:rPr>
        <w:t>.</w:t>
      </w:r>
      <w:r>
        <w:rPr>
          <w:rFonts w:hint="eastAsia"/>
          <w:color w:val="auto"/>
          <w:sz w:val="24"/>
          <w:szCs w:val="24"/>
        </w:rPr>
        <w:t>6</w:t>
      </w:r>
      <w:r>
        <w:rPr>
          <w:color w:val="auto"/>
          <w:sz w:val="24"/>
          <w:szCs w:val="24"/>
        </w:rPr>
        <w:t>.</w:t>
      </w:r>
      <w:r>
        <w:rPr>
          <w:rFonts w:hint="eastAsia"/>
          <w:color w:val="auto"/>
          <w:sz w:val="24"/>
          <w:szCs w:val="24"/>
          <w:lang w:val="en-US" w:eastAsia="zh-CN"/>
        </w:rPr>
        <w:t>2.6</w:t>
      </w:r>
      <w:r>
        <w:rPr>
          <w:rFonts w:hint="eastAsia"/>
          <w:color w:val="auto"/>
          <w:sz w:val="24"/>
          <w:szCs w:val="24"/>
        </w:rPr>
        <w:t xml:space="preserve">  委托利用或者处置的环境影响分析</w:t>
      </w:r>
      <w:bookmarkEnd w:id="2521"/>
    </w:p>
    <w:p>
      <w:pPr>
        <w:tabs>
          <w:tab w:val="left" w:pos="900"/>
        </w:tabs>
        <w:spacing w:line="360" w:lineRule="auto"/>
        <w:ind w:firstLine="480" w:firstLineChars="200"/>
        <w:rPr>
          <w:color w:val="auto"/>
          <w:sz w:val="24"/>
        </w:rPr>
      </w:pPr>
      <w:r>
        <w:rPr>
          <w:color w:val="auto"/>
          <w:sz w:val="24"/>
        </w:rPr>
        <w:t>本报告收集整理了广东省内可收集处置HW4</w:t>
      </w:r>
      <w:r>
        <w:rPr>
          <w:rFonts w:hint="eastAsia"/>
          <w:color w:val="auto"/>
          <w:sz w:val="24"/>
        </w:rPr>
        <w:t>9、HW29、HW08</w:t>
      </w:r>
      <w:r>
        <w:rPr>
          <w:color w:val="auto"/>
          <w:sz w:val="24"/>
        </w:rPr>
        <w:t>类危险废物的经营单位相关信息，资料来源于广东省环境保护局办公室发布的《关于进一步做好危险废物利用处置相关指导服务工作的通知》（粤环办函〔2018〕286号）及广东省生态环境厅公众网危险废物经营许可证信息数据查询系统，见</w:t>
      </w:r>
      <w:r>
        <w:rPr>
          <w:rFonts w:hint="eastAsia"/>
          <w:color w:val="auto"/>
          <w:sz w:val="24"/>
        </w:rPr>
        <w:t>下</w:t>
      </w:r>
      <w:r>
        <w:rPr>
          <w:color w:val="auto"/>
          <w:sz w:val="24"/>
        </w:rPr>
        <w:t>表</w:t>
      </w:r>
      <w:r>
        <w:rPr>
          <w:rFonts w:hint="eastAsia"/>
          <w:color w:val="auto"/>
          <w:sz w:val="24"/>
        </w:rPr>
        <w:t>。</w:t>
      </w:r>
    </w:p>
    <w:p>
      <w:pPr>
        <w:pStyle w:val="13"/>
        <w:spacing w:line="360" w:lineRule="auto"/>
        <w:jc w:val="center"/>
        <w:rPr>
          <w:rFonts w:ascii="Times New Roman" w:hAnsi="Times New Roman"/>
          <w:b/>
          <w:bCs/>
          <w:color w:val="auto"/>
        </w:rPr>
      </w:pPr>
      <w:r>
        <w:rPr>
          <w:rFonts w:ascii="Times New Roman" w:hAnsi="Times New Roman"/>
          <w:b/>
          <w:bCs/>
          <w:color w:val="auto"/>
        </w:rPr>
        <w:t>表</w:t>
      </w:r>
      <w:r>
        <w:rPr>
          <w:rFonts w:hint="eastAsia" w:ascii="Times New Roman" w:hAnsi="Times New Roman"/>
          <w:b/>
          <w:bCs/>
          <w:color w:val="auto"/>
        </w:rPr>
        <w:t xml:space="preserve">6.6-2  </w:t>
      </w:r>
      <w:r>
        <w:rPr>
          <w:rFonts w:ascii="Times New Roman" w:hAnsi="Times New Roman"/>
          <w:b/>
          <w:bCs/>
          <w:color w:val="auto"/>
        </w:rPr>
        <w:t>广东省内有余量可收集处置HW46类危险废物的经营单位一览表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466"/>
        <w:gridCol w:w="423"/>
        <w:gridCol w:w="1023"/>
        <w:gridCol w:w="1991"/>
        <w:gridCol w:w="3444"/>
        <w:gridCol w:w="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664" w:type="dxa"/>
            <w:vAlign w:val="center"/>
          </w:tcPr>
          <w:p>
            <w:pPr>
              <w:jc w:val="center"/>
              <w:rPr>
                <w:b w:val="0"/>
                <w:bCs w:val="0"/>
                <w:color w:val="auto"/>
                <w:sz w:val="20"/>
                <w:szCs w:val="20"/>
              </w:rPr>
            </w:pPr>
            <w:r>
              <w:rPr>
                <w:b w:val="0"/>
                <w:bCs w:val="0"/>
                <w:color w:val="auto"/>
                <w:sz w:val="20"/>
                <w:szCs w:val="20"/>
              </w:rPr>
              <w:t>接收类型</w:t>
            </w:r>
          </w:p>
        </w:tc>
        <w:tc>
          <w:tcPr>
            <w:tcW w:w="466" w:type="dxa"/>
            <w:vAlign w:val="center"/>
          </w:tcPr>
          <w:p>
            <w:pPr>
              <w:jc w:val="center"/>
              <w:rPr>
                <w:b w:val="0"/>
                <w:bCs w:val="0"/>
                <w:color w:val="auto"/>
                <w:sz w:val="20"/>
                <w:szCs w:val="20"/>
              </w:rPr>
            </w:pPr>
            <w:r>
              <w:rPr>
                <w:b w:val="0"/>
                <w:bCs w:val="0"/>
                <w:color w:val="auto"/>
                <w:sz w:val="20"/>
                <w:szCs w:val="20"/>
              </w:rPr>
              <w:t>序号</w:t>
            </w:r>
          </w:p>
        </w:tc>
        <w:tc>
          <w:tcPr>
            <w:tcW w:w="423" w:type="dxa"/>
            <w:vAlign w:val="center"/>
          </w:tcPr>
          <w:p>
            <w:pPr>
              <w:jc w:val="center"/>
              <w:rPr>
                <w:b w:val="0"/>
                <w:bCs w:val="0"/>
                <w:color w:val="auto"/>
                <w:sz w:val="20"/>
                <w:szCs w:val="20"/>
              </w:rPr>
            </w:pPr>
            <w:r>
              <w:rPr>
                <w:b w:val="0"/>
                <w:bCs w:val="0"/>
                <w:color w:val="auto"/>
                <w:sz w:val="20"/>
                <w:szCs w:val="20"/>
              </w:rPr>
              <w:t>地市</w:t>
            </w:r>
          </w:p>
        </w:tc>
        <w:tc>
          <w:tcPr>
            <w:tcW w:w="1023" w:type="dxa"/>
            <w:vAlign w:val="center"/>
          </w:tcPr>
          <w:p>
            <w:pPr>
              <w:jc w:val="center"/>
              <w:rPr>
                <w:b w:val="0"/>
                <w:bCs w:val="0"/>
                <w:color w:val="auto"/>
                <w:sz w:val="20"/>
                <w:szCs w:val="20"/>
              </w:rPr>
            </w:pPr>
            <w:r>
              <w:rPr>
                <w:b w:val="0"/>
                <w:bCs w:val="0"/>
                <w:color w:val="auto"/>
                <w:sz w:val="20"/>
                <w:szCs w:val="20"/>
              </w:rPr>
              <w:t>企业名称</w:t>
            </w:r>
          </w:p>
        </w:tc>
        <w:tc>
          <w:tcPr>
            <w:tcW w:w="1991" w:type="dxa"/>
            <w:vAlign w:val="center"/>
          </w:tcPr>
          <w:p>
            <w:pPr>
              <w:jc w:val="center"/>
              <w:rPr>
                <w:b w:val="0"/>
                <w:bCs w:val="0"/>
                <w:color w:val="auto"/>
                <w:sz w:val="20"/>
                <w:szCs w:val="20"/>
              </w:rPr>
            </w:pPr>
            <w:r>
              <w:rPr>
                <w:b w:val="0"/>
                <w:bCs w:val="0"/>
                <w:color w:val="auto"/>
                <w:sz w:val="20"/>
                <w:szCs w:val="20"/>
              </w:rPr>
              <w:t>核准资质类别</w:t>
            </w:r>
          </w:p>
        </w:tc>
        <w:tc>
          <w:tcPr>
            <w:tcW w:w="3444" w:type="dxa"/>
            <w:vAlign w:val="center"/>
          </w:tcPr>
          <w:p>
            <w:pPr>
              <w:jc w:val="center"/>
              <w:rPr>
                <w:b w:val="0"/>
                <w:bCs w:val="0"/>
                <w:color w:val="auto"/>
                <w:sz w:val="20"/>
                <w:szCs w:val="20"/>
              </w:rPr>
            </w:pPr>
            <w:r>
              <w:rPr>
                <w:b w:val="0"/>
                <w:bCs w:val="0"/>
                <w:color w:val="auto"/>
                <w:sz w:val="20"/>
                <w:szCs w:val="20"/>
              </w:rPr>
              <w:t>核准经营范围</w:t>
            </w:r>
          </w:p>
        </w:tc>
        <w:tc>
          <w:tcPr>
            <w:tcW w:w="937" w:type="dxa"/>
            <w:vAlign w:val="center"/>
          </w:tcPr>
          <w:p>
            <w:pPr>
              <w:jc w:val="center"/>
              <w:rPr>
                <w:b w:val="0"/>
                <w:bCs w:val="0"/>
                <w:color w:val="auto"/>
                <w:sz w:val="20"/>
                <w:szCs w:val="20"/>
              </w:rPr>
            </w:pPr>
            <w:r>
              <w:rPr>
                <w:b w:val="0"/>
                <w:bCs w:val="0"/>
                <w:color w:val="auto"/>
                <w:sz w:val="20"/>
                <w:szCs w:val="20"/>
              </w:rPr>
              <w:t>业务联系电话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64" w:type="dxa"/>
            <w:vMerge w:val="restart"/>
            <w:vAlign w:val="center"/>
          </w:tcPr>
          <w:p>
            <w:pPr>
              <w:jc w:val="center"/>
              <w:rPr>
                <w:color w:val="auto"/>
                <w:sz w:val="20"/>
                <w:szCs w:val="20"/>
              </w:rPr>
            </w:pPr>
            <w:r>
              <w:rPr>
                <w:color w:val="auto"/>
                <w:sz w:val="20"/>
                <w:szCs w:val="20"/>
              </w:rPr>
              <w:t>填埋类危险废物</w:t>
            </w:r>
          </w:p>
        </w:tc>
        <w:tc>
          <w:tcPr>
            <w:tcW w:w="466" w:type="dxa"/>
            <w:vAlign w:val="center"/>
          </w:tcPr>
          <w:p>
            <w:pPr>
              <w:jc w:val="center"/>
              <w:rPr>
                <w:color w:val="auto"/>
                <w:sz w:val="20"/>
                <w:szCs w:val="20"/>
              </w:rPr>
            </w:pPr>
            <w:r>
              <w:rPr>
                <w:color w:val="auto"/>
                <w:sz w:val="20"/>
                <w:szCs w:val="20"/>
              </w:rPr>
              <w:t>1</w:t>
            </w:r>
          </w:p>
        </w:tc>
        <w:tc>
          <w:tcPr>
            <w:tcW w:w="423" w:type="dxa"/>
            <w:vAlign w:val="center"/>
          </w:tcPr>
          <w:p>
            <w:pPr>
              <w:jc w:val="center"/>
              <w:rPr>
                <w:color w:val="auto"/>
                <w:sz w:val="20"/>
                <w:szCs w:val="20"/>
              </w:rPr>
            </w:pPr>
            <w:r>
              <w:rPr>
                <w:color w:val="auto"/>
                <w:sz w:val="20"/>
                <w:szCs w:val="20"/>
              </w:rPr>
              <w:t>广州</w:t>
            </w:r>
          </w:p>
        </w:tc>
        <w:tc>
          <w:tcPr>
            <w:tcW w:w="1023" w:type="dxa"/>
            <w:vAlign w:val="center"/>
          </w:tcPr>
          <w:p>
            <w:pPr>
              <w:jc w:val="center"/>
              <w:rPr>
                <w:color w:val="auto"/>
                <w:sz w:val="20"/>
                <w:szCs w:val="20"/>
              </w:rPr>
            </w:pPr>
            <w:r>
              <w:rPr>
                <w:color w:val="auto"/>
                <w:sz w:val="20"/>
                <w:szCs w:val="20"/>
              </w:rPr>
              <w:t>广州市环境保护技术设备公司</w:t>
            </w:r>
          </w:p>
        </w:tc>
        <w:tc>
          <w:tcPr>
            <w:tcW w:w="1991" w:type="dxa"/>
            <w:vAlign w:val="center"/>
          </w:tcPr>
          <w:p>
            <w:pPr>
              <w:rPr>
                <w:color w:val="auto"/>
                <w:sz w:val="20"/>
                <w:szCs w:val="20"/>
              </w:rPr>
            </w:pPr>
            <w:r>
              <w:rPr>
                <w:color w:val="auto"/>
                <w:sz w:val="20"/>
                <w:szCs w:val="20"/>
              </w:rPr>
              <w:t>HW17、HW18、HW21、HW22、HW23、HW33、HW36、HW39、HW46、HW48、HW49等</w:t>
            </w:r>
          </w:p>
        </w:tc>
        <w:tc>
          <w:tcPr>
            <w:tcW w:w="3444" w:type="dxa"/>
            <w:vAlign w:val="center"/>
          </w:tcPr>
          <w:p>
            <w:pPr>
              <w:rPr>
                <w:color w:val="auto"/>
                <w:sz w:val="20"/>
                <w:szCs w:val="20"/>
              </w:rPr>
            </w:pPr>
            <w:r>
              <w:rPr>
                <w:color w:val="auto"/>
                <w:sz w:val="20"/>
                <w:szCs w:val="20"/>
              </w:rPr>
              <w:t>【收集、贮存、处置（填埋）】含镍废物（HW46类中的394-005-46、900-037-46）、有色金属冶炼废物（HW48类中的091-001-48、091-002-48、321-002~014-48、321-016~025-48、321-027-48、321-028-48）等，共计22000吨/年。</w:t>
            </w:r>
          </w:p>
          <w:p>
            <w:pPr>
              <w:rPr>
                <w:color w:val="auto"/>
                <w:sz w:val="20"/>
                <w:szCs w:val="20"/>
              </w:rPr>
            </w:pPr>
            <w:r>
              <w:rPr>
                <w:color w:val="auto"/>
                <w:sz w:val="20"/>
                <w:szCs w:val="20"/>
              </w:rPr>
              <w:t>【收集、贮存】含镍废物（HW46）、含钡废物（HW47）等，共计6250吨/年。</w:t>
            </w:r>
          </w:p>
        </w:tc>
        <w:tc>
          <w:tcPr>
            <w:tcW w:w="937" w:type="dxa"/>
            <w:vAlign w:val="center"/>
          </w:tcPr>
          <w:p>
            <w:pPr>
              <w:jc w:val="center"/>
              <w:rPr>
                <w:color w:val="auto"/>
                <w:sz w:val="20"/>
                <w:szCs w:val="20"/>
              </w:rPr>
            </w:pPr>
            <w:r>
              <w:rPr>
                <w:color w:val="auto"/>
                <w:sz w:val="20"/>
                <w:szCs w:val="20"/>
              </w:rPr>
              <w:t>020－83328111</w:t>
            </w:r>
          </w:p>
          <w:p>
            <w:pPr>
              <w:jc w:val="center"/>
              <w:rPr>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64" w:type="dxa"/>
            <w:vMerge w:val="continue"/>
            <w:vAlign w:val="center"/>
          </w:tcPr>
          <w:p>
            <w:pPr>
              <w:jc w:val="center"/>
              <w:rPr>
                <w:color w:val="auto"/>
                <w:sz w:val="20"/>
                <w:szCs w:val="20"/>
              </w:rPr>
            </w:pPr>
          </w:p>
        </w:tc>
        <w:tc>
          <w:tcPr>
            <w:tcW w:w="466" w:type="dxa"/>
            <w:vAlign w:val="center"/>
          </w:tcPr>
          <w:p>
            <w:pPr>
              <w:jc w:val="center"/>
              <w:rPr>
                <w:color w:val="auto"/>
                <w:sz w:val="20"/>
                <w:szCs w:val="20"/>
              </w:rPr>
            </w:pPr>
            <w:r>
              <w:rPr>
                <w:color w:val="auto"/>
                <w:sz w:val="20"/>
                <w:szCs w:val="20"/>
              </w:rPr>
              <w:t>2</w:t>
            </w:r>
          </w:p>
        </w:tc>
        <w:tc>
          <w:tcPr>
            <w:tcW w:w="423" w:type="dxa"/>
            <w:vAlign w:val="center"/>
          </w:tcPr>
          <w:p>
            <w:pPr>
              <w:jc w:val="center"/>
              <w:rPr>
                <w:color w:val="auto"/>
                <w:sz w:val="20"/>
                <w:szCs w:val="20"/>
              </w:rPr>
            </w:pPr>
            <w:r>
              <w:rPr>
                <w:color w:val="auto"/>
                <w:sz w:val="20"/>
                <w:szCs w:val="20"/>
              </w:rPr>
              <w:t>深圳</w:t>
            </w:r>
          </w:p>
        </w:tc>
        <w:tc>
          <w:tcPr>
            <w:tcW w:w="1023" w:type="dxa"/>
            <w:vAlign w:val="center"/>
          </w:tcPr>
          <w:p>
            <w:pPr>
              <w:jc w:val="center"/>
              <w:rPr>
                <w:color w:val="auto"/>
                <w:sz w:val="20"/>
                <w:szCs w:val="20"/>
              </w:rPr>
            </w:pPr>
            <w:r>
              <w:rPr>
                <w:color w:val="auto"/>
                <w:sz w:val="20"/>
                <w:szCs w:val="20"/>
              </w:rPr>
              <w:t>深圳市龙岗区东江工业废物处置有限公司</w:t>
            </w:r>
          </w:p>
        </w:tc>
        <w:tc>
          <w:tcPr>
            <w:tcW w:w="1991" w:type="dxa"/>
            <w:vAlign w:val="center"/>
          </w:tcPr>
          <w:p>
            <w:pPr>
              <w:jc w:val="center"/>
              <w:rPr>
                <w:color w:val="auto"/>
                <w:sz w:val="20"/>
                <w:szCs w:val="20"/>
              </w:rPr>
            </w:pPr>
            <w:r>
              <w:rPr>
                <w:color w:val="auto"/>
                <w:sz w:val="20"/>
                <w:szCs w:val="20"/>
              </w:rPr>
              <w:t>HW17、HW18、HW21、HW22、HW23、HW31、HW36、HW46、HW48、HW49</w:t>
            </w:r>
          </w:p>
        </w:tc>
        <w:tc>
          <w:tcPr>
            <w:tcW w:w="3444" w:type="dxa"/>
            <w:vAlign w:val="center"/>
          </w:tcPr>
          <w:p>
            <w:pPr>
              <w:rPr>
                <w:color w:val="auto"/>
                <w:sz w:val="20"/>
                <w:szCs w:val="20"/>
              </w:rPr>
            </w:pPr>
            <w:r>
              <w:rPr>
                <w:color w:val="auto"/>
                <w:sz w:val="20"/>
                <w:szCs w:val="20"/>
              </w:rPr>
              <w:t>【收集、贮存、处置（填埋）】含镍废物（HW46类中的261-087-46、394-005-46）400吨/年，有色金属冶炼废物（HW48类中的091-001-48、321-002~014-48、321-016~030-48）50吨/年等，均仅限适合填埋类废物，总计21600吨/年。</w:t>
            </w:r>
          </w:p>
        </w:tc>
        <w:tc>
          <w:tcPr>
            <w:tcW w:w="937" w:type="dxa"/>
            <w:vAlign w:val="center"/>
          </w:tcPr>
          <w:p>
            <w:pPr>
              <w:jc w:val="center"/>
              <w:rPr>
                <w:color w:val="auto"/>
                <w:sz w:val="20"/>
                <w:szCs w:val="20"/>
              </w:rPr>
            </w:pPr>
            <w:r>
              <w:rPr>
                <w:color w:val="auto"/>
                <w:sz w:val="20"/>
                <w:szCs w:val="20"/>
              </w:rPr>
              <w:t>13802867645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64" w:type="dxa"/>
            <w:vMerge w:val="continue"/>
            <w:vAlign w:val="center"/>
          </w:tcPr>
          <w:p>
            <w:pPr>
              <w:jc w:val="center"/>
              <w:rPr>
                <w:color w:val="auto"/>
                <w:sz w:val="20"/>
                <w:szCs w:val="20"/>
              </w:rPr>
            </w:pPr>
          </w:p>
        </w:tc>
        <w:tc>
          <w:tcPr>
            <w:tcW w:w="466" w:type="dxa"/>
            <w:vAlign w:val="center"/>
          </w:tcPr>
          <w:p>
            <w:pPr>
              <w:jc w:val="center"/>
              <w:rPr>
                <w:color w:val="auto"/>
                <w:sz w:val="20"/>
                <w:szCs w:val="20"/>
              </w:rPr>
            </w:pPr>
            <w:r>
              <w:rPr>
                <w:color w:val="auto"/>
                <w:sz w:val="20"/>
                <w:szCs w:val="20"/>
              </w:rPr>
              <w:t>3</w:t>
            </w:r>
          </w:p>
        </w:tc>
        <w:tc>
          <w:tcPr>
            <w:tcW w:w="423" w:type="dxa"/>
            <w:vAlign w:val="center"/>
          </w:tcPr>
          <w:p>
            <w:pPr>
              <w:jc w:val="center"/>
              <w:rPr>
                <w:color w:val="auto"/>
                <w:sz w:val="20"/>
                <w:szCs w:val="20"/>
              </w:rPr>
            </w:pPr>
            <w:r>
              <w:rPr>
                <w:color w:val="auto"/>
                <w:sz w:val="20"/>
                <w:szCs w:val="20"/>
              </w:rPr>
              <w:t>惠州</w:t>
            </w:r>
          </w:p>
        </w:tc>
        <w:tc>
          <w:tcPr>
            <w:tcW w:w="1023" w:type="dxa"/>
            <w:vAlign w:val="center"/>
          </w:tcPr>
          <w:p>
            <w:pPr>
              <w:jc w:val="center"/>
              <w:rPr>
                <w:color w:val="auto"/>
                <w:sz w:val="20"/>
                <w:szCs w:val="20"/>
              </w:rPr>
            </w:pPr>
            <w:r>
              <w:rPr>
                <w:color w:val="auto"/>
                <w:sz w:val="20"/>
                <w:szCs w:val="20"/>
              </w:rPr>
              <w:t>惠州东江威立雅环境服务有限公司</w:t>
            </w:r>
          </w:p>
        </w:tc>
        <w:tc>
          <w:tcPr>
            <w:tcW w:w="1991" w:type="dxa"/>
            <w:vAlign w:val="center"/>
          </w:tcPr>
          <w:p>
            <w:pPr>
              <w:jc w:val="center"/>
              <w:rPr>
                <w:color w:val="auto"/>
                <w:sz w:val="20"/>
                <w:szCs w:val="20"/>
              </w:rPr>
            </w:pPr>
            <w:r>
              <w:rPr>
                <w:color w:val="auto"/>
                <w:sz w:val="20"/>
                <w:szCs w:val="20"/>
              </w:rPr>
              <w:t>HW17、HW18、HW22、HW23、HW25、HW31、HW33、HW46、HW47、HW48、HW49等</w:t>
            </w:r>
          </w:p>
        </w:tc>
        <w:tc>
          <w:tcPr>
            <w:tcW w:w="3444" w:type="dxa"/>
            <w:vAlign w:val="center"/>
          </w:tcPr>
          <w:p>
            <w:pPr>
              <w:rPr>
                <w:color w:val="auto"/>
                <w:sz w:val="20"/>
                <w:szCs w:val="20"/>
              </w:rPr>
            </w:pPr>
            <w:r>
              <w:rPr>
                <w:color w:val="auto"/>
                <w:sz w:val="20"/>
                <w:szCs w:val="20"/>
              </w:rPr>
              <w:t>【收集、贮存、处置（填埋）】含镍废物（HW46）、含钡废物（HW47）、有色金属冶炼废物（HW48类中的091-001-48、091-002-48、321-002~014-48、321-016~025-48、321-027~030-48、323-001-48）等，均仅限适合填埋类废物，共6.5万吨/年。</w:t>
            </w:r>
          </w:p>
        </w:tc>
        <w:tc>
          <w:tcPr>
            <w:tcW w:w="937" w:type="dxa"/>
            <w:vAlign w:val="center"/>
          </w:tcPr>
          <w:p>
            <w:pPr>
              <w:jc w:val="center"/>
              <w:rPr>
                <w:color w:val="auto"/>
                <w:sz w:val="20"/>
                <w:szCs w:val="20"/>
              </w:rPr>
            </w:pPr>
            <w:r>
              <w:rPr>
                <w:color w:val="auto"/>
                <w:sz w:val="20"/>
                <w:szCs w:val="20"/>
              </w:rPr>
              <w:t>0752-8964100或4001-520-522</w:t>
            </w:r>
          </w:p>
        </w:tc>
      </w:tr>
    </w:tbl>
    <w:p>
      <w:pPr>
        <w:spacing w:line="360" w:lineRule="auto"/>
        <w:ind w:firstLine="480" w:firstLineChars="200"/>
        <w:rPr>
          <w:color w:val="auto"/>
          <w:sz w:val="24"/>
        </w:rPr>
      </w:pPr>
      <w:r>
        <w:rPr>
          <w:rFonts w:hint="eastAsia"/>
          <w:color w:val="auto"/>
          <w:sz w:val="24"/>
        </w:rPr>
        <w:t>由于本项目需委外处理的危险废物的量较小，危险废物的类别也属于较为常见。故在回收和余量方面不会存在较大的限制和障碍。上表的公司基本可</w:t>
      </w:r>
      <w:r>
        <w:rPr>
          <w:color w:val="auto"/>
          <w:sz w:val="24"/>
        </w:rPr>
        <w:t>满足企业委托处理处置危险废物需要。</w:t>
      </w:r>
    </w:p>
    <w:p>
      <w:pPr>
        <w:pStyle w:val="44"/>
        <w:numPr>
          <w:ilvl w:val="2"/>
          <w:numId w:val="0"/>
        </w:numPr>
        <w:tabs>
          <w:tab w:val="clear" w:pos="720"/>
        </w:tabs>
        <w:spacing w:before="159" w:after="159" w:line="360" w:lineRule="auto"/>
        <w:outlineLvl w:val="3"/>
        <w:rPr>
          <w:color w:val="auto"/>
          <w:sz w:val="24"/>
          <w:szCs w:val="24"/>
        </w:rPr>
      </w:pPr>
      <w:bookmarkStart w:id="2522" w:name="_Toc31859"/>
      <w:bookmarkStart w:id="2523" w:name="_Toc26416"/>
      <w:r>
        <w:rPr>
          <w:rFonts w:hint="eastAsia"/>
          <w:color w:val="auto"/>
          <w:sz w:val="24"/>
          <w:szCs w:val="24"/>
        </w:rPr>
        <w:t>6</w:t>
      </w:r>
      <w:r>
        <w:rPr>
          <w:color w:val="auto"/>
          <w:sz w:val="24"/>
          <w:szCs w:val="24"/>
        </w:rPr>
        <w:t>.</w:t>
      </w:r>
      <w:r>
        <w:rPr>
          <w:rFonts w:hint="eastAsia"/>
          <w:color w:val="auto"/>
          <w:sz w:val="24"/>
          <w:szCs w:val="24"/>
        </w:rPr>
        <w:t>6</w:t>
      </w:r>
      <w:r>
        <w:rPr>
          <w:color w:val="auto"/>
          <w:sz w:val="24"/>
          <w:szCs w:val="24"/>
        </w:rPr>
        <w:t>.</w:t>
      </w:r>
      <w:r>
        <w:rPr>
          <w:rFonts w:hint="eastAsia"/>
          <w:color w:val="auto"/>
          <w:sz w:val="24"/>
          <w:szCs w:val="24"/>
          <w:lang w:val="en-US" w:eastAsia="zh-CN"/>
        </w:rPr>
        <w:t>2.7</w:t>
      </w:r>
      <w:r>
        <w:rPr>
          <w:rFonts w:hint="eastAsia"/>
          <w:color w:val="auto"/>
          <w:sz w:val="24"/>
          <w:szCs w:val="24"/>
        </w:rPr>
        <w:t xml:space="preserve">  </w:t>
      </w:r>
      <w:r>
        <w:rPr>
          <w:rFonts w:hint="eastAsia"/>
          <w:color w:val="auto"/>
          <w:sz w:val="24"/>
          <w:szCs w:val="24"/>
          <w:lang w:val="en-US" w:eastAsia="zh-CN"/>
        </w:rPr>
        <w:t>危险废物环境影响</w:t>
      </w:r>
      <w:r>
        <w:rPr>
          <w:color w:val="auto"/>
          <w:sz w:val="24"/>
          <w:szCs w:val="24"/>
        </w:rPr>
        <w:t>结果</w:t>
      </w:r>
      <w:bookmarkEnd w:id="2522"/>
      <w:bookmarkEnd w:id="2523"/>
    </w:p>
    <w:p>
      <w:pPr>
        <w:tabs>
          <w:tab w:val="left" w:pos="1081"/>
        </w:tabs>
        <w:adjustRightInd w:val="0"/>
        <w:spacing w:line="360" w:lineRule="auto"/>
        <w:ind w:firstLine="480"/>
        <w:rPr>
          <w:color w:val="auto"/>
          <w:sz w:val="24"/>
        </w:rPr>
      </w:pPr>
      <w:r>
        <w:rPr>
          <w:color w:val="auto"/>
          <w:sz w:val="24"/>
        </w:rPr>
        <w:t>本项目产生的危险废物处置率达到100%。一般情况下，危险废物不会进入环境空气中，不会对周围环境空气、地表水、地下水、土壤以及环境敏感保护目标造成影响。</w:t>
      </w:r>
    </w:p>
    <w:bookmarkEnd w:id="2518"/>
    <w:p>
      <w:pPr>
        <w:spacing w:line="360" w:lineRule="auto"/>
        <w:outlineLvl w:val="1"/>
        <w:rPr>
          <w:b/>
          <w:bCs/>
          <w:color w:val="auto"/>
          <w:sz w:val="32"/>
          <w:szCs w:val="32"/>
        </w:rPr>
      </w:pPr>
      <w:bookmarkStart w:id="2524" w:name="_Toc11043"/>
      <w:bookmarkStart w:id="2525" w:name="_Toc23695"/>
      <w:bookmarkStart w:id="2526" w:name="_Toc20335"/>
      <w:bookmarkStart w:id="2527" w:name="_Toc13305"/>
      <w:r>
        <w:rPr>
          <w:rFonts w:hint="eastAsia"/>
          <w:b/>
          <w:bCs/>
          <w:color w:val="auto"/>
          <w:sz w:val="32"/>
          <w:szCs w:val="32"/>
        </w:rPr>
        <w:t>6</w:t>
      </w:r>
      <w:r>
        <w:rPr>
          <w:b/>
          <w:bCs/>
          <w:color w:val="auto"/>
          <w:sz w:val="32"/>
          <w:szCs w:val="32"/>
        </w:rPr>
        <w:t>.</w:t>
      </w:r>
      <w:r>
        <w:rPr>
          <w:rFonts w:hint="eastAsia"/>
          <w:b/>
          <w:bCs/>
          <w:color w:val="auto"/>
          <w:sz w:val="32"/>
          <w:szCs w:val="32"/>
        </w:rPr>
        <w:t>7  土壤</w:t>
      </w:r>
      <w:r>
        <w:rPr>
          <w:b/>
          <w:bCs/>
          <w:color w:val="auto"/>
          <w:sz w:val="32"/>
          <w:szCs w:val="32"/>
        </w:rPr>
        <w:t>环境影响分析</w:t>
      </w:r>
      <w:bookmarkEnd w:id="2524"/>
      <w:bookmarkEnd w:id="2525"/>
    </w:p>
    <w:p>
      <w:pPr>
        <w:spacing w:line="360" w:lineRule="auto"/>
        <w:ind w:firstLine="480" w:firstLineChars="200"/>
        <w:rPr>
          <w:color w:val="auto"/>
          <w:sz w:val="24"/>
        </w:rPr>
      </w:pPr>
      <w:r>
        <w:rPr>
          <w:rFonts w:hint="eastAsia"/>
          <w:color w:val="auto"/>
          <w:sz w:val="24"/>
        </w:rPr>
        <w:t>根据《环境影响</w:t>
      </w:r>
      <w:r>
        <w:rPr>
          <w:color w:val="auto"/>
          <w:sz w:val="24"/>
        </w:rPr>
        <w:t>评价技术导则</w:t>
      </w:r>
      <w:r>
        <w:rPr>
          <w:rFonts w:hint="eastAsia"/>
          <w:color w:val="auto"/>
          <w:sz w:val="24"/>
        </w:rPr>
        <w:t xml:space="preserve">  土壤环境（试行）》（HJ 964-2018）的附录A，本项目属于“环境和公共设施管理业”中“一般工业固体废物处置及综合利用（采取除焚烧方式以外的）；废旧资源加工、再生利用”类，按土壤环境影响评价项目类别划分为Ⅲ类。项目占地面积12108m</w:t>
      </w:r>
      <w:r>
        <w:rPr>
          <w:rFonts w:hint="eastAsia"/>
          <w:color w:val="auto"/>
          <w:sz w:val="24"/>
          <w:vertAlign w:val="superscript"/>
        </w:rPr>
        <w:t>2</w:t>
      </w:r>
      <w:r>
        <w:rPr>
          <w:rFonts w:hint="eastAsia"/>
          <w:color w:val="auto"/>
          <w:sz w:val="24"/>
        </w:rPr>
        <w:t>，小于5hm</w:t>
      </w:r>
      <w:r>
        <w:rPr>
          <w:rFonts w:hint="eastAsia"/>
          <w:color w:val="auto"/>
          <w:sz w:val="24"/>
          <w:vertAlign w:val="superscript"/>
        </w:rPr>
        <w:t>2</w:t>
      </w:r>
      <w:r>
        <w:rPr>
          <w:rFonts w:hint="eastAsia"/>
          <w:color w:val="auto"/>
          <w:sz w:val="24"/>
        </w:rPr>
        <w:t>，为小型项目。项目周边均为工业用地，500m范围内没有环境敏感点，本项目周边不涉及土壤环境敏感目标，根据《环境影响</w:t>
      </w:r>
      <w:r>
        <w:rPr>
          <w:color w:val="auto"/>
          <w:sz w:val="24"/>
        </w:rPr>
        <w:t>评价技术导则</w:t>
      </w:r>
      <w:r>
        <w:rPr>
          <w:rFonts w:hint="eastAsia"/>
          <w:color w:val="auto"/>
          <w:sz w:val="24"/>
        </w:rPr>
        <w:t xml:space="preserve">  土壤环境（试行）》（HJ 964-2018）表3，判定本项目的敏感程度为不敏感。根据《环境影响</w:t>
      </w:r>
      <w:r>
        <w:rPr>
          <w:color w:val="auto"/>
          <w:sz w:val="24"/>
        </w:rPr>
        <w:t>评价技术导则</w:t>
      </w:r>
      <w:r>
        <w:rPr>
          <w:rFonts w:hint="eastAsia"/>
          <w:color w:val="auto"/>
          <w:sz w:val="24"/>
        </w:rPr>
        <w:t xml:space="preserve">  土壤环境（试行）》（HJ 964-2018）表4可知，本项目可不开展土壤环境影响评价工作。</w:t>
      </w:r>
    </w:p>
    <w:p>
      <w:pPr>
        <w:jc w:val="center"/>
        <w:rPr>
          <w:b/>
          <w:color w:val="auto"/>
          <w:szCs w:val="21"/>
        </w:rPr>
      </w:pPr>
      <w:r>
        <w:rPr>
          <w:rFonts w:hint="eastAsia"/>
          <w:b/>
          <w:bCs/>
          <w:color w:val="auto"/>
          <w:szCs w:val="21"/>
        </w:rPr>
        <w:t xml:space="preserve">表6.7-1 </w:t>
      </w:r>
      <w:r>
        <w:rPr>
          <w:b/>
          <w:bCs/>
          <w:color w:val="auto"/>
          <w:szCs w:val="21"/>
        </w:rPr>
        <w:t xml:space="preserve"> </w:t>
      </w:r>
      <w:r>
        <w:rPr>
          <w:rFonts w:hint="eastAsia"/>
          <w:b/>
          <w:bCs/>
          <w:color w:val="auto"/>
          <w:szCs w:val="21"/>
        </w:rPr>
        <w:t>土壤</w:t>
      </w:r>
      <w:r>
        <w:rPr>
          <w:b/>
          <w:bCs/>
          <w:color w:val="auto"/>
          <w:szCs w:val="21"/>
        </w:rPr>
        <w:t>环境影响评价自查表</w:t>
      </w:r>
    </w:p>
    <w:tbl>
      <w:tblPr>
        <w:tblStyle w:val="23"/>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533"/>
        <w:gridCol w:w="1536"/>
        <w:gridCol w:w="1573"/>
        <w:gridCol w:w="96"/>
        <w:gridCol w:w="1236"/>
        <w:gridCol w:w="636"/>
        <w:gridCol w:w="764"/>
        <w:gridCol w:w="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96" w:type="dxa"/>
            <w:gridSpan w:val="2"/>
            <w:vAlign w:val="center"/>
          </w:tcPr>
          <w:p>
            <w:pPr>
              <w:pStyle w:val="72"/>
              <w:snapToGrid w:val="0"/>
              <w:spacing w:line="240" w:lineRule="auto"/>
              <w:ind w:firstLine="0"/>
              <w:jc w:val="center"/>
              <w:textAlignment w:val="auto"/>
              <w:rPr>
                <w:rFonts w:eastAsia="宋体"/>
                <w:bCs/>
                <w:color w:val="auto"/>
                <w:sz w:val="18"/>
                <w:szCs w:val="18"/>
              </w:rPr>
            </w:pPr>
            <w:r>
              <w:rPr>
                <w:rFonts w:eastAsia="宋体"/>
                <w:bCs/>
                <w:color w:val="auto"/>
                <w:sz w:val="18"/>
                <w:szCs w:val="18"/>
              </w:rPr>
              <w:t>工作内容</w:t>
            </w:r>
          </w:p>
        </w:tc>
        <w:tc>
          <w:tcPr>
            <w:tcW w:w="5841" w:type="dxa"/>
            <w:gridSpan w:val="6"/>
            <w:vAlign w:val="center"/>
          </w:tcPr>
          <w:p>
            <w:pPr>
              <w:pStyle w:val="72"/>
              <w:snapToGrid w:val="0"/>
              <w:spacing w:line="240" w:lineRule="auto"/>
              <w:ind w:firstLine="0"/>
              <w:jc w:val="center"/>
              <w:textAlignment w:val="auto"/>
              <w:rPr>
                <w:rFonts w:eastAsia="宋体"/>
                <w:bCs/>
                <w:color w:val="auto"/>
                <w:sz w:val="18"/>
                <w:szCs w:val="18"/>
              </w:rPr>
            </w:pPr>
            <w:r>
              <w:rPr>
                <w:rFonts w:hint="eastAsia" w:eastAsia="宋体"/>
                <w:bCs/>
                <w:color w:val="auto"/>
                <w:sz w:val="18"/>
                <w:szCs w:val="18"/>
              </w:rPr>
              <w:t>完成情况</w:t>
            </w:r>
          </w:p>
        </w:tc>
        <w:tc>
          <w:tcPr>
            <w:tcW w:w="998" w:type="dxa"/>
            <w:vAlign w:val="center"/>
          </w:tcPr>
          <w:p>
            <w:pPr>
              <w:pStyle w:val="72"/>
              <w:snapToGrid w:val="0"/>
              <w:spacing w:line="240" w:lineRule="auto"/>
              <w:ind w:firstLine="0"/>
              <w:jc w:val="center"/>
              <w:textAlignment w:val="auto"/>
              <w:rPr>
                <w:rFonts w:eastAsia="宋体"/>
                <w:bCs/>
                <w:color w:val="auto"/>
                <w:sz w:val="18"/>
                <w:szCs w:val="18"/>
              </w:rPr>
            </w:pPr>
            <w:r>
              <w:rPr>
                <w:rFonts w:hint="eastAsia" w:eastAsia="宋体"/>
                <w:bCs/>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影响识别</w:t>
            </w: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影响类型</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污染影响型</w:t>
            </w:r>
            <w:r>
              <w:rPr>
                <w:rFonts w:hint="eastAsia" w:ascii="宋体" w:hAnsi="宋体" w:eastAsia="宋体" w:cs="宋体"/>
                <w:color w:val="auto"/>
                <w:kern w:val="0"/>
                <w:szCs w:val="21"/>
                <w:lang w:bidi="ar"/>
              </w:rPr>
              <w:t>☑</w:t>
            </w:r>
            <w:r>
              <w:rPr>
                <w:rFonts w:hint="eastAsia" w:eastAsia="宋体"/>
                <w:color w:val="auto"/>
                <w:sz w:val="18"/>
                <w:szCs w:val="18"/>
              </w:rPr>
              <w:t>；生态影响型</w:t>
            </w:r>
            <w:r>
              <w:rPr>
                <w:rFonts w:hint="eastAsia" w:eastAsia="宋体"/>
                <w:color w:val="auto"/>
                <w:sz w:val="18"/>
                <w:szCs w:val="18"/>
              </w:rPr>
              <w:sym w:font="Wingdings 2" w:char="00A3"/>
            </w:r>
            <w:r>
              <w:rPr>
                <w:rFonts w:hint="eastAsia" w:eastAsia="宋体"/>
                <w:color w:val="auto"/>
                <w:sz w:val="18"/>
                <w:szCs w:val="18"/>
              </w:rPr>
              <w:t>；两种兼有</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土地利用类型</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建设用地</w:t>
            </w:r>
            <w:r>
              <w:rPr>
                <w:rFonts w:hint="eastAsia" w:ascii="宋体" w:hAnsi="宋体" w:eastAsia="宋体" w:cs="宋体"/>
                <w:color w:val="auto"/>
                <w:kern w:val="0"/>
                <w:szCs w:val="21"/>
                <w:lang w:bidi="ar"/>
              </w:rPr>
              <w:t>☑</w:t>
            </w:r>
            <w:r>
              <w:rPr>
                <w:rFonts w:hint="eastAsia" w:eastAsia="宋体"/>
                <w:color w:val="auto"/>
                <w:sz w:val="18"/>
                <w:szCs w:val="18"/>
              </w:rPr>
              <w:t>；农用地</w:t>
            </w:r>
            <w:r>
              <w:rPr>
                <w:rFonts w:hint="eastAsia" w:eastAsia="宋体"/>
                <w:color w:val="auto"/>
                <w:sz w:val="18"/>
                <w:szCs w:val="18"/>
              </w:rPr>
              <w:sym w:font="Wingdings 2" w:char="00A3"/>
            </w:r>
            <w:r>
              <w:rPr>
                <w:rFonts w:hint="eastAsia" w:eastAsia="宋体"/>
                <w:color w:val="auto"/>
                <w:sz w:val="18"/>
                <w:szCs w:val="18"/>
              </w:rPr>
              <w:t>；未利用地</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土地利用类型图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占地规模</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（1.2108）hm</w:t>
            </w:r>
            <w:r>
              <w:rPr>
                <w:rFonts w:hint="eastAsia" w:eastAsia="宋体"/>
                <w:color w:val="auto"/>
                <w:sz w:val="18"/>
                <w:szCs w:val="18"/>
                <w:vertAlign w:val="superscript"/>
              </w:rPr>
              <w:t>2</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敏感目标信息</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敏感目标（  无  ）、方位（     ）、距离（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影响途径</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大气沉降</w:t>
            </w:r>
            <w:r>
              <w:rPr>
                <w:rFonts w:hint="eastAsia" w:ascii="宋体" w:hAnsi="宋体" w:eastAsia="宋体" w:cs="宋体"/>
                <w:color w:val="auto"/>
                <w:kern w:val="0"/>
                <w:szCs w:val="21"/>
                <w:lang w:bidi="ar"/>
              </w:rPr>
              <w:t>☑</w:t>
            </w:r>
            <w:r>
              <w:rPr>
                <w:rFonts w:hint="eastAsia" w:eastAsia="宋体"/>
                <w:color w:val="auto"/>
                <w:sz w:val="18"/>
                <w:szCs w:val="18"/>
              </w:rPr>
              <w:t>；地面漫流</w:t>
            </w:r>
            <w:r>
              <w:rPr>
                <w:rFonts w:hint="eastAsia" w:ascii="宋体" w:hAnsi="宋体" w:eastAsia="宋体" w:cs="宋体"/>
                <w:color w:val="auto"/>
                <w:kern w:val="0"/>
                <w:szCs w:val="21"/>
                <w:lang w:bidi="ar"/>
              </w:rPr>
              <w:t>☑</w:t>
            </w:r>
            <w:r>
              <w:rPr>
                <w:rFonts w:hint="eastAsia" w:eastAsia="宋体"/>
                <w:color w:val="auto"/>
                <w:sz w:val="18"/>
                <w:szCs w:val="18"/>
              </w:rPr>
              <w:t>；垂直入渗</w:t>
            </w:r>
            <w:r>
              <w:rPr>
                <w:rFonts w:hint="eastAsia" w:ascii="宋体" w:hAnsi="宋体" w:eastAsia="宋体" w:cs="宋体"/>
                <w:color w:val="auto"/>
                <w:kern w:val="0"/>
                <w:szCs w:val="21"/>
                <w:lang w:bidi="ar"/>
              </w:rPr>
              <w:t>☑</w:t>
            </w:r>
            <w:r>
              <w:rPr>
                <w:rFonts w:hint="eastAsia" w:eastAsia="宋体"/>
                <w:color w:val="auto"/>
                <w:sz w:val="18"/>
                <w:szCs w:val="18"/>
              </w:rPr>
              <w:t>；地下水位</w:t>
            </w:r>
            <w:r>
              <w:rPr>
                <w:rFonts w:hint="eastAsia" w:eastAsia="宋体"/>
                <w:color w:val="auto"/>
                <w:sz w:val="18"/>
                <w:szCs w:val="18"/>
              </w:rPr>
              <w:sym w:font="Wingdings 2" w:char="00A3"/>
            </w:r>
            <w:r>
              <w:rPr>
                <w:rFonts w:hint="eastAsia" w:eastAsia="宋体"/>
                <w:color w:val="auto"/>
                <w:sz w:val="18"/>
                <w:szCs w:val="18"/>
              </w:rPr>
              <w:t>；其他（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全部污染物</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生活污水、粉尘、苯并[a]芘、沥青烟、非甲烷总烃</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特征因子</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COD</w:t>
            </w:r>
            <w:r>
              <w:rPr>
                <w:rFonts w:hint="eastAsia" w:eastAsia="宋体"/>
                <w:color w:val="auto"/>
                <w:sz w:val="18"/>
                <w:szCs w:val="18"/>
                <w:vertAlign w:val="subscript"/>
              </w:rPr>
              <w:t>Cr</w:t>
            </w:r>
            <w:r>
              <w:rPr>
                <w:rFonts w:hint="eastAsia" w:eastAsia="宋体"/>
                <w:color w:val="auto"/>
                <w:sz w:val="18"/>
                <w:szCs w:val="18"/>
              </w:rPr>
              <w:t>、BOD</w:t>
            </w:r>
            <w:r>
              <w:rPr>
                <w:rFonts w:hint="eastAsia" w:eastAsia="宋体"/>
                <w:color w:val="auto"/>
                <w:sz w:val="18"/>
                <w:szCs w:val="18"/>
                <w:vertAlign w:val="subscript"/>
              </w:rPr>
              <w:t>5</w:t>
            </w:r>
            <w:r>
              <w:rPr>
                <w:rFonts w:hint="eastAsia" w:eastAsia="宋体"/>
                <w:color w:val="auto"/>
                <w:sz w:val="18"/>
                <w:szCs w:val="18"/>
              </w:rPr>
              <w:t>、NH</w:t>
            </w:r>
            <w:r>
              <w:rPr>
                <w:rFonts w:hint="eastAsia" w:eastAsia="宋体"/>
                <w:color w:val="auto"/>
                <w:sz w:val="18"/>
                <w:szCs w:val="18"/>
                <w:vertAlign w:val="subscript"/>
              </w:rPr>
              <w:t>3</w:t>
            </w:r>
            <w:r>
              <w:rPr>
                <w:rFonts w:hint="eastAsia" w:eastAsia="宋体"/>
                <w:color w:val="auto"/>
                <w:sz w:val="18"/>
                <w:szCs w:val="18"/>
              </w:rPr>
              <w:t>-N、SS、颗粒物、苯并[a]芘、沥青烟、非甲烷总烃</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所属土壤环境影响评价项目类别</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Ⅰ类</w:t>
            </w:r>
            <w:r>
              <w:rPr>
                <w:rFonts w:hint="eastAsia" w:eastAsia="宋体"/>
                <w:color w:val="auto"/>
                <w:sz w:val="18"/>
                <w:szCs w:val="18"/>
              </w:rPr>
              <w:sym w:font="Wingdings 2" w:char="00A3"/>
            </w:r>
            <w:r>
              <w:rPr>
                <w:rFonts w:hint="eastAsia" w:eastAsia="宋体"/>
                <w:color w:val="auto"/>
                <w:sz w:val="18"/>
                <w:szCs w:val="18"/>
              </w:rPr>
              <w:t>；Ⅱ类</w:t>
            </w:r>
            <w:r>
              <w:rPr>
                <w:rFonts w:hint="eastAsia" w:eastAsia="宋体"/>
                <w:color w:val="auto"/>
                <w:sz w:val="18"/>
                <w:szCs w:val="18"/>
              </w:rPr>
              <w:sym w:font="Wingdings 2" w:char="00A3"/>
            </w:r>
            <w:r>
              <w:rPr>
                <w:rFonts w:hint="eastAsia" w:eastAsia="宋体"/>
                <w:color w:val="auto"/>
                <w:sz w:val="18"/>
                <w:szCs w:val="18"/>
              </w:rPr>
              <w:t>；Ⅲ类</w:t>
            </w:r>
            <w:r>
              <w:rPr>
                <w:rFonts w:hint="eastAsia" w:ascii="宋体" w:hAnsi="宋体" w:eastAsia="宋体" w:cs="宋体"/>
                <w:color w:val="auto"/>
                <w:kern w:val="0"/>
                <w:szCs w:val="21"/>
                <w:lang w:bidi="ar"/>
              </w:rPr>
              <w:t>☑</w:t>
            </w:r>
            <w:r>
              <w:rPr>
                <w:rFonts w:hint="eastAsia" w:eastAsia="宋体"/>
                <w:color w:val="auto"/>
                <w:sz w:val="18"/>
                <w:szCs w:val="18"/>
              </w:rPr>
              <w:t>；Ⅳ类</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敏感程度</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敏感</w:t>
            </w:r>
            <w:r>
              <w:rPr>
                <w:rFonts w:hint="eastAsia" w:eastAsia="宋体"/>
                <w:color w:val="auto"/>
                <w:sz w:val="18"/>
                <w:szCs w:val="18"/>
              </w:rPr>
              <w:sym w:font="Wingdings 2" w:char="00A3"/>
            </w:r>
            <w:r>
              <w:rPr>
                <w:rFonts w:hint="eastAsia" w:eastAsia="宋体"/>
                <w:color w:val="auto"/>
                <w:sz w:val="18"/>
                <w:szCs w:val="18"/>
              </w:rPr>
              <w:t>；较敏感</w:t>
            </w:r>
            <w:r>
              <w:rPr>
                <w:rFonts w:hint="eastAsia" w:eastAsia="宋体"/>
                <w:color w:val="auto"/>
                <w:sz w:val="18"/>
                <w:szCs w:val="18"/>
              </w:rPr>
              <w:sym w:font="Wingdings 2" w:char="00A3"/>
            </w:r>
            <w:r>
              <w:rPr>
                <w:rFonts w:hint="eastAsia" w:eastAsia="宋体"/>
                <w:color w:val="auto"/>
                <w:sz w:val="18"/>
                <w:szCs w:val="18"/>
              </w:rPr>
              <w:t>；不敏感</w:t>
            </w:r>
            <w:r>
              <w:rPr>
                <w:rFonts w:hint="eastAsia" w:ascii="宋体" w:hAnsi="宋体" w:eastAsia="宋体" w:cs="宋体"/>
                <w:color w:val="auto"/>
                <w:kern w:val="0"/>
                <w:szCs w:val="21"/>
                <w:lang w:bidi="ar"/>
              </w:rPr>
              <w:t>☑</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96"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评价工作等级</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一级</w:t>
            </w:r>
            <w:r>
              <w:rPr>
                <w:rFonts w:hint="eastAsia" w:eastAsia="宋体"/>
                <w:color w:val="auto"/>
                <w:sz w:val="18"/>
                <w:szCs w:val="18"/>
              </w:rPr>
              <w:sym w:font="Wingdings 2" w:char="00A3"/>
            </w:r>
            <w:r>
              <w:rPr>
                <w:rFonts w:hint="eastAsia" w:eastAsia="宋体"/>
                <w:color w:val="auto"/>
                <w:sz w:val="18"/>
                <w:szCs w:val="18"/>
              </w:rPr>
              <w:t>；二级</w:t>
            </w:r>
            <w:r>
              <w:rPr>
                <w:rFonts w:hint="eastAsia" w:eastAsia="宋体"/>
                <w:color w:val="auto"/>
                <w:sz w:val="18"/>
                <w:szCs w:val="18"/>
              </w:rPr>
              <w:sym w:font="Wingdings 2" w:char="00A3"/>
            </w:r>
            <w:r>
              <w:rPr>
                <w:rFonts w:hint="eastAsia" w:eastAsia="宋体"/>
                <w:color w:val="auto"/>
                <w:sz w:val="18"/>
                <w:szCs w:val="18"/>
              </w:rPr>
              <w:t>；三级</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可不开展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现状调查内容</w:t>
            </w: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资料收集</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a）</w:t>
            </w:r>
            <w:r>
              <w:rPr>
                <w:rFonts w:hint="eastAsia" w:eastAsia="宋体"/>
                <w:color w:val="auto"/>
                <w:sz w:val="18"/>
                <w:szCs w:val="18"/>
              </w:rPr>
              <w:sym w:font="Wingdings 2" w:char="00A3"/>
            </w:r>
            <w:r>
              <w:rPr>
                <w:rFonts w:hint="eastAsia" w:eastAsia="宋体"/>
                <w:color w:val="auto"/>
                <w:sz w:val="18"/>
                <w:szCs w:val="18"/>
              </w:rPr>
              <w:t>；b）</w:t>
            </w:r>
            <w:r>
              <w:rPr>
                <w:rFonts w:hint="eastAsia" w:eastAsia="宋体"/>
                <w:color w:val="auto"/>
                <w:sz w:val="18"/>
                <w:szCs w:val="18"/>
              </w:rPr>
              <w:sym w:font="Wingdings 2" w:char="00A3"/>
            </w:r>
            <w:r>
              <w:rPr>
                <w:rFonts w:hint="eastAsia" w:eastAsia="宋体"/>
                <w:color w:val="auto"/>
                <w:sz w:val="18"/>
                <w:szCs w:val="18"/>
              </w:rPr>
              <w:t>；c）</w:t>
            </w:r>
            <w:r>
              <w:rPr>
                <w:rFonts w:hint="eastAsia" w:eastAsia="宋体"/>
                <w:color w:val="auto"/>
                <w:sz w:val="18"/>
                <w:szCs w:val="18"/>
              </w:rPr>
              <w:sym w:font="Wingdings 2" w:char="00A3"/>
            </w:r>
            <w:r>
              <w:rPr>
                <w:rFonts w:hint="eastAsia" w:eastAsia="宋体"/>
                <w:color w:val="auto"/>
                <w:sz w:val="18"/>
                <w:szCs w:val="18"/>
              </w:rPr>
              <w:t>；d）</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理化特性</w:t>
            </w:r>
          </w:p>
        </w:tc>
        <w:tc>
          <w:tcPr>
            <w:tcW w:w="5841" w:type="dxa"/>
            <w:gridSpan w:val="6"/>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同附录C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现状监测点位</w:t>
            </w:r>
          </w:p>
        </w:tc>
        <w:tc>
          <w:tcPr>
            <w:tcW w:w="1536" w:type="dxa"/>
            <w:vAlign w:val="center"/>
          </w:tcPr>
          <w:p>
            <w:pPr>
              <w:pStyle w:val="72"/>
              <w:snapToGrid w:val="0"/>
              <w:spacing w:line="240" w:lineRule="auto"/>
              <w:ind w:firstLine="0"/>
              <w:jc w:val="center"/>
              <w:textAlignment w:val="auto"/>
              <w:rPr>
                <w:rFonts w:eastAsia="宋体"/>
                <w:color w:val="auto"/>
                <w:sz w:val="18"/>
                <w:szCs w:val="18"/>
              </w:rPr>
            </w:pPr>
          </w:p>
        </w:tc>
        <w:tc>
          <w:tcPr>
            <w:tcW w:w="1669"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占地范围内</w:t>
            </w:r>
          </w:p>
        </w:tc>
        <w:tc>
          <w:tcPr>
            <w:tcW w:w="1872"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占地范围外</w:t>
            </w:r>
          </w:p>
        </w:tc>
        <w:tc>
          <w:tcPr>
            <w:tcW w:w="764"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深度</w:t>
            </w:r>
          </w:p>
        </w:tc>
        <w:tc>
          <w:tcPr>
            <w:tcW w:w="998"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6"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表层样点数</w:t>
            </w:r>
          </w:p>
        </w:tc>
        <w:tc>
          <w:tcPr>
            <w:tcW w:w="1669"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1872"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764" w:type="dxa"/>
            <w:vAlign w:val="center"/>
          </w:tcPr>
          <w:p>
            <w:pPr>
              <w:pStyle w:val="72"/>
              <w:snapToGrid w:val="0"/>
              <w:spacing w:line="240" w:lineRule="auto"/>
              <w:ind w:firstLine="0"/>
              <w:jc w:val="center"/>
              <w:textAlignment w:val="auto"/>
              <w:rPr>
                <w:rFonts w:eastAsia="宋体"/>
                <w:color w:val="auto"/>
                <w:sz w:val="18"/>
                <w:szCs w:val="18"/>
              </w:rPr>
            </w:pPr>
          </w:p>
        </w:tc>
        <w:tc>
          <w:tcPr>
            <w:tcW w:w="998" w:type="dxa"/>
            <w:vMerge w:val="continue"/>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6"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柱状样点数</w:t>
            </w:r>
          </w:p>
        </w:tc>
        <w:tc>
          <w:tcPr>
            <w:tcW w:w="1669"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1872"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764" w:type="dxa"/>
            <w:vAlign w:val="center"/>
          </w:tcPr>
          <w:p>
            <w:pPr>
              <w:pStyle w:val="72"/>
              <w:snapToGrid w:val="0"/>
              <w:spacing w:line="240" w:lineRule="auto"/>
              <w:ind w:firstLine="0"/>
              <w:jc w:val="center"/>
              <w:textAlignment w:val="auto"/>
              <w:rPr>
                <w:rFonts w:eastAsia="宋体"/>
                <w:color w:val="auto"/>
                <w:sz w:val="18"/>
                <w:szCs w:val="18"/>
              </w:rPr>
            </w:pPr>
          </w:p>
        </w:tc>
        <w:tc>
          <w:tcPr>
            <w:tcW w:w="998" w:type="dxa"/>
            <w:vMerge w:val="continue"/>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现状监测因子</w:t>
            </w:r>
          </w:p>
        </w:tc>
        <w:tc>
          <w:tcPr>
            <w:tcW w:w="5841" w:type="dxa"/>
            <w:gridSpan w:val="6"/>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现状评价</w:t>
            </w: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评价因子</w:t>
            </w:r>
          </w:p>
        </w:tc>
        <w:tc>
          <w:tcPr>
            <w:tcW w:w="5841" w:type="dxa"/>
            <w:gridSpan w:val="6"/>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评价标准</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GB15618</w:t>
            </w:r>
            <w:r>
              <w:rPr>
                <w:rFonts w:hint="eastAsia" w:eastAsia="宋体"/>
                <w:color w:val="auto"/>
                <w:sz w:val="18"/>
                <w:szCs w:val="18"/>
              </w:rPr>
              <w:sym w:font="Wingdings 2" w:char="00A3"/>
            </w:r>
            <w:r>
              <w:rPr>
                <w:rFonts w:hint="eastAsia" w:eastAsia="宋体"/>
                <w:color w:val="auto"/>
                <w:sz w:val="18"/>
                <w:szCs w:val="18"/>
              </w:rPr>
              <w:t>；GB36600</w:t>
            </w:r>
            <w:r>
              <w:rPr>
                <w:rFonts w:hint="eastAsia" w:eastAsia="宋体"/>
                <w:color w:val="auto"/>
                <w:sz w:val="18"/>
                <w:szCs w:val="18"/>
              </w:rPr>
              <w:sym w:font="Wingdings 2" w:char="00A3"/>
            </w:r>
            <w:r>
              <w:rPr>
                <w:rFonts w:hint="eastAsia" w:eastAsia="宋体"/>
                <w:color w:val="auto"/>
                <w:sz w:val="18"/>
                <w:szCs w:val="18"/>
              </w:rPr>
              <w:t>；表D.1</w:t>
            </w:r>
            <w:r>
              <w:rPr>
                <w:rFonts w:hint="eastAsia" w:eastAsia="宋体"/>
                <w:color w:val="auto"/>
                <w:sz w:val="18"/>
                <w:szCs w:val="18"/>
              </w:rPr>
              <w:sym w:font="Wingdings 2" w:char="00A3"/>
            </w:r>
            <w:r>
              <w:rPr>
                <w:rFonts w:hint="eastAsia" w:eastAsia="宋体"/>
                <w:color w:val="auto"/>
                <w:sz w:val="18"/>
                <w:szCs w:val="18"/>
              </w:rPr>
              <w:t>；表D.2</w:t>
            </w:r>
            <w:r>
              <w:rPr>
                <w:rFonts w:hint="eastAsia" w:eastAsia="宋体"/>
                <w:color w:val="auto"/>
                <w:sz w:val="18"/>
                <w:szCs w:val="18"/>
              </w:rPr>
              <w:sym w:font="Wingdings 2" w:char="00A3"/>
            </w:r>
            <w:r>
              <w:rPr>
                <w:rFonts w:hint="eastAsia" w:eastAsia="宋体"/>
                <w:color w:val="auto"/>
                <w:sz w:val="18"/>
                <w:szCs w:val="18"/>
              </w:rPr>
              <w:t>；其他（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现状评价结论</w:t>
            </w:r>
          </w:p>
        </w:tc>
        <w:tc>
          <w:tcPr>
            <w:tcW w:w="5841" w:type="dxa"/>
            <w:gridSpan w:val="6"/>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影响预测</w:t>
            </w: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预测因子</w:t>
            </w:r>
          </w:p>
        </w:tc>
        <w:tc>
          <w:tcPr>
            <w:tcW w:w="5841" w:type="dxa"/>
            <w:gridSpan w:val="6"/>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预测方法</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附录E</w:t>
            </w:r>
            <w:r>
              <w:rPr>
                <w:rFonts w:hint="eastAsia" w:eastAsia="宋体"/>
                <w:color w:val="auto"/>
                <w:sz w:val="18"/>
                <w:szCs w:val="18"/>
              </w:rPr>
              <w:sym w:font="Wingdings 2" w:char="00A3"/>
            </w:r>
            <w:r>
              <w:rPr>
                <w:rFonts w:hint="eastAsia" w:eastAsia="宋体"/>
                <w:color w:val="auto"/>
                <w:sz w:val="18"/>
                <w:szCs w:val="18"/>
              </w:rPr>
              <w:t>；附录F</w:t>
            </w:r>
            <w:r>
              <w:rPr>
                <w:rFonts w:hint="eastAsia" w:eastAsia="宋体"/>
                <w:color w:val="auto"/>
                <w:sz w:val="18"/>
                <w:szCs w:val="18"/>
              </w:rPr>
              <w:sym w:font="Wingdings 2" w:char="00A3"/>
            </w:r>
            <w:r>
              <w:rPr>
                <w:rFonts w:hint="eastAsia" w:eastAsia="宋体"/>
                <w:color w:val="auto"/>
                <w:sz w:val="18"/>
                <w:szCs w:val="18"/>
              </w:rPr>
              <w:t>；其他（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预测分析内容</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影响范围（      ）</w:t>
            </w:r>
          </w:p>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影响程度（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预测结论</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达标结论：a）</w:t>
            </w:r>
            <w:r>
              <w:rPr>
                <w:rFonts w:hint="eastAsia" w:eastAsia="宋体"/>
                <w:color w:val="auto"/>
                <w:sz w:val="18"/>
                <w:szCs w:val="18"/>
              </w:rPr>
              <w:sym w:font="Wingdings 2" w:char="00A3"/>
            </w:r>
            <w:r>
              <w:rPr>
                <w:rFonts w:hint="eastAsia" w:eastAsia="宋体"/>
                <w:color w:val="auto"/>
                <w:sz w:val="18"/>
                <w:szCs w:val="18"/>
              </w:rPr>
              <w:t>；b）</w:t>
            </w:r>
            <w:r>
              <w:rPr>
                <w:rFonts w:hint="eastAsia" w:eastAsia="宋体"/>
                <w:color w:val="auto"/>
                <w:sz w:val="18"/>
                <w:szCs w:val="18"/>
              </w:rPr>
              <w:sym w:font="Wingdings 2" w:char="00A3"/>
            </w:r>
            <w:r>
              <w:rPr>
                <w:rFonts w:hint="eastAsia" w:eastAsia="宋体"/>
                <w:color w:val="auto"/>
                <w:sz w:val="18"/>
                <w:szCs w:val="18"/>
              </w:rPr>
              <w:t>；c）</w:t>
            </w:r>
            <w:r>
              <w:rPr>
                <w:rFonts w:hint="eastAsia" w:eastAsia="宋体"/>
                <w:color w:val="auto"/>
                <w:sz w:val="18"/>
                <w:szCs w:val="18"/>
              </w:rPr>
              <w:sym w:font="Wingdings 2" w:char="00A3"/>
            </w:r>
          </w:p>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不达标结论：a）</w:t>
            </w:r>
            <w:r>
              <w:rPr>
                <w:rFonts w:hint="eastAsia" w:eastAsia="宋体"/>
                <w:color w:val="auto"/>
                <w:sz w:val="18"/>
                <w:szCs w:val="18"/>
              </w:rPr>
              <w:sym w:font="Wingdings 2" w:char="00A3"/>
            </w:r>
            <w:r>
              <w:rPr>
                <w:rFonts w:hint="eastAsia" w:eastAsia="宋体"/>
                <w:color w:val="auto"/>
                <w:sz w:val="18"/>
                <w:szCs w:val="18"/>
              </w:rPr>
              <w:t>；b）</w:t>
            </w:r>
            <w:r>
              <w:rPr>
                <w:rFonts w:hint="eastAsia" w:eastAsia="宋体"/>
                <w:color w:val="auto"/>
                <w:sz w:val="18"/>
                <w:szCs w:val="18"/>
              </w:rPr>
              <w:sym w:font="Wingdings 2" w:char="00A3"/>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防治措施</w:t>
            </w: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防控措施</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土壤环境质量现状保障</w:t>
            </w:r>
            <w:r>
              <w:rPr>
                <w:rFonts w:hint="eastAsia" w:eastAsia="宋体"/>
                <w:color w:val="auto"/>
                <w:sz w:val="18"/>
                <w:szCs w:val="18"/>
              </w:rPr>
              <w:sym w:font="Wingdings 2" w:char="00A3"/>
            </w:r>
            <w:r>
              <w:rPr>
                <w:rFonts w:hint="eastAsia" w:eastAsia="宋体"/>
                <w:color w:val="auto"/>
                <w:sz w:val="18"/>
                <w:szCs w:val="18"/>
              </w:rPr>
              <w:t>；源头控制</w:t>
            </w:r>
            <w:r>
              <w:rPr>
                <w:rFonts w:hint="eastAsia" w:eastAsia="宋体"/>
                <w:color w:val="auto"/>
                <w:sz w:val="18"/>
                <w:szCs w:val="18"/>
              </w:rPr>
              <w:sym w:font="Wingdings 2" w:char="00A3"/>
            </w:r>
            <w:r>
              <w:rPr>
                <w:rFonts w:hint="eastAsia" w:eastAsia="宋体"/>
                <w:color w:val="auto"/>
                <w:sz w:val="18"/>
                <w:szCs w:val="18"/>
              </w:rPr>
              <w:t>；过程防控</w:t>
            </w:r>
            <w:r>
              <w:rPr>
                <w:rFonts w:hint="eastAsia" w:eastAsia="宋体"/>
                <w:color w:val="auto"/>
                <w:sz w:val="18"/>
                <w:szCs w:val="18"/>
              </w:rPr>
              <w:sym w:font="Wingdings 2" w:char="00A3"/>
            </w:r>
            <w:r>
              <w:rPr>
                <w:rFonts w:hint="eastAsia" w:eastAsia="宋体"/>
                <w:color w:val="auto"/>
                <w:sz w:val="18"/>
                <w:szCs w:val="18"/>
              </w:rPr>
              <w:t>；其他（    ）</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Merge w:val="restart"/>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跟踪监测</w:t>
            </w:r>
          </w:p>
        </w:tc>
        <w:tc>
          <w:tcPr>
            <w:tcW w:w="3109"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监测点数</w:t>
            </w:r>
          </w:p>
        </w:tc>
        <w:tc>
          <w:tcPr>
            <w:tcW w:w="1332"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监测指标</w:t>
            </w:r>
          </w:p>
        </w:tc>
        <w:tc>
          <w:tcPr>
            <w:tcW w:w="1400"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监测频次</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3109"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1332"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1400" w:type="dxa"/>
            <w:gridSpan w:val="2"/>
            <w:vAlign w:val="center"/>
          </w:tcPr>
          <w:p>
            <w:pPr>
              <w:pStyle w:val="72"/>
              <w:snapToGrid w:val="0"/>
              <w:spacing w:line="240" w:lineRule="auto"/>
              <w:ind w:firstLine="0"/>
              <w:jc w:val="center"/>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dxa"/>
            <w:vMerge w:val="continue"/>
            <w:vAlign w:val="center"/>
          </w:tcPr>
          <w:p>
            <w:pPr>
              <w:pStyle w:val="72"/>
              <w:snapToGrid w:val="0"/>
              <w:spacing w:line="240" w:lineRule="auto"/>
              <w:ind w:firstLine="0"/>
              <w:jc w:val="center"/>
              <w:textAlignment w:val="auto"/>
              <w:rPr>
                <w:rFonts w:eastAsia="宋体"/>
                <w:color w:val="auto"/>
                <w:sz w:val="18"/>
                <w:szCs w:val="18"/>
              </w:rPr>
            </w:pPr>
          </w:p>
        </w:tc>
        <w:tc>
          <w:tcPr>
            <w:tcW w:w="1533" w:type="dxa"/>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信息公开指标</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96" w:type="dxa"/>
            <w:gridSpan w:val="2"/>
            <w:vAlign w:val="center"/>
          </w:tcPr>
          <w:p>
            <w:pPr>
              <w:pStyle w:val="72"/>
              <w:snapToGrid w:val="0"/>
              <w:spacing w:line="240" w:lineRule="auto"/>
              <w:ind w:firstLine="0"/>
              <w:jc w:val="center"/>
              <w:textAlignment w:val="auto"/>
              <w:rPr>
                <w:rFonts w:eastAsia="宋体"/>
                <w:color w:val="auto"/>
                <w:sz w:val="18"/>
                <w:szCs w:val="18"/>
              </w:rPr>
            </w:pPr>
            <w:r>
              <w:rPr>
                <w:rFonts w:hint="eastAsia" w:eastAsia="宋体"/>
                <w:color w:val="auto"/>
                <w:sz w:val="18"/>
                <w:szCs w:val="18"/>
              </w:rPr>
              <w:t>评价结论</w:t>
            </w:r>
          </w:p>
        </w:tc>
        <w:tc>
          <w:tcPr>
            <w:tcW w:w="5841" w:type="dxa"/>
            <w:gridSpan w:val="6"/>
            <w:vAlign w:val="center"/>
          </w:tcPr>
          <w:p>
            <w:pPr>
              <w:pStyle w:val="72"/>
              <w:snapToGrid w:val="0"/>
              <w:spacing w:line="240" w:lineRule="auto"/>
              <w:ind w:firstLine="0"/>
              <w:jc w:val="left"/>
              <w:textAlignment w:val="auto"/>
              <w:rPr>
                <w:rFonts w:eastAsia="宋体"/>
                <w:color w:val="auto"/>
                <w:sz w:val="18"/>
                <w:szCs w:val="18"/>
              </w:rPr>
            </w:pPr>
            <w:r>
              <w:rPr>
                <w:rFonts w:hint="eastAsia" w:eastAsia="宋体"/>
                <w:color w:val="auto"/>
                <w:sz w:val="18"/>
                <w:szCs w:val="18"/>
              </w:rPr>
              <w:t>影响较小，可不开展土壤环境影响评价工作。</w:t>
            </w:r>
          </w:p>
        </w:tc>
        <w:tc>
          <w:tcPr>
            <w:tcW w:w="998" w:type="dxa"/>
            <w:vAlign w:val="center"/>
          </w:tcPr>
          <w:p>
            <w:pPr>
              <w:pStyle w:val="72"/>
              <w:snapToGrid w:val="0"/>
              <w:spacing w:line="240" w:lineRule="auto"/>
              <w:ind w:firstLine="0"/>
              <w:jc w:val="center"/>
              <w:textAlignment w:val="auto"/>
              <w:rPr>
                <w:rFonts w:eastAsia="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937" w:type="dxa"/>
            <w:gridSpan w:val="8"/>
            <w:vAlign w:val="center"/>
          </w:tcPr>
          <w:p>
            <w:pPr>
              <w:pStyle w:val="72"/>
              <w:snapToGrid w:val="0"/>
              <w:spacing w:line="240" w:lineRule="auto"/>
              <w:ind w:firstLine="336" w:firstLineChars="200"/>
              <w:textAlignment w:val="auto"/>
              <w:rPr>
                <w:rFonts w:eastAsia="宋体"/>
                <w:color w:val="auto"/>
                <w:spacing w:val="-6"/>
                <w:sz w:val="18"/>
                <w:szCs w:val="18"/>
              </w:rPr>
            </w:pPr>
            <w:r>
              <w:rPr>
                <w:rFonts w:hint="eastAsia" w:eastAsia="宋体"/>
                <w:color w:val="auto"/>
                <w:spacing w:val="-6"/>
                <w:sz w:val="18"/>
                <w:szCs w:val="18"/>
              </w:rPr>
              <w:t>注1：“</w:t>
            </w:r>
            <w:r>
              <w:rPr>
                <w:rFonts w:hint="eastAsia" w:ascii="宋体" w:hAnsi="宋体"/>
                <w:color w:val="auto"/>
                <w:kern w:val="0"/>
                <w:sz w:val="18"/>
                <w:szCs w:val="18"/>
              </w:rPr>
              <w:t>□</w:t>
            </w:r>
            <w:r>
              <w:rPr>
                <w:rFonts w:hint="eastAsia" w:eastAsia="宋体"/>
                <w:color w:val="auto"/>
                <w:spacing w:val="-6"/>
                <w:sz w:val="18"/>
                <w:szCs w:val="18"/>
              </w:rPr>
              <w:t xml:space="preserve">”为勾选项，可√；“（ </w:t>
            </w:r>
            <w:r>
              <w:rPr>
                <w:rFonts w:eastAsia="宋体"/>
                <w:color w:val="auto"/>
                <w:spacing w:val="-6"/>
                <w:sz w:val="18"/>
                <w:szCs w:val="18"/>
              </w:rPr>
              <w:t xml:space="preserve"> </w:t>
            </w:r>
            <w:r>
              <w:rPr>
                <w:rFonts w:hint="eastAsia" w:eastAsia="宋体"/>
                <w:color w:val="auto"/>
                <w:spacing w:val="-6"/>
                <w:sz w:val="18"/>
                <w:szCs w:val="18"/>
              </w:rPr>
              <w:t>）”为内容填写项；“备注”为其他补充内容。</w:t>
            </w:r>
          </w:p>
          <w:p>
            <w:pPr>
              <w:pStyle w:val="72"/>
              <w:snapToGrid w:val="0"/>
              <w:spacing w:line="240" w:lineRule="auto"/>
              <w:ind w:firstLine="336" w:firstLineChars="200"/>
              <w:textAlignment w:val="auto"/>
              <w:rPr>
                <w:rFonts w:eastAsia="宋体"/>
                <w:color w:val="auto"/>
                <w:spacing w:val="-6"/>
                <w:sz w:val="18"/>
                <w:szCs w:val="18"/>
              </w:rPr>
            </w:pPr>
            <w:r>
              <w:rPr>
                <w:rFonts w:hint="eastAsia" w:eastAsia="宋体"/>
                <w:color w:val="auto"/>
                <w:spacing w:val="-6"/>
                <w:sz w:val="18"/>
                <w:szCs w:val="18"/>
              </w:rPr>
              <w:t>注2：需要分别开展土壤环境影响评级工作的，分别填写自查表。</w:t>
            </w:r>
          </w:p>
        </w:tc>
        <w:tc>
          <w:tcPr>
            <w:tcW w:w="998" w:type="dxa"/>
            <w:vAlign w:val="center"/>
          </w:tcPr>
          <w:p>
            <w:pPr>
              <w:pStyle w:val="72"/>
              <w:snapToGrid w:val="0"/>
              <w:spacing w:line="240" w:lineRule="auto"/>
              <w:ind w:firstLine="0"/>
              <w:textAlignment w:val="auto"/>
              <w:rPr>
                <w:rFonts w:eastAsia="宋体"/>
                <w:color w:val="auto"/>
                <w:spacing w:val="-6"/>
                <w:sz w:val="18"/>
                <w:szCs w:val="18"/>
              </w:rPr>
            </w:pPr>
          </w:p>
        </w:tc>
      </w:tr>
    </w:tbl>
    <w:p>
      <w:pPr>
        <w:spacing w:line="360" w:lineRule="auto"/>
        <w:outlineLvl w:val="1"/>
        <w:rPr>
          <w:b/>
          <w:bCs/>
          <w:color w:val="auto"/>
          <w:sz w:val="32"/>
          <w:szCs w:val="32"/>
        </w:rPr>
      </w:pPr>
      <w:bookmarkStart w:id="2528" w:name="_Toc21138"/>
      <w:bookmarkStart w:id="2529" w:name="_Toc12112"/>
      <w:r>
        <w:rPr>
          <w:rFonts w:hint="eastAsia"/>
          <w:b/>
          <w:bCs/>
          <w:color w:val="auto"/>
          <w:sz w:val="32"/>
          <w:szCs w:val="32"/>
        </w:rPr>
        <w:t>6</w:t>
      </w:r>
      <w:r>
        <w:rPr>
          <w:b/>
          <w:bCs/>
          <w:color w:val="auto"/>
          <w:sz w:val="32"/>
          <w:szCs w:val="32"/>
        </w:rPr>
        <w:t>.</w:t>
      </w:r>
      <w:r>
        <w:rPr>
          <w:rFonts w:hint="eastAsia"/>
          <w:b/>
          <w:bCs/>
          <w:color w:val="auto"/>
          <w:sz w:val="32"/>
          <w:szCs w:val="32"/>
        </w:rPr>
        <w:t xml:space="preserve">8  </w:t>
      </w:r>
      <w:r>
        <w:rPr>
          <w:b/>
          <w:bCs/>
          <w:color w:val="auto"/>
          <w:sz w:val="32"/>
          <w:szCs w:val="32"/>
        </w:rPr>
        <w:t>生态环境影响分析</w:t>
      </w:r>
      <w:bookmarkEnd w:id="2526"/>
      <w:bookmarkEnd w:id="2527"/>
      <w:bookmarkEnd w:id="2528"/>
      <w:bookmarkEnd w:id="2529"/>
    </w:p>
    <w:p>
      <w:pPr>
        <w:pStyle w:val="44"/>
        <w:numPr>
          <w:ilvl w:val="2"/>
          <w:numId w:val="0"/>
        </w:numPr>
        <w:tabs>
          <w:tab w:val="clear" w:pos="720"/>
        </w:tabs>
        <w:spacing w:before="159" w:after="159" w:line="360" w:lineRule="auto"/>
        <w:rPr>
          <w:color w:val="auto"/>
          <w:sz w:val="28"/>
          <w:szCs w:val="28"/>
        </w:rPr>
      </w:pPr>
      <w:bookmarkStart w:id="2530" w:name="_Toc23900"/>
      <w:bookmarkStart w:id="2531" w:name="_Toc23535"/>
      <w:r>
        <w:rPr>
          <w:rFonts w:hint="eastAsia"/>
          <w:color w:val="auto"/>
          <w:sz w:val="28"/>
          <w:szCs w:val="28"/>
        </w:rPr>
        <w:t>6</w:t>
      </w:r>
      <w:r>
        <w:rPr>
          <w:color w:val="auto"/>
          <w:sz w:val="28"/>
          <w:szCs w:val="28"/>
        </w:rPr>
        <w:t>.</w:t>
      </w:r>
      <w:r>
        <w:rPr>
          <w:rFonts w:hint="eastAsia"/>
          <w:color w:val="auto"/>
          <w:sz w:val="28"/>
          <w:szCs w:val="28"/>
        </w:rPr>
        <w:t>8</w:t>
      </w:r>
      <w:r>
        <w:rPr>
          <w:color w:val="auto"/>
          <w:sz w:val="28"/>
          <w:szCs w:val="28"/>
        </w:rPr>
        <w:t xml:space="preserve">.1 </w:t>
      </w:r>
      <w:r>
        <w:rPr>
          <w:rFonts w:hint="eastAsia"/>
          <w:color w:val="auto"/>
          <w:sz w:val="28"/>
          <w:szCs w:val="28"/>
        </w:rPr>
        <w:t xml:space="preserve"> </w:t>
      </w:r>
      <w:r>
        <w:rPr>
          <w:color w:val="auto"/>
          <w:sz w:val="28"/>
          <w:szCs w:val="28"/>
        </w:rPr>
        <w:t>对陆生生态环境的影响分析</w:t>
      </w:r>
      <w:bookmarkEnd w:id="2530"/>
      <w:bookmarkEnd w:id="2531"/>
    </w:p>
    <w:p>
      <w:pPr>
        <w:spacing w:line="360" w:lineRule="auto"/>
        <w:ind w:firstLine="480"/>
        <w:rPr>
          <w:color w:val="auto"/>
          <w:sz w:val="24"/>
        </w:rPr>
      </w:pPr>
      <w:r>
        <w:rPr>
          <w:color w:val="auto"/>
          <w:sz w:val="24"/>
        </w:rPr>
        <w:t>本项目位于</w:t>
      </w:r>
      <w:r>
        <w:rPr>
          <w:bCs/>
          <w:snapToGrid w:val="0"/>
          <w:color w:val="auto"/>
          <w:sz w:val="24"/>
        </w:rPr>
        <w:t>清远市清城区石角镇界牌北江工业园内厂房B</w:t>
      </w:r>
      <w:r>
        <w:rPr>
          <w:color w:val="auto"/>
          <w:sz w:val="24"/>
        </w:rPr>
        <w:t>（</w:t>
      </w:r>
      <w:r>
        <w:rPr>
          <w:bCs/>
          <w:color w:val="auto"/>
          <w:sz w:val="24"/>
        </w:rPr>
        <w:t>中心地理坐标：北纬23.502176°，东经112.950939°</w:t>
      </w:r>
      <w:r>
        <w:rPr>
          <w:color w:val="auto"/>
          <w:sz w:val="24"/>
        </w:rPr>
        <w:t>），租赁现有的厂房进行建设，租赁的厂房用地性质为工业用地。周边区域均为工业厂房，早已建成并运行已久，周边地区的开发建设基本完成。项目评价范围内没有国家规定的珍稀、濒危保护植物，且该区域也非国家规定的特殊生态环境保护区，现状植被类型为行道树、绿化植被及稀疏的灌草丛，生态环境一般。因此，项目营运期对陆地生物种类损失影响是轻微的，对生态环境的影响较小，不会影响附近的生态系统结构和功能，附近的农业生态系统和城镇生态系统的主导地位没有动摇。</w:t>
      </w:r>
    </w:p>
    <w:p>
      <w:pPr>
        <w:pStyle w:val="44"/>
        <w:numPr>
          <w:ilvl w:val="2"/>
          <w:numId w:val="0"/>
        </w:numPr>
        <w:tabs>
          <w:tab w:val="clear" w:pos="720"/>
        </w:tabs>
        <w:spacing w:before="159" w:after="159" w:line="360" w:lineRule="auto"/>
        <w:rPr>
          <w:color w:val="auto"/>
          <w:sz w:val="28"/>
          <w:szCs w:val="28"/>
        </w:rPr>
      </w:pPr>
      <w:bookmarkStart w:id="2532" w:name="_Toc12888"/>
      <w:bookmarkStart w:id="2533" w:name="_Toc23364"/>
      <w:r>
        <w:rPr>
          <w:rFonts w:hint="eastAsia"/>
          <w:color w:val="auto"/>
          <w:sz w:val="28"/>
          <w:szCs w:val="28"/>
        </w:rPr>
        <w:t>6</w:t>
      </w:r>
      <w:r>
        <w:rPr>
          <w:color w:val="auto"/>
          <w:sz w:val="28"/>
          <w:szCs w:val="28"/>
        </w:rPr>
        <w:t>.</w:t>
      </w:r>
      <w:r>
        <w:rPr>
          <w:rFonts w:hint="eastAsia"/>
          <w:color w:val="auto"/>
          <w:sz w:val="28"/>
          <w:szCs w:val="28"/>
        </w:rPr>
        <w:t>8</w:t>
      </w:r>
      <w:r>
        <w:rPr>
          <w:color w:val="auto"/>
          <w:sz w:val="28"/>
          <w:szCs w:val="28"/>
        </w:rPr>
        <w:t xml:space="preserve">.2 </w:t>
      </w:r>
      <w:r>
        <w:rPr>
          <w:rFonts w:hint="eastAsia"/>
          <w:color w:val="auto"/>
          <w:sz w:val="28"/>
          <w:szCs w:val="28"/>
        </w:rPr>
        <w:t xml:space="preserve"> </w:t>
      </w:r>
      <w:r>
        <w:rPr>
          <w:color w:val="auto"/>
          <w:sz w:val="28"/>
          <w:szCs w:val="28"/>
        </w:rPr>
        <w:t>对水生生态环境影响</w:t>
      </w:r>
      <w:bookmarkEnd w:id="2532"/>
      <w:bookmarkEnd w:id="2533"/>
    </w:p>
    <w:p>
      <w:pPr>
        <w:spacing w:line="360" w:lineRule="auto"/>
        <w:ind w:firstLine="480" w:firstLineChars="200"/>
        <w:rPr>
          <w:color w:val="auto"/>
          <w:sz w:val="24"/>
        </w:rPr>
      </w:pPr>
      <w:r>
        <w:rPr>
          <w:color w:val="auto"/>
          <w:sz w:val="24"/>
        </w:rPr>
        <w:t>项目的生产废水主要来自于</w:t>
      </w:r>
      <w:r>
        <w:rPr>
          <w:rFonts w:hint="eastAsia"/>
          <w:color w:val="auto"/>
          <w:sz w:val="24"/>
        </w:rPr>
        <w:t>湿式破碎生产线</w:t>
      </w:r>
      <w:r>
        <w:rPr>
          <w:color w:val="auto"/>
          <w:sz w:val="24"/>
        </w:rPr>
        <w:t>和卷材生产线。其中</w:t>
      </w:r>
      <w:r>
        <w:rPr>
          <w:rFonts w:hint="eastAsia"/>
          <w:color w:val="auto"/>
          <w:sz w:val="24"/>
        </w:rPr>
        <w:t>湿式破碎生产线</w:t>
      </w:r>
      <w:r>
        <w:rPr>
          <w:color w:val="auto"/>
          <w:sz w:val="24"/>
        </w:rPr>
        <w:t>的生产废水经沉淀池处理后均回用于生产，不外排。卷材生产线的冷却水循环使用，定期补充，不外排。综上所述，本项目无生产废水外排。</w:t>
      </w:r>
    </w:p>
    <w:p>
      <w:pPr>
        <w:pStyle w:val="32"/>
        <w:spacing w:line="360" w:lineRule="auto"/>
        <w:ind w:firstLine="480" w:firstLineChars="200"/>
        <w:jc w:val="both"/>
        <w:rPr>
          <w:color w:val="auto"/>
        </w:rPr>
      </w:pPr>
      <w:r>
        <w:rPr>
          <w:color w:val="auto"/>
        </w:rPr>
        <w:t>项目外排的废水主要是员工洗盥产生的生活污水。经三级化粪池预处理达到广东省地方标准《水污染物排放限值》（DB44/26-2001）第二时段三级标准及石角污水处理厂进水水质标准较严值后经市政管网进入石角污水处理厂集中处理，最后尾水达标排入沙埗溪。对纳污水体的水质及其水生生物影响不大。</w:t>
      </w:r>
    </w:p>
    <w:p>
      <w:pPr>
        <w:adjustRightInd w:val="0"/>
        <w:snapToGrid w:val="0"/>
        <w:spacing w:line="480" w:lineRule="exact"/>
        <w:ind w:right="105" w:rightChars="50" w:firstLine="480" w:firstLineChars="200"/>
        <w:rPr>
          <w:color w:val="auto"/>
          <w:kern w:val="0"/>
          <w:sz w:val="24"/>
        </w:rPr>
      </w:pPr>
      <w:r>
        <w:rPr>
          <w:color w:val="auto"/>
          <w:kern w:val="0"/>
          <w:sz w:val="24"/>
        </w:rPr>
        <w:t>因此项目营运期不会对周边水生生态环境造成明显影响。</w:t>
      </w:r>
    </w:p>
    <w:p>
      <w:pPr>
        <w:spacing w:line="360" w:lineRule="auto"/>
        <w:outlineLvl w:val="1"/>
        <w:rPr>
          <w:b/>
          <w:bCs/>
          <w:color w:val="auto"/>
          <w:sz w:val="32"/>
          <w:szCs w:val="32"/>
        </w:rPr>
      </w:pPr>
      <w:bookmarkStart w:id="2534" w:name="_Toc23550"/>
      <w:bookmarkStart w:id="2535" w:name="_Toc31117"/>
      <w:r>
        <w:rPr>
          <w:rFonts w:hint="eastAsia"/>
          <w:b/>
          <w:bCs/>
          <w:color w:val="auto"/>
          <w:sz w:val="32"/>
          <w:szCs w:val="32"/>
        </w:rPr>
        <w:t>6</w:t>
      </w:r>
      <w:r>
        <w:rPr>
          <w:b/>
          <w:bCs/>
          <w:color w:val="auto"/>
          <w:sz w:val="32"/>
          <w:szCs w:val="32"/>
        </w:rPr>
        <w:t>.</w:t>
      </w:r>
      <w:r>
        <w:rPr>
          <w:rFonts w:hint="eastAsia"/>
          <w:b/>
          <w:bCs/>
          <w:color w:val="auto"/>
          <w:sz w:val="32"/>
          <w:szCs w:val="32"/>
        </w:rPr>
        <w:t>9  现有项目搬迁环境影响</w:t>
      </w:r>
      <w:bookmarkEnd w:id="2534"/>
      <w:bookmarkEnd w:id="2535"/>
    </w:p>
    <w:p>
      <w:pPr>
        <w:pStyle w:val="32"/>
        <w:spacing w:line="360" w:lineRule="auto"/>
        <w:ind w:firstLine="480" w:firstLineChars="200"/>
        <w:jc w:val="both"/>
        <w:rPr>
          <w:color w:val="auto"/>
        </w:rPr>
      </w:pPr>
      <w:r>
        <w:rPr>
          <w:rFonts w:hint="eastAsia"/>
          <w:color w:val="auto"/>
        </w:rPr>
        <w:t>本项目为迁改扩建项目，现有项目的机械设备将拆除，搬运至本项目位置进行安装，现有项目的建筑物不作变动。在搬迁过程中，仅将现有的设备拆除即可，拆除过程中可能会有噪声和少量的油污产生。但产生的噪声对于现有项目营运期时强度要低，故对周边声环境影响不大。现有项目的地面已进行硬底化处理，落下的油污可使用木屑、吸附棉等吸收。因此，搬迁时产生的油污不会因为落到地面上而污染周边土壤和地下水。</w:t>
      </w:r>
    </w:p>
    <w:p>
      <w:pPr>
        <w:pStyle w:val="32"/>
        <w:spacing w:line="360" w:lineRule="auto"/>
        <w:ind w:firstLine="480" w:firstLineChars="200"/>
        <w:jc w:val="both"/>
        <w:rPr>
          <w:color w:val="auto"/>
        </w:rPr>
      </w:pPr>
      <w:r>
        <w:rPr>
          <w:rFonts w:hint="eastAsia"/>
          <w:color w:val="auto"/>
        </w:rPr>
        <w:t>综上所述，现有项目搬迁的环境影响甚微。</w:t>
      </w:r>
    </w:p>
    <w:p>
      <w:pPr>
        <w:rPr>
          <w:color w:val="auto"/>
        </w:rPr>
      </w:pPr>
    </w:p>
    <w:p>
      <w:pPr>
        <w:pStyle w:val="36"/>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4"/>
        <w:numPr>
          <w:ilvl w:val="0"/>
          <w:numId w:val="0"/>
        </w:numPr>
        <w:spacing w:before="159" w:after="159"/>
        <w:ind w:left="568"/>
        <w:rPr>
          <w:color w:val="auto"/>
          <w:sz w:val="44"/>
          <w:szCs w:val="44"/>
          <w:lang w:val="zh-CN"/>
        </w:rPr>
      </w:pPr>
      <w:bookmarkStart w:id="2536" w:name="_Toc24646"/>
      <w:bookmarkStart w:id="2537" w:name="_Toc29759446"/>
      <w:bookmarkStart w:id="2538" w:name="_Toc28644"/>
      <w:r>
        <w:rPr>
          <w:rFonts w:hint="eastAsia"/>
          <w:color w:val="auto"/>
          <w:sz w:val="44"/>
          <w:szCs w:val="44"/>
        </w:rPr>
        <w:t xml:space="preserve">7  </w:t>
      </w:r>
      <w:r>
        <w:rPr>
          <w:rFonts w:hint="eastAsia"/>
          <w:color w:val="auto"/>
          <w:sz w:val="44"/>
          <w:szCs w:val="44"/>
          <w:lang w:val="zh-CN"/>
        </w:rPr>
        <w:t>环境风险评价</w:t>
      </w:r>
      <w:bookmarkEnd w:id="2536"/>
      <w:bookmarkEnd w:id="2537"/>
      <w:bookmarkEnd w:id="2538"/>
    </w:p>
    <w:p>
      <w:pPr>
        <w:spacing w:line="360" w:lineRule="auto"/>
        <w:outlineLvl w:val="1"/>
        <w:rPr>
          <w:b/>
          <w:color w:val="auto"/>
          <w:sz w:val="32"/>
          <w:szCs w:val="32"/>
        </w:rPr>
      </w:pPr>
      <w:bookmarkStart w:id="2539" w:name="_Toc21160"/>
      <w:bookmarkStart w:id="2540" w:name="_Toc26058"/>
      <w:bookmarkStart w:id="2541" w:name="_Toc32219_WPSOffice_Level2"/>
      <w:bookmarkStart w:id="2542" w:name="_Toc24005_WPSOffice_Level1"/>
      <w:bookmarkStart w:id="2543" w:name="_Toc4331_WPSOffice_Level1"/>
      <w:bookmarkStart w:id="2544" w:name="_Toc20028_WPSOffice_Level1"/>
      <w:bookmarkStart w:id="2545" w:name="_Toc10397"/>
      <w:bookmarkStart w:id="2546" w:name="_Toc21589_WPSOffice_Level1"/>
      <w:bookmarkStart w:id="2547" w:name="_Toc11414_WPSOffice_Level1"/>
      <w:bookmarkStart w:id="2548" w:name="_Toc31029"/>
      <w:bookmarkStart w:id="2549" w:name="_Toc22640_WPSOffice_Level1"/>
      <w:bookmarkStart w:id="2550" w:name="_Toc29759447"/>
      <w:bookmarkStart w:id="2551" w:name="_Toc3649_WPSOffice_Level1"/>
      <w:bookmarkStart w:id="2552" w:name="_Toc14749"/>
      <w:bookmarkStart w:id="2553" w:name="_Toc3905762"/>
      <w:bookmarkStart w:id="2554" w:name="_Toc14138_WPSOffice_Level1"/>
      <w:r>
        <w:rPr>
          <w:rFonts w:hint="eastAsia"/>
          <w:b/>
          <w:color w:val="auto"/>
          <w:sz w:val="32"/>
          <w:szCs w:val="32"/>
        </w:rPr>
        <w:t>7.1  环境风险评价目的</w:t>
      </w:r>
      <w:bookmarkEnd w:id="2539"/>
      <w:bookmarkEnd w:id="2540"/>
    </w:p>
    <w:p>
      <w:pPr>
        <w:adjustRightInd w:val="0"/>
        <w:snapToGrid w:val="0"/>
        <w:spacing w:line="360" w:lineRule="auto"/>
        <w:ind w:firstLine="480" w:firstLineChars="200"/>
        <w:rPr>
          <w:color w:val="auto"/>
          <w:sz w:val="24"/>
        </w:rPr>
      </w:pPr>
      <w:r>
        <w:rPr>
          <w:color w:val="auto"/>
          <w:sz w:val="24"/>
        </w:rPr>
        <w:t xml:space="preserve">环境风险分析及评价的主要目的就是查出可导致潜在环境事故发生的诱发因素，通过控制这些事故因素出现的条件，从而最终将综合环境污染风险降到尽可能低的水平；在环境事故不可避免而突发时，则保证已有相应的环境事故应急措施，从而最终将事故导致的损失降到尽可能低的水平。环境风险分析的主要任务是进行风险因素识别，查出可导致潜在环境事故的诱发因素，估计这些事故因素出现的条件，如有可能则估计其出现的概率。风险评价的主要任务则是针对风险因素，评价这些事故因素的可控制性及事故的严重程度。事故风险应急管理的主要任务是针对环境风险因素和可能发生的事故，评估拟采用的事故应急措施，必要时提出建立相应的事故应急措施。 </w:t>
      </w:r>
    </w:p>
    <w:p>
      <w:pPr>
        <w:adjustRightInd w:val="0"/>
        <w:snapToGrid w:val="0"/>
        <w:spacing w:line="360" w:lineRule="auto"/>
        <w:ind w:firstLine="480" w:firstLineChars="200"/>
        <w:rPr>
          <w:color w:val="auto"/>
          <w:sz w:val="24"/>
        </w:rPr>
      </w:pPr>
      <w:r>
        <w:rPr>
          <w:color w:val="auto"/>
          <w:sz w:val="24"/>
        </w:rPr>
        <w:t xml:space="preserve">本项目由于原/辅材料、产品的特性，及生产过程的特殊性，环境风险是存在的。风险源主要是废物运输、暂存、回收处理、废水处理和排放等生产设施和生产过程，而造成的影响包括对大气环境、水环境等的影响。一旦发生事故，会造成较为严重的影响。因而必须注意风险事故的防范，将事故概率降到最低。 </w:t>
      </w:r>
    </w:p>
    <w:p>
      <w:pPr>
        <w:spacing w:line="360" w:lineRule="auto"/>
        <w:outlineLvl w:val="1"/>
        <w:rPr>
          <w:b/>
          <w:color w:val="auto"/>
          <w:sz w:val="32"/>
          <w:szCs w:val="32"/>
        </w:rPr>
      </w:pPr>
      <w:bookmarkStart w:id="2555" w:name="_Toc29759449"/>
      <w:bookmarkStart w:id="2556" w:name="_Toc11049"/>
      <w:bookmarkStart w:id="2557" w:name="_Toc25408"/>
      <w:r>
        <w:rPr>
          <w:rFonts w:hint="eastAsia"/>
          <w:b/>
          <w:color w:val="auto"/>
          <w:sz w:val="32"/>
          <w:szCs w:val="32"/>
        </w:rPr>
        <w:t>7.2  环境风险潜势划分</w:t>
      </w:r>
      <w:bookmarkEnd w:id="2555"/>
      <w:bookmarkEnd w:id="2556"/>
      <w:bookmarkEnd w:id="2557"/>
    </w:p>
    <w:p>
      <w:pPr>
        <w:adjustRightInd w:val="0"/>
        <w:snapToGrid w:val="0"/>
        <w:spacing w:line="360" w:lineRule="auto"/>
        <w:ind w:firstLine="480" w:firstLineChars="200"/>
        <w:rPr>
          <w:color w:val="auto"/>
          <w:sz w:val="24"/>
        </w:rPr>
      </w:pPr>
      <w:r>
        <w:rPr>
          <w:rFonts w:hint="eastAsia"/>
          <w:color w:val="auto"/>
          <w:sz w:val="24"/>
        </w:rPr>
        <w:t>建设项目环境风险潜势划分为Ⅰ、Ⅱ、Ⅲ、Ⅳ/Ⅳ+级。根据建设项目涉及的物质和工艺系统的危险性及其所在地的环境敏感程度，结合事故情形下环境影响途径，对建设项目潜在环境危害程度进行概化分析，按照下表确定环境风险潜势。</w:t>
      </w:r>
    </w:p>
    <w:p>
      <w:pPr>
        <w:adjustRightInd w:val="0"/>
        <w:snapToGrid w:val="0"/>
        <w:spacing w:line="360" w:lineRule="auto"/>
        <w:jc w:val="center"/>
        <w:rPr>
          <w:b/>
          <w:color w:val="auto"/>
        </w:rPr>
      </w:pPr>
      <w:r>
        <w:rPr>
          <w:rFonts w:hint="eastAsia"/>
          <w:b/>
          <w:color w:val="auto"/>
        </w:rPr>
        <w:t>表7.2-1  建设项目环境风险潜势划分</w:t>
      </w:r>
    </w:p>
    <w:tbl>
      <w:tblPr>
        <w:tblStyle w:val="23"/>
        <w:tblW w:w="884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Layout w:type="fixed"/>
        <w:tblCellMar>
          <w:top w:w="59" w:type="dxa"/>
          <w:left w:w="107" w:type="dxa"/>
          <w:bottom w:w="0" w:type="dxa"/>
          <w:right w:w="0" w:type="dxa"/>
        </w:tblCellMar>
      </w:tblPr>
      <w:tblGrid>
        <w:gridCol w:w="2358"/>
        <w:gridCol w:w="1712"/>
        <w:gridCol w:w="1584"/>
        <w:gridCol w:w="1581"/>
        <w:gridCol w:w="16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2358" w:type="dxa"/>
            <w:vMerge w:val="restart"/>
            <w:tcBorders>
              <w:tl2br w:val="nil"/>
              <w:tr2bl w:val="nil"/>
            </w:tcBorders>
            <w:shd w:val="clear" w:color="auto" w:fill="auto"/>
            <w:vAlign w:val="center"/>
          </w:tcPr>
          <w:p>
            <w:pPr>
              <w:spacing w:line="259" w:lineRule="auto"/>
              <w:ind w:left="256"/>
              <w:rPr>
                <w:color w:val="auto"/>
                <w:szCs w:val="21"/>
              </w:rPr>
            </w:pPr>
            <w:r>
              <w:rPr>
                <w:color w:val="auto"/>
                <w:szCs w:val="21"/>
              </w:rPr>
              <w:t xml:space="preserve">环境敏感程度（E） </w:t>
            </w:r>
          </w:p>
        </w:tc>
        <w:tc>
          <w:tcPr>
            <w:tcW w:w="6486" w:type="dxa"/>
            <w:gridSpan w:val="4"/>
            <w:tcBorders>
              <w:tl2br w:val="nil"/>
              <w:tr2bl w:val="nil"/>
            </w:tcBorders>
            <w:shd w:val="clear" w:color="auto" w:fill="auto"/>
          </w:tcPr>
          <w:p>
            <w:pPr>
              <w:spacing w:line="259" w:lineRule="auto"/>
              <w:ind w:right="106"/>
              <w:jc w:val="center"/>
              <w:rPr>
                <w:color w:val="auto"/>
                <w:szCs w:val="21"/>
              </w:rPr>
            </w:pPr>
            <w:r>
              <w:rPr>
                <w:color w:val="auto"/>
                <w:szCs w:val="21"/>
              </w:rPr>
              <w:t xml:space="preserve">危险物质及工艺系统危险性（P）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2358" w:type="dxa"/>
            <w:vMerge w:val="continue"/>
            <w:tcBorders>
              <w:tl2br w:val="nil"/>
              <w:tr2bl w:val="nil"/>
            </w:tcBorders>
            <w:shd w:val="clear" w:color="auto" w:fill="auto"/>
          </w:tcPr>
          <w:p>
            <w:pPr>
              <w:spacing w:after="160" w:line="259" w:lineRule="auto"/>
              <w:rPr>
                <w:color w:val="auto"/>
                <w:szCs w:val="21"/>
              </w:rPr>
            </w:pPr>
          </w:p>
        </w:tc>
        <w:tc>
          <w:tcPr>
            <w:tcW w:w="1712" w:type="dxa"/>
            <w:tcBorders>
              <w:tl2br w:val="nil"/>
              <w:tr2bl w:val="nil"/>
            </w:tcBorders>
            <w:shd w:val="clear" w:color="auto" w:fill="auto"/>
          </w:tcPr>
          <w:p>
            <w:pPr>
              <w:spacing w:line="259" w:lineRule="auto"/>
              <w:ind w:left="74"/>
              <w:rPr>
                <w:color w:val="auto"/>
                <w:szCs w:val="21"/>
              </w:rPr>
            </w:pPr>
            <w:r>
              <w:rPr>
                <w:color w:val="auto"/>
                <w:szCs w:val="21"/>
              </w:rPr>
              <w:t xml:space="preserve">极高危害（P1） </w:t>
            </w:r>
          </w:p>
        </w:tc>
        <w:tc>
          <w:tcPr>
            <w:tcW w:w="1584" w:type="dxa"/>
            <w:tcBorders>
              <w:tl2br w:val="nil"/>
              <w:tr2bl w:val="nil"/>
            </w:tcBorders>
            <w:shd w:val="clear" w:color="auto" w:fill="auto"/>
          </w:tcPr>
          <w:p>
            <w:pPr>
              <w:spacing w:line="259" w:lineRule="auto"/>
              <w:ind w:left="3"/>
              <w:rPr>
                <w:color w:val="auto"/>
                <w:szCs w:val="21"/>
              </w:rPr>
            </w:pPr>
            <w:r>
              <w:rPr>
                <w:color w:val="auto"/>
                <w:szCs w:val="21"/>
              </w:rPr>
              <w:t xml:space="preserve">高度危害（P2） </w:t>
            </w:r>
          </w:p>
        </w:tc>
        <w:tc>
          <w:tcPr>
            <w:tcW w:w="1581" w:type="dxa"/>
            <w:tcBorders>
              <w:tl2br w:val="nil"/>
              <w:tr2bl w:val="nil"/>
            </w:tcBorders>
            <w:shd w:val="clear" w:color="auto" w:fill="auto"/>
          </w:tcPr>
          <w:p>
            <w:pPr>
              <w:spacing w:line="259" w:lineRule="auto"/>
              <w:ind w:left="3"/>
              <w:rPr>
                <w:color w:val="auto"/>
                <w:szCs w:val="21"/>
              </w:rPr>
            </w:pPr>
            <w:r>
              <w:rPr>
                <w:color w:val="auto"/>
                <w:szCs w:val="21"/>
              </w:rPr>
              <w:t xml:space="preserve">中度危害（P3） </w:t>
            </w:r>
          </w:p>
        </w:tc>
        <w:tc>
          <w:tcPr>
            <w:tcW w:w="1609" w:type="dxa"/>
            <w:tcBorders>
              <w:tl2br w:val="nil"/>
              <w:tr2bl w:val="nil"/>
            </w:tcBorders>
            <w:shd w:val="clear" w:color="auto" w:fill="auto"/>
          </w:tcPr>
          <w:p>
            <w:pPr>
              <w:spacing w:line="259" w:lineRule="auto"/>
              <w:ind w:left="17"/>
              <w:rPr>
                <w:color w:val="auto"/>
                <w:szCs w:val="21"/>
              </w:rPr>
            </w:pPr>
            <w:r>
              <w:rPr>
                <w:color w:val="auto"/>
                <w:szCs w:val="21"/>
              </w:rPr>
              <w:t xml:space="preserve">轻度危害（P4）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2358" w:type="dxa"/>
            <w:tcBorders>
              <w:tl2br w:val="nil"/>
              <w:tr2bl w:val="nil"/>
            </w:tcBorders>
            <w:shd w:val="clear" w:color="auto" w:fill="auto"/>
          </w:tcPr>
          <w:p>
            <w:pPr>
              <w:spacing w:line="259" w:lineRule="auto"/>
              <w:ind w:left="98"/>
              <w:rPr>
                <w:color w:val="auto"/>
                <w:szCs w:val="21"/>
              </w:rPr>
            </w:pPr>
            <w:r>
              <w:rPr>
                <w:color w:val="auto"/>
                <w:szCs w:val="21"/>
              </w:rPr>
              <w:t xml:space="preserve">环境高度敏感区（E1） </w:t>
            </w:r>
          </w:p>
        </w:tc>
        <w:tc>
          <w:tcPr>
            <w:tcW w:w="1712" w:type="dxa"/>
            <w:tcBorders>
              <w:tl2br w:val="nil"/>
              <w:tr2bl w:val="nil"/>
            </w:tcBorders>
            <w:shd w:val="clear" w:color="auto" w:fill="auto"/>
          </w:tcPr>
          <w:p>
            <w:pPr>
              <w:spacing w:line="259" w:lineRule="auto"/>
              <w:ind w:right="106"/>
              <w:jc w:val="center"/>
              <w:rPr>
                <w:color w:val="auto"/>
                <w:szCs w:val="21"/>
              </w:rPr>
            </w:pPr>
            <w:r>
              <w:rPr>
                <w:color w:val="auto"/>
                <w:szCs w:val="21"/>
              </w:rPr>
              <w:t xml:space="preserve">Ⅳ+ </w:t>
            </w:r>
          </w:p>
        </w:tc>
        <w:tc>
          <w:tcPr>
            <w:tcW w:w="1584" w:type="dxa"/>
            <w:tcBorders>
              <w:tl2br w:val="nil"/>
              <w:tr2bl w:val="nil"/>
            </w:tcBorders>
            <w:shd w:val="clear" w:color="auto" w:fill="auto"/>
          </w:tcPr>
          <w:p>
            <w:pPr>
              <w:spacing w:line="259" w:lineRule="auto"/>
              <w:ind w:right="110"/>
              <w:jc w:val="center"/>
              <w:rPr>
                <w:color w:val="auto"/>
                <w:szCs w:val="21"/>
              </w:rPr>
            </w:pPr>
            <w:r>
              <w:rPr>
                <w:color w:val="auto"/>
                <w:szCs w:val="21"/>
              </w:rPr>
              <w:t xml:space="preserve">Ⅳ </w:t>
            </w:r>
          </w:p>
        </w:tc>
        <w:tc>
          <w:tcPr>
            <w:tcW w:w="1581" w:type="dxa"/>
            <w:tcBorders>
              <w:tl2br w:val="nil"/>
              <w:tr2bl w:val="nil"/>
            </w:tcBorders>
            <w:shd w:val="clear" w:color="auto" w:fill="auto"/>
          </w:tcPr>
          <w:p>
            <w:pPr>
              <w:spacing w:line="259" w:lineRule="auto"/>
              <w:ind w:right="109"/>
              <w:jc w:val="center"/>
              <w:rPr>
                <w:color w:val="auto"/>
                <w:szCs w:val="21"/>
              </w:rPr>
            </w:pPr>
            <w:r>
              <w:rPr>
                <w:color w:val="auto"/>
                <w:szCs w:val="21"/>
              </w:rPr>
              <w:t xml:space="preserve">Ⅲ </w:t>
            </w:r>
          </w:p>
        </w:tc>
        <w:tc>
          <w:tcPr>
            <w:tcW w:w="1609" w:type="dxa"/>
            <w:tcBorders>
              <w:tl2br w:val="nil"/>
              <w:tr2bl w:val="nil"/>
            </w:tcBorders>
            <w:shd w:val="clear" w:color="auto" w:fill="auto"/>
          </w:tcPr>
          <w:p>
            <w:pPr>
              <w:spacing w:line="259" w:lineRule="auto"/>
              <w:ind w:right="107"/>
              <w:jc w:val="center"/>
              <w:rPr>
                <w:color w:val="auto"/>
                <w:szCs w:val="21"/>
              </w:rPr>
            </w:pPr>
            <w:r>
              <w:rPr>
                <w:color w:val="auto"/>
                <w:szCs w:val="21"/>
              </w:rPr>
              <w:t xml:space="preserve">Ⅲ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2358" w:type="dxa"/>
            <w:tcBorders>
              <w:tl2br w:val="nil"/>
              <w:tr2bl w:val="nil"/>
            </w:tcBorders>
            <w:shd w:val="clear" w:color="auto" w:fill="auto"/>
          </w:tcPr>
          <w:p>
            <w:pPr>
              <w:spacing w:line="259" w:lineRule="auto"/>
              <w:ind w:left="98"/>
              <w:rPr>
                <w:color w:val="auto"/>
                <w:szCs w:val="21"/>
              </w:rPr>
            </w:pPr>
            <w:r>
              <w:rPr>
                <w:color w:val="auto"/>
                <w:szCs w:val="21"/>
              </w:rPr>
              <w:t xml:space="preserve">环境中度敏感区（E2） </w:t>
            </w:r>
          </w:p>
        </w:tc>
        <w:tc>
          <w:tcPr>
            <w:tcW w:w="1712" w:type="dxa"/>
            <w:tcBorders>
              <w:tl2br w:val="nil"/>
              <w:tr2bl w:val="nil"/>
            </w:tcBorders>
            <w:shd w:val="clear" w:color="auto" w:fill="auto"/>
          </w:tcPr>
          <w:p>
            <w:pPr>
              <w:spacing w:line="259" w:lineRule="auto"/>
              <w:ind w:right="106"/>
              <w:jc w:val="center"/>
              <w:rPr>
                <w:color w:val="auto"/>
                <w:szCs w:val="21"/>
              </w:rPr>
            </w:pPr>
            <w:r>
              <w:rPr>
                <w:color w:val="auto"/>
                <w:szCs w:val="21"/>
              </w:rPr>
              <w:t xml:space="preserve">Ⅳ </w:t>
            </w:r>
          </w:p>
        </w:tc>
        <w:tc>
          <w:tcPr>
            <w:tcW w:w="1584" w:type="dxa"/>
            <w:tcBorders>
              <w:tl2br w:val="nil"/>
              <w:tr2bl w:val="nil"/>
            </w:tcBorders>
            <w:shd w:val="clear" w:color="auto" w:fill="auto"/>
          </w:tcPr>
          <w:p>
            <w:pPr>
              <w:spacing w:line="259" w:lineRule="auto"/>
              <w:ind w:right="110"/>
              <w:jc w:val="center"/>
              <w:rPr>
                <w:color w:val="auto"/>
                <w:szCs w:val="21"/>
              </w:rPr>
            </w:pPr>
            <w:r>
              <w:rPr>
                <w:color w:val="auto"/>
                <w:szCs w:val="21"/>
              </w:rPr>
              <w:t xml:space="preserve">Ⅲ </w:t>
            </w:r>
          </w:p>
        </w:tc>
        <w:tc>
          <w:tcPr>
            <w:tcW w:w="1581" w:type="dxa"/>
            <w:tcBorders>
              <w:tl2br w:val="nil"/>
              <w:tr2bl w:val="nil"/>
            </w:tcBorders>
            <w:shd w:val="clear" w:color="auto" w:fill="auto"/>
          </w:tcPr>
          <w:p>
            <w:pPr>
              <w:spacing w:line="259" w:lineRule="auto"/>
              <w:ind w:right="109"/>
              <w:jc w:val="center"/>
              <w:rPr>
                <w:color w:val="auto"/>
                <w:szCs w:val="21"/>
              </w:rPr>
            </w:pPr>
            <w:r>
              <w:rPr>
                <w:color w:val="auto"/>
                <w:szCs w:val="21"/>
              </w:rPr>
              <w:t xml:space="preserve">Ⅲ </w:t>
            </w:r>
          </w:p>
        </w:tc>
        <w:tc>
          <w:tcPr>
            <w:tcW w:w="1609" w:type="dxa"/>
            <w:tcBorders>
              <w:tl2br w:val="nil"/>
              <w:tr2bl w:val="nil"/>
            </w:tcBorders>
            <w:shd w:val="clear" w:color="auto" w:fill="auto"/>
          </w:tcPr>
          <w:p>
            <w:pPr>
              <w:spacing w:line="259" w:lineRule="auto"/>
              <w:ind w:right="107"/>
              <w:jc w:val="center"/>
              <w:rPr>
                <w:color w:val="auto"/>
                <w:szCs w:val="21"/>
              </w:rPr>
            </w:pPr>
            <w:r>
              <w:rPr>
                <w:color w:val="auto"/>
                <w:szCs w:val="21"/>
              </w:rPr>
              <w:t xml:space="preserve">Ⅱ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2358" w:type="dxa"/>
            <w:tcBorders>
              <w:tl2br w:val="nil"/>
              <w:tr2bl w:val="nil"/>
            </w:tcBorders>
            <w:shd w:val="clear" w:color="auto" w:fill="auto"/>
          </w:tcPr>
          <w:p>
            <w:pPr>
              <w:spacing w:line="259" w:lineRule="auto"/>
              <w:ind w:left="98"/>
              <w:rPr>
                <w:color w:val="auto"/>
                <w:szCs w:val="21"/>
              </w:rPr>
            </w:pPr>
            <w:r>
              <w:rPr>
                <w:color w:val="auto"/>
                <w:szCs w:val="21"/>
              </w:rPr>
              <w:t xml:space="preserve">环境低度敏感区（E3） </w:t>
            </w:r>
          </w:p>
        </w:tc>
        <w:tc>
          <w:tcPr>
            <w:tcW w:w="1712" w:type="dxa"/>
            <w:tcBorders>
              <w:tl2br w:val="nil"/>
              <w:tr2bl w:val="nil"/>
            </w:tcBorders>
            <w:shd w:val="clear" w:color="auto" w:fill="auto"/>
          </w:tcPr>
          <w:p>
            <w:pPr>
              <w:spacing w:line="259" w:lineRule="auto"/>
              <w:ind w:right="106"/>
              <w:jc w:val="center"/>
              <w:rPr>
                <w:color w:val="auto"/>
                <w:szCs w:val="21"/>
              </w:rPr>
            </w:pPr>
            <w:r>
              <w:rPr>
                <w:color w:val="auto"/>
                <w:szCs w:val="21"/>
              </w:rPr>
              <w:t xml:space="preserve">Ⅲ </w:t>
            </w:r>
          </w:p>
        </w:tc>
        <w:tc>
          <w:tcPr>
            <w:tcW w:w="1584" w:type="dxa"/>
            <w:tcBorders>
              <w:tl2br w:val="nil"/>
              <w:tr2bl w:val="nil"/>
            </w:tcBorders>
            <w:shd w:val="clear" w:color="auto" w:fill="auto"/>
          </w:tcPr>
          <w:p>
            <w:pPr>
              <w:spacing w:line="259" w:lineRule="auto"/>
              <w:ind w:right="110"/>
              <w:jc w:val="center"/>
              <w:rPr>
                <w:color w:val="auto"/>
                <w:szCs w:val="21"/>
              </w:rPr>
            </w:pPr>
            <w:r>
              <w:rPr>
                <w:color w:val="auto"/>
                <w:szCs w:val="21"/>
              </w:rPr>
              <w:t xml:space="preserve">Ⅲ </w:t>
            </w:r>
          </w:p>
        </w:tc>
        <w:tc>
          <w:tcPr>
            <w:tcW w:w="1581" w:type="dxa"/>
            <w:tcBorders>
              <w:tl2br w:val="nil"/>
              <w:tr2bl w:val="nil"/>
            </w:tcBorders>
            <w:shd w:val="clear" w:color="auto" w:fill="auto"/>
          </w:tcPr>
          <w:p>
            <w:pPr>
              <w:spacing w:line="259" w:lineRule="auto"/>
              <w:ind w:right="109"/>
              <w:jc w:val="center"/>
              <w:rPr>
                <w:color w:val="auto"/>
                <w:szCs w:val="21"/>
              </w:rPr>
            </w:pPr>
            <w:r>
              <w:rPr>
                <w:color w:val="auto"/>
                <w:szCs w:val="21"/>
              </w:rPr>
              <w:t xml:space="preserve">Ⅱ </w:t>
            </w:r>
          </w:p>
        </w:tc>
        <w:tc>
          <w:tcPr>
            <w:tcW w:w="1609" w:type="dxa"/>
            <w:tcBorders>
              <w:tl2br w:val="nil"/>
              <w:tr2bl w:val="nil"/>
            </w:tcBorders>
            <w:shd w:val="clear" w:color="auto" w:fill="auto"/>
          </w:tcPr>
          <w:p>
            <w:pPr>
              <w:spacing w:line="259" w:lineRule="auto"/>
              <w:ind w:right="107"/>
              <w:jc w:val="center"/>
              <w:rPr>
                <w:color w:val="auto"/>
                <w:szCs w:val="21"/>
              </w:rPr>
            </w:pPr>
            <w:r>
              <w:rPr>
                <w:color w:val="auto"/>
                <w:szCs w:val="21"/>
              </w:rPr>
              <w:t xml:space="preserve">Ⅰ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6" w:space="0"/>
          </w:tblBorders>
          <w:tblCellMar>
            <w:top w:w="59" w:type="dxa"/>
            <w:left w:w="107" w:type="dxa"/>
            <w:bottom w:w="0" w:type="dxa"/>
            <w:right w:w="0" w:type="dxa"/>
          </w:tblCellMar>
        </w:tblPrEx>
        <w:trPr>
          <w:trHeight w:val="397" w:hRule="atLeast"/>
        </w:trPr>
        <w:tc>
          <w:tcPr>
            <w:tcW w:w="8844" w:type="dxa"/>
            <w:gridSpan w:val="5"/>
            <w:tcBorders>
              <w:tl2br w:val="nil"/>
              <w:tr2bl w:val="nil"/>
            </w:tcBorders>
            <w:shd w:val="clear" w:color="auto" w:fill="auto"/>
          </w:tcPr>
          <w:p>
            <w:pPr>
              <w:spacing w:after="160" w:line="259" w:lineRule="auto"/>
              <w:rPr>
                <w:color w:val="auto"/>
                <w:szCs w:val="21"/>
              </w:rPr>
            </w:pPr>
            <w:r>
              <w:rPr>
                <w:color w:val="auto"/>
                <w:szCs w:val="21"/>
              </w:rPr>
              <w:t>注：Ⅳ</w:t>
            </w:r>
            <w:r>
              <w:rPr>
                <w:color w:val="auto"/>
                <w:szCs w:val="21"/>
                <w:vertAlign w:val="superscript"/>
              </w:rPr>
              <w:t>+</w:t>
            </w:r>
            <w:r>
              <w:rPr>
                <w:color w:val="auto"/>
                <w:szCs w:val="21"/>
              </w:rPr>
              <w:t xml:space="preserve">为极高环境风险。 </w:t>
            </w:r>
          </w:p>
        </w:tc>
      </w:tr>
    </w:tbl>
    <w:p>
      <w:pPr>
        <w:adjustRightInd w:val="0"/>
        <w:snapToGrid w:val="0"/>
        <w:spacing w:line="360" w:lineRule="auto"/>
        <w:ind w:firstLine="480" w:firstLineChars="200"/>
        <w:rPr>
          <w:color w:val="auto"/>
          <w:sz w:val="24"/>
        </w:rPr>
      </w:pPr>
      <w:r>
        <w:rPr>
          <w:rFonts w:hint="eastAsia"/>
          <w:color w:val="auto"/>
          <w:sz w:val="24"/>
        </w:rPr>
        <w:t>参见《建设项目环境风险评价技术导则》（HJ169-2018）附录B确定本项目危险物质的临界量，定量分析危险物质数量与临界量的比值（Q）和所属行业及生产工艺特点（M），按《建设项目环境风险评价技术导则》（HJ169-2018）附录C对危险物质及工艺系统危险性（P）等级进行判断。</w:t>
      </w:r>
    </w:p>
    <w:p>
      <w:pPr>
        <w:adjustRightInd w:val="0"/>
        <w:snapToGrid w:val="0"/>
        <w:spacing w:line="360" w:lineRule="auto"/>
        <w:ind w:firstLine="480" w:firstLineChars="200"/>
        <w:rPr>
          <w:color w:val="auto"/>
          <w:sz w:val="24"/>
        </w:rPr>
      </w:pPr>
      <w:r>
        <w:rPr>
          <w:rFonts w:hint="eastAsia"/>
          <w:color w:val="auto"/>
          <w:sz w:val="24"/>
        </w:rPr>
        <w:t>计算所涉及的每种危险物质在厂界内的最大存在总量与其在《建设项目环境风险评价技术导则》（HJ169-2018）附录B中对应临界量的比值Q。当存在多种危险物质时，按下式计算物质总量与其临界量比值（Q）：</w:t>
      </w:r>
      <w:r>
        <w:rPr>
          <w:color w:val="auto"/>
          <w:sz w:val="24"/>
        </w:rPr>
        <w:t xml:space="preserve"> </w:t>
      </w:r>
    </w:p>
    <w:p>
      <w:pPr>
        <w:pStyle w:val="32"/>
        <w:spacing w:line="360" w:lineRule="auto"/>
        <w:jc w:val="center"/>
        <w:rPr>
          <w:color w:val="auto"/>
        </w:rPr>
      </w:pPr>
      <w:r>
        <w:rPr>
          <w:color w:val="auto"/>
          <w:position w:val="-30"/>
        </w:rPr>
        <w:object>
          <v:shape id="_x0000_i1033" o:spt="75" type="#_x0000_t75" style="height:33.75pt;width:101.2pt;" o:ole="t" filled="f" o:preferrelative="t" stroked="f" coordsize="21600,21600">
            <v:path/>
            <v:fill on="f" focussize="0,0"/>
            <v:stroke on="f"/>
            <v:imagedata r:id="rId34" o:title=""/>
            <o:lock v:ext="edit" aspectratio="t"/>
            <w10:wrap type="none"/>
            <w10:anchorlock/>
          </v:shape>
          <o:OLEObject Type="Embed" ProgID="Equation.3" ShapeID="_x0000_i1033" DrawAspect="Content" ObjectID="_1468075733" r:id="rId100">
            <o:LockedField>false</o:LockedField>
          </o:OLEObject>
        </w:object>
      </w:r>
    </w:p>
    <w:p>
      <w:pPr>
        <w:spacing w:line="360" w:lineRule="auto"/>
        <w:rPr>
          <w:color w:val="auto"/>
          <w:sz w:val="24"/>
        </w:rPr>
      </w:pPr>
      <w:r>
        <w:rPr>
          <w:color w:val="auto"/>
          <w:sz w:val="24"/>
        </w:rPr>
        <w:t>式中：q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——每种危险物质的最大存在总量，t；</w:t>
      </w:r>
    </w:p>
    <w:p>
      <w:pPr>
        <w:spacing w:line="360" w:lineRule="auto"/>
        <w:ind w:firstLine="480" w:firstLineChars="200"/>
        <w:rPr>
          <w:color w:val="auto"/>
          <w:sz w:val="24"/>
        </w:rPr>
      </w:pPr>
      <w:r>
        <w:rPr>
          <w:color w:val="auto"/>
          <w:sz w:val="24"/>
        </w:rPr>
        <w:t xml:space="preserve">      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——每种危险物质的临界量，t。</w:t>
      </w:r>
    </w:p>
    <w:p>
      <w:pPr>
        <w:spacing w:line="360" w:lineRule="auto"/>
        <w:rPr>
          <w:color w:val="auto"/>
          <w:sz w:val="24"/>
        </w:rPr>
      </w:pPr>
      <w:r>
        <w:rPr>
          <w:color w:val="auto"/>
          <w:sz w:val="24"/>
        </w:rPr>
        <w:t>当Q＜1时，该项目环境风险潜势为Ⅰ。</w:t>
      </w:r>
    </w:p>
    <w:p>
      <w:pPr>
        <w:pStyle w:val="32"/>
        <w:spacing w:line="360" w:lineRule="auto"/>
        <w:rPr>
          <w:color w:val="auto"/>
        </w:rPr>
      </w:pPr>
      <w:r>
        <w:rPr>
          <w:color w:val="auto"/>
        </w:rPr>
        <w:t>当Q≥1时，将Q值划分为：（1）1≤Q＜10；（2）10≤Q＜100；（3）Q≥100。</w:t>
      </w:r>
    </w:p>
    <w:p>
      <w:pPr>
        <w:adjustRightInd w:val="0"/>
        <w:snapToGrid w:val="0"/>
        <w:spacing w:line="360" w:lineRule="auto"/>
        <w:ind w:firstLine="480" w:firstLineChars="200"/>
        <w:rPr>
          <w:color w:val="auto"/>
          <w:sz w:val="24"/>
        </w:rPr>
      </w:pPr>
      <w:r>
        <w:rPr>
          <w:color w:val="auto"/>
          <w:sz w:val="24"/>
        </w:rPr>
        <w:t xml:space="preserve">本项目原材料存储量与临界量比值（Q）判定结果详见表6.1-2。 </w:t>
      </w:r>
    </w:p>
    <w:p>
      <w:pPr>
        <w:adjustRightInd w:val="0"/>
        <w:snapToGrid w:val="0"/>
        <w:spacing w:line="360" w:lineRule="auto"/>
        <w:ind w:firstLine="422" w:firstLineChars="200"/>
        <w:jc w:val="center"/>
        <w:rPr>
          <w:b/>
          <w:color w:val="auto"/>
          <w:szCs w:val="21"/>
        </w:rPr>
      </w:pPr>
      <w:r>
        <w:rPr>
          <w:b/>
          <w:color w:val="auto"/>
          <w:szCs w:val="21"/>
        </w:rPr>
        <w:t>表</w:t>
      </w:r>
      <w:r>
        <w:rPr>
          <w:rFonts w:hint="eastAsia"/>
          <w:b/>
          <w:color w:val="auto"/>
          <w:szCs w:val="21"/>
        </w:rPr>
        <w:t xml:space="preserve">7.2-2  </w:t>
      </w:r>
      <w:r>
        <w:rPr>
          <w:b/>
          <w:color w:val="auto"/>
          <w:szCs w:val="21"/>
        </w:rPr>
        <w:t>项目主要原辅材料重大危险源判定一览表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2491"/>
        <w:gridCol w:w="2096"/>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snapToGrid w:val="0"/>
              <w:jc w:val="center"/>
              <w:rPr>
                <w:bCs/>
                <w:color w:val="auto"/>
                <w:szCs w:val="21"/>
              </w:rPr>
            </w:pPr>
            <w:r>
              <w:rPr>
                <w:bCs/>
                <w:color w:val="auto"/>
                <w:szCs w:val="21"/>
              </w:rPr>
              <w:t>危险物质</w:t>
            </w:r>
          </w:p>
        </w:tc>
        <w:tc>
          <w:tcPr>
            <w:tcW w:w="2491" w:type="dxa"/>
            <w:vAlign w:val="center"/>
          </w:tcPr>
          <w:p>
            <w:pPr>
              <w:snapToGrid w:val="0"/>
              <w:jc w:val="center"/>
              <w:rPr>
                <w:bCs/>
                <w:color w:val="auto"/>
                <w:szCs w:val="21"/>
              </w:rPr>
            </w:pPr>
            <w:r>
              <w:rPr>
                <w:bCs/>
                <w:color w:val="auto"/>
                <w:szCs w:val="21"/>
              </w:rPr>
              <w:t>最大储存量（吨）</w:t>
            </w:r>
          </w:p>
        </w:tc>
        <w:tc>
          <w:tcPr>
            <w:tcW w:w="2096" w:type="dxa"/>
            <w:vAlign w:val="center"/>
          </w:tcPr>
          <w:p>
            <w:pPr>
              <w:snapToGrid w:val="0"/>
              <w:jc w:val="center"/>
              <w:rPr>
                <w:bCs/>
                <w:color w:val="auto"/>
                <w:szCs w:val="21"/>
              </w:rPr>
            </w:pPr>
            <w:r>
              <w:rPr>
                <w:bCs/>
                <w:color w:val="auto"/>
                <w:szCs w:val="21"/>
              </w:rPr>
              <w:t>临界量（吨）</w:t>
            </w:r>
          </w:p>
        </w:tc>
        <w:tc>
          <w:tcPr>
            <w:tcW w:w="2843" w:type="dxa"/>
            <w:vAlign w:val="center"/>
          </w:tcPr>
          <w:p>
            <w:pPr>
              <w:snapToGrid w:val="0"/>
              <w:jc w:val="center"/>
              <w:rPr>
                <w:bCs/>
                <w:color w:val="auto"/>
                <w:szCs w:val="21"/>
              </w:rPr>
            </w:pPr>
            <w:r>
              <w:rPr>
                <w:bCs/>
                <w:color w:val="auto"/>
                <w:szCs w:val="21"/>
              </w:rPr>
              <w:t>物质总量与临界量比值Q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snapToGrid w:val="0"/>
              <w:jc w:val="center"/>
              <w:rPr>
                <w:bCs/>
                <w:color w:val="auto"/>
                <w:kern w:val="0"/>
                <w:szCs w:val="21"/>
                <w:lang w:bidi="ar"/>
              </w:rPr>
            </w:pPr>
            <w:r>
              <w:rPr>
                <w:bCs/>
                <w:color w:val="auto"/>
                <w:kern w:val="0"/>
                <w:szCs w:val="21"/>
                <w:lang w:bidi="ar"/>
              </w:rPr>
              <w:t>石油沥青</w:t>
            </w:r>
          </w:p>
        </w:tc>
        <w:tc>
          <w:tcPr>
            <w:tcW w:w="2491" w:type="dxa"/>
            <w:vAlign w:val="center"/>
          </w:tcPr>
          <w:p>
            <w:pPr>
              <w:widowControl/>
              <w:jc w:val="center"/>
              <w:textAlignment w:val="center"/>
              <w:rPr>
                <w:bCs/>
                <w:color w:val="auto"/>
                <w:szCs w:val="21"/>
              </w:rPr>
            </w:pPr>
            <w:r>
              <w:rPr>
                <w:bCs/>
                <w:color w:val="auto"/>
                <w:kern w:val="0"/>
                <w:szCs w:val="21"/>
                <w:lang w:bidi="ar"/>
              </w:rPr>
              <w:t>100</w:t>
            </w:r>
          </w:p>
        </w:tc>
        <w:tc>
          <w:tcPr>
            <w:tcW w:w="2096" w:type="dxa"/>
            <w:vAlign w:val="center"/>
          </w:tcPr>
          <w:p>
            <w:pPr>
              <w:widowControl/>
              <w:jc w:val="center"/>
              <w:textAlignment w:val="center"/>
              <w:rPr>
                <w:bCs/>
                <w:color w:val="auto"/>
                <w:szCs w:val="21"/>
              </w:rPr>
            </w:pPr>
            <w:r>
              <w:rPr>
                <w:bCs/>
                <w:color w:val="auto"/>
                <w:kern w:val="0"/>
                <w:szCs w:val="21"/>
                <w:lang w:bidi="ar"/>
              </w:rPr>
              <w:t>2500</w:t>
            </w:r>
          </w:p>
        </w:tc>
        <w:tc>
          <w:tcPr>
            <w:tcW w:w="2843" w:type="dxa"/>
            <w:vAlign w:val="center"/>
          </w:tcPr>
          <w:p>
            <w:pPr>
              <w:widowControl/>
              <w:jc w:val="center"/>
              <w:textAlignment w:val="center"/>
              <w:rPr>
                <w:bCs/>
                <w:color w:val="auto"/>
                <w:szCs w:val="21"/>
              </w:rPr>
            </w:pPr>
            <w:r>
              <w:rPr>
                <w:bCs/>
                <w:color w:val="auto"/>
                <w:kern w:val="0"/>
                <w:szCs w:val="21"/>
                <w:lang w:bidi="ar"/>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snapToGrid w:val="0"/>
              <w:jc w:val="center"/>
              <w:rPr>
                <w:bCs/>
                <w:color w:val="auto"/>
                <w:szCs w:val="21"/>
              </w:rPr>
            </w:pPr>
            <w:r>
              <w:rPr>
                <w:bCs/>
                <w:color w:val="auto"/>
                <w:kern w:val="0"/>
                <w:szCs w:val="21"/>
                <w:lang w:bidi="ar"/>
              </w:rPr>
              <w:t>软化油</w:t>
            </w:r>
          </w:p>
        </w:tc>
        <w:tc>
          <w:tcPr>
            <w:tcW w:w="2491" w:type="dxa"/>
            <w:vAlign w:val="center"/>
          </w:tcPr>
          <w:p>
            <w:pPr>
              <w:snapToGrid w:val="0"/>
              <w:jc w:val="center"/>
              <w:rPr>
                <w:bCs/>
                <w:color w:val="auto"/>
                <w:szCs w:val="21"/>
              </w:rPr>
            </w:pPr>
            <w:r>
              <w:rPr>
                <w:bCs/>
                <w:color w:val="auto"/>
                <w:szCs w:val="21"/>
              </w:rPr>
              <w:t>9.5</w:t>
            </w:r>
          </w:p>
        </w:tc>
        <w:tc>
          <w:tcPr>
            <w:tcW w:w="2096" w:type="dxa"/>
            <w:vAlign w:val="center"/>
          </w:tcPr>
          <w:p>
            <w:pPr>
              <w:snapToGrid w:val="0"/>
              <w:jc w:val="center"/>
              <w:rPr>
                <w:bCs/>
                <w:color w:val="auto"/>
                <w:szCs w:val="21"/>
              </w:rPr>
            </w:pPr>
            <w:r>
              <w:rPr>
                <w:bCs/>
                <w:color w:val="auto"/>
                <w:szCs w:val="21"/>
              </w:rPr>
              <w:t>2500</w:t>
            </w:r>
          </w:p>
        </w:tc>
        <w:tc>
          <w:tcPr>
            <w:tcW w:w="2843" w:type="dxa"/>
            <w:vAlign w:val="center"/>
          </w:tcPr>
          <w:p>
            <w:pPr>
              <w:widowControl/>
              <w:jc w:val="center"/>
              <w:textAlignment w:val="center"/>
              <w:rPr>
                <w:bCs/>
                <w:color w:val="auto"/>
                <w:szCs w:val="21"/>
              </w:rPr>
            </w:pPr>
            <w:r>
              <w:rPr>
                <w:bCs/>
                <w:color w:val="auto"/>
                <w:kern w:val="0"/>
                <w:szCs w:val="21"/>
                <w:lang w:bidi="ar"/>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pStyle w:val="48"/>
              <w:rPr>
                <w:bCs/>
                <w:color w:val="auto"/>
                <w:szCs w:val="21"/>
              </w:rPr>
            </w:pPr>
            <w:r>
              <w:rPr>
                <w:bCs/>
                <w:color w:val="auto"/>
                <w:szCs w:val="21"/>
              </w:rPr>
              <w:t>导热油</w:t>
            </w:r>
          </w:p>
        </w:tc>
        <w:tc>
          <w:tcPr>
            <w:tcW w:w="2491" w:type="dxa"/>
            <w:vAlign w:val="center"/>
          </w:tcPr>
          <w:p>
            <w:pPr>
              <w:snapToGrid w:val="0"/>
              <w:jc w:val="center"/>
              <w:rPr>
                <w:bCs/>
                <w:color w:val="auto"/>
                <w:szCs w:val="21"/>
              </w:rPr>
            </w:pPr>
            <w:r>
              <w:rPr>
                <w:bCs/>
                <w:color w:val="auto"/>
                <w:szCs w:val="21"/>
              </w:rPr>
              <w:t>0.5</w:t>
            </w:r>
          </w:p>
        </w:tc>
        <w:tc>
          <w:tcPr>
            <w:tcW w:w="2096" w:type="dxa"/>
            <w:vAlign w:val="center"/>
          </w:tcPr>
          <w:p>
            <w:pPr>
              <w:snapToGrid w:val="0"/>
              <w:jc w:val="center"/>
              <w:rPr>
                <w:bCs/>
                <w:color w:val="auto"/>
                <w:szCs w:val="21"/>
              </w:rPr>
            </w:pPr>
            <w:r>
              <w:rPr>
                <w:bCs/>
                <w:color w:val="auto"/>
                <w:szCs w:val="21"/>
              </w:rPr>
              <w:t>2500</w:t>
            </w:r>
          </w:p>
        </w:tc>
        <w:tc>
          <w:tcPr>
            <w:tcW w:w="2843" w:type="dxa"/>
            <w:vAlign w:val="center"/>
          </w:tcPr>
          <w:p>
            <w:pPr>
              <w:widowControl/>
              <w:jc w:val="center"/>
              <w:textAlignment w:val="center"/>
              <w:rPr>
                <w:bCs/>
                <w:color w:val="auto"/>
                <w:szCs w:val="21"/>
              </w:rPr>
            </w:pPr>
            <w:r>
              <w:rPr>
                <w:bCs/>
                <w:color w:val="auto"/>
                <w:kern w:val="0"/>
                <w:szCs w:val="21"/>
                <w:lang w:bidi="ar"/>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pStyle w:val="48"/>
              <w:rPr>
                <w:bCs/>
                <w:color w:val="auto"/>
                <w:szCs w:val="21"/>
              </w:rPr>
            </w:pPr>
            <w:r>
              <w:rPr>
                <w:rFonts w:hint="eastAsia"/>
                <w:bCs/>
                <w:color w:val="auto"/>
                <w:szCs w:val="21"/>
              </w:rPr>
              <w:t>润滑油</w:t>
            </w:r>
          </w:p>
        </w:tc>
        <w:tc>
          <w:tcPr>
            <w:tcW w:w="2491" w:type="dxa"/>
            <w:vAlign w:val="center"/>
          </w:tcPr>
          <w:p>
            <w:pPr>
              <w:snapToGrid w:val="0"/>
              <w:jc w:val="center"/>
              <w:rPr>
                <w:bCs/>
                <w:color w:val="auto"/>
                <w:szCs w:val="21"/>
              </w:rPr>
            </w:pPr>
            <w:r>
              <w:rPr>
                <w:bCs/>
                <w:color w:val="auto"/>
                <w:szCs w:val="21"/>
              </w:rPr>
              <w:t>0.04</w:t>
            </w:r>
          </w:p>
        </w:tc>
        <w:tc>
          <w:tcPr>
            <w:tcW w:w="2096" w:type="dxa"/>
            <w:vAlign w:val="center"/>
          </w:tcPr>
          <w:p>
            <w:pPr>
              <w:snapToGrid w:val="0"/>
              <w:jc w:val="center"/>
              <w:rPr>
                <w:bCs/>
                <w:color w:val="auto"/>
                <w:szCs w:val="21"/>
              </w:rPr>
            </w:pPr>
            <w:r>
              <w:rPr>
                <w:bCs/>
                <w:color w:val="auto"/>
                <w:szCs w:val="21"/>
              </w:rPr>
              <w:t>2500</w:t>
            </w:r>
          </w:p>
        </w:tc>
        <w:tc>
          <w:tcPr>
            <w:tcW w:w="2843" w:type="dxa"/>
            <w:vAlign w:val="center"/>
          </w:tcPr>
          <w:p>
            <w:pPr>
              <w:widowControl/>
              <w:jc w:val="center"/>
              <w:textAlignment w:val="center"/>
              <w:rPr>
                <w:bCs/>
                <w:color w:val="auto"/>
                <w:szCs w:val="21"/>
              </w:rPr>
            </w:pPr>
            <w:r>
              <w:rPr>
                <w:bCs/>
                <w:color w:val="auto"/>
                <w:kern w:val="0"/>
                <w:szCs w:val="21"/>
                <w:lang w:bidi="ar"/>
              </w:rPr>
              <w:t>0.000016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snapToGrid w:val="0"/>
              <w:jc w:val="center"/>
              <w:rPr>
                <w:bCs/>
                <w:color w:val="auto"/>
                <w:szCs w:val="21"/>
              </w:rPr>
            </w:pPr>
            <w:r>
              <w:rPr>
                <w:rFonts w:hint="eastAsia"/>
                <w:bCs/>
                <w:color w:val="auto"/>
                <w:szCs w:val="21"/>
              </w:rPr>
              <w:t>废矿物油</w:t>
            </w:r>
          </w:p>
        </w:tc>
        <w:tc>
          <w:tcPr>
            <w:tcW w:w="2491" w:type="dxa"/>
            <w:vAlign w:val="center"/>
          </w:tcPr>
          <w:p>
            <w:pPr>
              <w:snapToGrid w:val="0"/>
              <w:jc w:val="center"/>
              <w:rPr>
                <w:bCs/>
                <w:color w:val="auto"/>
                <w:szCs w:val="21"/>
              </w:rPr>
            </w:pPr>
            <w:r>
              <w:rPr>
                <w:rFonts w:hint="eastAsia"/>
                <w:bCs/>
                <w:color w:val="auto"/>
                <w:szCs w:val="21"/>
              </w:rPr>
              <w:t>1</w:t>
            </w:r>
            <w:r>
              <w:rPr>
                <w:bCs/>
                <w:color w:val="auto"/>
                <w:szCs w:val="21"/>
              </w:rPr>
              <w:t>.08</w:t>
            </w:r>
          </w:p>
        </w:tc>
        <w:tc>
          <w:tcPr>
            <w:tcW w:w="2096" w:type="dxa"/>
            <w:vAlign w:val="center"/>
          </w:tcPr>
          <w:p>
            <w:pPr>
              <w:snapToGrid w:val="0"/>
              <w:jc w:val="center"/>
              <w:rPr>
                <w:bCs/>
                <w:color w:val="auto"/>
                <w:szCs w:val="21"/>
              </w:rPr>
            </w:pPr>
            <w:r>
              <w:rPr>
                <w:bCs/>
                <w:color w:val="auto"/>
                <w:szCs w:val="21"/>
              </w:rPr>
              <w:t>2500</w:t>
            </w:r>
          </w:p>
        </w:tc>
        <w:tc>
          <w:tcPr>
            <w:tcW w:w="2843" w:type="dxa"/>
            <w:vAlign w:val="center"/>
          </w:tcPr>
          <w:p>
            <w:pPr>
              <w:widowControl/>
              <w:jc w:val="center"/>
              <w:textAlignment w:val="center"/>
              <w:rPr>
                <w:bCs/>
                <w:color w:val="auto"/>
                <w:szCs w:val="21"/>
              </w:rPr>
            </w:pPr>
            <w:r>
              <w:rPr>
                <w:bCs/>
                <w:color w:val="auto"/>
                <w:kern w:val="0"/>
                <w:szCs w:val="21"/>
                <w:lang w:bidi="ar"/>
              </w:rPr>
              <w:t>0.000</w:t>
            </w:r>
            <w:r>
              <w:rPr>
                <w:rFonts w:hint="eastAsia"/>
                <w:bCs/>
                <w:color w:val="auto"/>
                <w:kern w:val="0"/>
                <w:szCs w:val="21"/>
                <w:lang w:bidi="ar"/>
              </w:rPr>
              <w:t>4</w:t>
            </w:r>
            <w:r>
              <w:rPr>
                <w:bCs/>
                <w:color w:val="auto"/>
                <w:kern w:val="0"/>
                <w:szCs w:val="21"/>
                <w:lang w:bidi="ar"/>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8" w:type="dxa"/>
            <w:vAlign w:val="center"/>
          </w:tcPr>
          <w:p>
            <w:pPr>
              <w:snapToGrid w:val="0"/>
              <w:jc w:val="center"/>
              <w:rPr>
                <w:bCs/>
                <w:color w:val="auto"/>
                <w:szCs w:val="21"/>
              </w:rPr>
            </w:pPr>
            <w:r>
              <w:rPr>
                <w:bCs/>
                <w:color w:val="auto"/>
                <w:szCs w:val="21"/>
              </w:rPr>
              <w:t>合计</w:t>
            </w:r>
          </w:p>
        </w:tc>
        <w:tc>
          <w:tcPr>
            <w:tcW w:w="2491" w:type="dxa"/>
            <w:vAlign w:val="center"/>
          </w:tcPr>
          <w:p>
            <w:pPr>
              <w:snapToGrid w:val="0"/>
              <w:jc w:val="center"/>
              <w:rPr>
                <w:bCs/>
                <w:color w:val="auto"/>
                <w:szCs w:val="21"/>
              </w:rPr>
            </w:pPr>
            <w:r>
              <w:rPr>
                <w:bCs/>
                <w:color w:val="auto"/>
                <w:szCs w:val="21"/>
              </w:rPr>
              <w:t>/</w:t>
            </w:r>
          </w:p>
        </w:tc>
        <w:tc>
          <w:tcPr>
            <w:tcW w:w="2096" w:type="dxa"/>
            <w:vAlign w:val="center"/>
          </w:tcPr>
          <w:p>
            <w:pPr>
              <w:snapToGrid w:val="0"/>
              <w:jc w:val="center"/>
              <w:rPr>
                <w:bCs/>
                <w:color w:val="auto"/>
                <w:szCs w:val="21"/>
              </w:rPr>
            </w:pPr>
            <w:r>
              <w:rPr>
                <w:bCs/>
                <w:color w:val="auto"/>
                <w:szCs w:val="21"/>
              </w:rPr>
              <w:t>/</w:t>
            </w:r>
          </w:p>
        </w:tc>
        <w:tc>
          <w:tcPr>
            <w:tcW w:w="2843" w:type="dxa"/>
            <w:vAlign w:val="center"/>
          </w:tcPr>
          <w:p>
            <w:pPr>
              <w:snapToGrid w:val="0"/>
              <w:jc w:val="center"/>
              <w:rPr>
                <w:bCs/>
                <w:color w:val="auto"/>
                <w:szCs w:val="21"/>
              </w:rPr>
            </w:pPr>
            <w:r>
              <w:rPr>
                <w:bCs/>
                <w:color w:val="auto"/>
                <w:szCs w:val="21"/>
              </w:rPr>
              <w:t>0.044448</w:t>
            </w:r>
          </w:p>
        </w:tc>
      </w:tr>
    </w:tbl>
    <w:p>
      <w:pPr>
        <w:adjustRightInd w:val="0"/>
        <w:snapToGrid w:val="0"/>
        <w:spacing w:line="360" w:lineRule="auto"/>
        <w:ind w:firstLine="480" w:firstLineChars="200"/>
        <w:rPr>
          <w:color w:val="auto"/>
          <w:sz w:val="24"/>
        </w:rPr>
      </w:pPr>
      <w:r>
        <w:rPr>
          <w:color w:val="auto"/>
          <w:sz w:val="24"/>
        </w:rPr>
        <w:t>由上表可知，本项目危险物质总量与临界量比值Q=</w:t>
      </w:r>
      <w:r>
        <w:rPr>
          <w:bCs/>
          <w:color w:val="auto"/>
          <w:sz w:val="24"/>
        </w:rPr>
        <w:t>0.044448</w:t>
      </w:r>
      <w:r>
        <w:rPr>
          <w:color w:val="auto"/>
          <w:sz w:val="24"/>
        </w:rPr>
        <w:t>。根据《建设项目环境风险评价技术导则》（HJ169-2018）附录C，当Q＜1时，该项目环境风险潜势为Ⅰ级。</w:t>
      </w:r>
    </w:p>
    <w:p>
      <w:pPr>
        <w:spacing w:line="360" w:lineRule="auto"/>
        <w:outlineLvl w:val="1"/>
        <w:rPr>
          <w:b/>
          <w:color w:val="auto"/>
          <w:sz w:val="32"/>
          <w:szCs w:val="32"/>
        </w:rPr>
      </w:pPr>
      <w:bookmarkStart w:id="2558" w:name="_Toc29759450"/>
      <w:bookmarkStart w:id="2559" w:name="_Toc20511"/>
      <w:bookmarkStart w:id="2560" w:name="_Toc7571"/>
      <w:r>
        <w:rPr>
          <w:rFonts w:hint="eastAsia"/>
          <w:b/>
          <w:color w:val="auto"/>
          <w:sz w:val="32"/>
          <w:szCs w:val="32"/>
        </w:rPr>
        <w:t>7.3  环境风险评价工作分级划分</w:t>
      </w:r>
      <w:bookmarkEnd w:id="2558"/>
      <w:bookmarkEnd w:id="2559"/>
      <w:bookmarkEnd w:id="2560"/>
    </w:p>
    <w:p>
      <w:pPr>
        <w:adjustRightInd w:val="0"/>
        <w:snapToGrid w:val="0"/>
        <w:spacing w:line="360" w:lineRule="auto"/>
        <w:ind w:firstLine="480" w:firstLineChars="200"/>
        <w:rPr>
          <w:color w:val="auto"/>
          <w:sz w:val="24"/>
        </w:rPr>
      </w:pPr>
      <w:r>
        <w:rPr>
          <w:color w:val="auto"/>
          <w:sz w:val="24"/>
        </w:rPr>
        <w:t>依据《建设项目环境风险评价技术导则》（HJ169-2018），环境风险评价工作等级划分为一级、二级、三级。根据建设项目涉及的物质及工艺系统危险性和所在地的环境敏感性确定环境风险潜势，按照下表确定评价工作等级。</w:t>
      </w:r>
    </w:p>
    <w:p>
      <w:pPr>
        <w:adjustRightInd w:val="0"/>
        <w:snapToGrid w:val="0"/>
        <w:spacing w:line="360" w:lineRule="auto"/>
        <w:jc w:val="center"/>
        <w:rPr>
          <w:b/>
          <w:color w:val="auto"/>
        </w:rPr>
      </w:pPr>
    </w:p>
    <w:p>
      <w:pPr>
        <w:pStyle w:val="2"/>
        <w:ind w:firstLine="400"/>
        <w:rPr>
          <w:color w:val="auto"/>
        </w:rPr>
      </w:pPr>
    </w:p>
    <w:p>
      <w:pPr>
        <w:adjustRightInd w:val="0"/>
        <w:snapToGrid w:val="0"/>
        <w:spacing w:line="360" w:lineRule="auto"/>
        <w:jc w:val="center"/>
        <w:rPr>
          <w:b/>
          <w:color w:val="auto"/>
        </w:rPr>
      </w:pPr>
    </w:p>
    <w:p>
      <w:pPr>
        <w:pStyle w:val="32"/>
        <w:rPr>
          <w:color w:val="auto"/>
        </w:rPr>
      </w:pPr>
    </w:p>
    <w:p>
      <w:pPr>
        <w:adjustRightInd w:val="0"/>
        <w:snapToGrid w:val="0"/>
        <w:spacing w:line="360" w:lineRule="auto"/>
        <w:jc w:val="center"/>
        <w:rPr>
          <w:b/>
          <w:color w:val="auto"/>
        </w:rPr>
      </w:pPr>
      <w:r>
        <w:rPr>
          <w:rFonts w:hint="eastAsia"/>
          <w:b/>
          <w:color w:val="auto"/>
        </w:rPr>
        <w:t>表7</w:t>
      </w:r>
      <w:r>
        <w:rPr>
          <w:b/>
          <w:color w:val="auto"/>
        </w:rPr>
        <w:t>.</w:t>
      </w:r>
      <w:r>
        <w:rPr>
          <w:rFonts w:hint="eastAsia"/>
          <w:b/>
          <w:color w:val="auto"/>
        </w:rPr>
        <w:t>2-3  评价工作等级划分</w:t>
      </w:r>
    </w:p>
    <w:tbl>
      <w:tblPr>
        <w:tblStyle w:val="23"/>
        <w:tblW w:w="8948"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59" w:type="dxa"/>
          <w:left w:w="109" w:type="dxa"/>
          <w:bottom w:w="0" w:type="dxa"/>
          <w:right w:w="107" w:type="dxa"/>
        </w:tblCellMar>
      </w:tblPr>
      <w:tblGrid>
        <w:gridCol w:w="1790"/>
        <w:gridCol w:w="1789"/>
        <w:gridCol w:w="1790"/>
        <w:gridCol w:w="1789"/>
        <w:gridCol w:w="1790"/>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59" w:type="dxa"/>
            <w:left w:w="109" w:type="dxa"/>
            <w:bottom w:w="0" w:type="dxa"/>
            <w:right w:w="107" w:type="dxa"/>
          </w:tblCellMar>
        </w:tblPrEx>
        <w:trPr>
          <w:trHeight w:val="335" w:hRule="atLeast"/>
        </w:trPr>
        <w:tc>
          <w:tcPr>
            <w:tcW w:w="1790" w:type="dxa"/>
            <w:tcBorders>
              <w:tl2br w:val="nil"/>
              <w:tr2bl w:val="nil"/>
            </w:tcBorders>
            <w:shd w:val="clear" w:color="auto" w:fill="auto"/>
          </w:tcPr>
          <w:p>
            <w:pPr>
              <w:spacing w:line="300" w:lineRule="auto"/>
              <w:rPr>
                <w:color w:val="auto"/>
                <w:szCs w:val="21"/>
              </w:rPr>
            </w:pPr>
            <w:r>
              <w:rPr>
                <w:color w:val="auto"/>
                <w:szCs w:val="21"/>
              </w:rPr>
              <w:t xml:space="preserve">环境风险潜势 </w:t>
            </w:r>
          </w:p>
        </w:tc>
        <w:tc>
          <w:tcPr>
            <w:tcW w:w="1789" w:type="dxa"/>
            <w:tcBorders>
              <w:tl2br w:val="nil"/>
              <w:tr2bl w:val="nil"/>
            </w:tcBorders>
            <w:shd w:val="clear" w:color="auto" w:fill="auto"/>
          </w:tcPr>
          <w:p>
            <w:pPr>
              <w:spacing w:line="300" w:lineRule="auto"/>
              <w:jc w:val="center"/>
              <w:rPr>
                <w:color w:val="auto"/>
                <w:szCs w:val="21"/>
              </w:rPr>
            </w:pPr>
            <w:r>
              <w:rPr>
                <w:color w:val="auto"/>
                <w:szCs w:val="21"/>
              </w:rPr>
              <w:t xml:space="preserve">Ⅳ、Ⅳ+ </w:t>
            </w:r>
          </w:p>
        </w:tc>
        <w:tc>
          <w:tcPr>
            <w:tcW w:w="1790" w:type="dxa"/>
            <w:tcBorders>
              <w:tl2br w:val="nil"/>
              <w:tr2bl w:val="nil"/>
            </w:tcBorders>
            <w:shd w:val="clear" w:color="auto" w:fill="auto"/>
          </w:tcPr>
          <w:p>
            <w:pPr>
              <w:spacing w:line="300" w:lineRule="auto"/>
              <w:jc w:val="center"/>
              <w:rPr>
                <w:color w:val="auto"/>
                <w:szCs w:val="21"/>
              </w:rPr>
            </w:pPr>
            <w:r>
              <w:rPr>
                <w:color w:val="auto"/>
                <w:szCs w:val="21"/>
              </w:rPr>
              <w:t xml:space="preserve">Ⅲ </w:t>
            </w:r>
          </w:p>
        </w:tc>
        <w:tc>
          <w:tcPr>
            <w:tcW w:w="1789" w:type="dxa"/>
            <w:tcBorders>
              <w:tl2br w:val="nil"/>
              <w:tr2bl w:val="nil"/>
            </w:tcBorders>
            <w:shd w:val="clear" w:color="auto" w:fill="auto"/>
          </w:tcPr>
          <w:p>
            <w:pPr>
              <w:spacing w:line="300" w:lineRule="auto"/>
              <w:jc w:val="center"/>
              <w:rPr>
                <w:color w:val="auto"/>
                <w:szCs w:val="21"/>
              </w:rPr>
            </w:pPr>
            <w:r>
              <w:rPr>
                <w:color w:val="auto"/>
                <w:szCs w:val="21"/>
              </w:rPr>
              <w:t xml:space="preserve">Ⅱ </w:t>
            </w:r>
          </w:p>
        </w:tc>
        <w:tc>
          <w:tcPr>
            <w:tcW w:w="1790" w:type="dxa"/>
            <w:tcBorders>
              <w:tl2br w:val="nil"/>
              <w:tr2bl w:val="nil"/>
            </w:tcBorders>
            <w:shd w:val="clear" w:color="auto" w:fill="auto"/>
          </w:tcPr>
          <w:p>
            <w:pPr>
              <w:spacing w:line="300" w:lineRule="auto"/>
              <w:jc w:val="center"/>
              <w:rPr>
                <w:color w:val="auto"/>
                <w:szCs w:val="21"/>
              </w:rPr>
            </w:pPr>
            <w:r>
              <w:rPr>
                <w:color w:val="auto"/>
                <w:szCs w:val="21"/>
              </w:rPr>
              <w:t xml:space="preserve">Ⅰ </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59" w:type="dxa"/>
            <w:left w:w="109" w:type="dxa"/>
            <w:bottom w:w="0" w:type="dxa"/>
            <w:right w:w="107" w:type="dxa"/>
          </w:tblCellMar>
        </w:tblPrEx>
        <w:trPr>
          <w:trHeight w:val="326" w:hRule="atLeast"/>
        </w:trPr>
        <w:tc>
          <w:tcPr>
            <w:tcW w:w="1790" w:type="dxa"/>
            <w:tcBorders>
              <w:tl2br w:val="nil"/>
              <w:tr2bl w:val="nil"/>
            </w:tcBorders>
            <w:shd w:val="clear" w:color="auto" w:fill="auto"/>
          </w:tcPr>
          <w:p>
            <w:pPr>
              <w:spacing w:line="300" w:lineRule="auto"/>
              <w:rPr>
                <w:color w:val="auto"/>
                <w:szCs w:val="21"/>
              </w:rPr>
            </w:pPr>
            <w:r>
              <w:rPr>
                <w:color w:val="auto"/>
                <w:szCs w:val="21"/>
              </w:rPr>
              <w:t xml:space="preserve">评价工作等级 </w:t>
            </w:r>
          </w:p>
        </w:tc>
        <w:tc>
          <w:tcPr>
            <w:tcW w:w="1789" w:type="dxa"/>
            <w:tcBorders>
              <w:tl2br w:val="nil"/>
              <w:tr2bl w:val="nil"/>
            </w:tcBorders>
            <w:shd w:val="clear" w:color="auto" w:fill="auto"/>
          </w:tcPr>
          <w:p>
            <w:pPr>
              <w:spacing w:line="300" w:lineRule="auto"/>
              <w:jc w:val="center"/>
              <w:rPr>
                <w:color w:val="auto"/>
                <w:szCs w:val="21"/>
              </w:rPr>
            </w:pPr>
            <w:r>
              <w:rPr>
                <w:color w:val="auto"/>
                <w:szCs w:val="21"/>
              </w:rPr>
              <w:t xml:space="preserve">一 </w:t>
            </w:r>
          </w:p>
        </w:tc>
        <w:tc>
          <w:tcPr>
            <w:tcW w:w="1790" w:type="dxa"/>
            <w:tcBorders>
              <w:tl2br w:val="nil"/>
              <w:tr2bl w:val="nil"/>
            </w:tcBorders>
            <w:shd w:val="clear" w:color="auto" w:fill="auto"/>
          </w:tcPr>
          <w:p>
            <w:pPr>
              <w:spacing w:line="300" w:lineRule="auto"/>
              <w:jc w:val="center"/>
              <w:rPr>
                <w:color w:val="auto"/>
                <w:szCs w:val="21"/>
              </w:rPr>
            </w:pPr>
            <w:r>
              <w:rPr>
                <w:color w:val="auto"/>
                <w:szCs w:val="21"/>
              </w:rPr>
              <w:t xml:space="preserve">二 </w:t>
            </w:r>
          </w:p>
        </w:tc>
        <w:tc>
          <w:tcPr>
            <w:tcW w:w="1789" w:type="dxa"/>
            <w:tcBorders>
              <w:tl2br w:val="nil"/>
              <w:tr2bl w:val="nil"/>
            </w:tcBorders>
            <w:shd w:val="clear" w:color="auto" w:fill="auto"/>
          </w:tcPr>
          <w:p>
            <w:pPr>
              <w:spacing w:line="300" w:lineRule="auto"/>
              <w:jc w:val="center"/>
              <w:rPr>
                <w:color w:val="auto"/>
                <w:szCs w:val="21"/>
              </w:rPr>
            </w:pPr>
            <w:r>
              <w:rPr>
                <w:color w:val="auto"/>
                <w:szCs w:val="21"/>
              </w:rPr>
              <w:t xml:space="preserve">三 </w:t>
            </w:r>
          </w:p>
        </w:tc>
        <w:tc>
          <w:tcPr>
            <w:tcW w:w="1790" w:type="dxa"/>
            <w:tcBorders>
              <w:tl2br w:val="nil"/>
              <w:tr2bl w:val="nil"/>
            </w:tcBorders>
            <w:shd w:val="clear" w:color="auto" w:fill="auto"/>
          </w:tcPr>
          <w:p>
            <w:pPr>
              <w:spacing w:line="300" w:lineRule="auto"/>
              <w:jc w:val="center"/>
              <w:rPr>
                <w:color w:val="auto"/>
                <w:szCs w:val="21"/>
              </w:rPr>
            </w:pPr>
            <w:r>
              <w:rPr>
                <w:color w:val="auto"/>
                <w:szCs w:val="21"/>
              </w:rPr>
              <w:t xml:space="preserve">简单分析 </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59" w:type="dxa"/>
            <w:left w:w="109" w:type="dxa"/>
            <w:bottom w:w="0" w:type="dxa"/>
            <w:right w:w="107" w:type="dxa"/>
          </w:tblCellMar>
        </w:tblPrEx>
        <w:trPr>
          <w:trHeight w:val="647" w:hRule="atLeast"/>
        </w:trPr>
        <w:tc>
          <w:tcPr>
            <w:tcW w:w="8948" w:type="dxa"/>
            <w:gridSpan w:val="5"/>
            <w:tcBorders>
              <w:tl2br w:val="nil"/>
              <w:tr2bl w:val="nil"/>
            </w:tcBorders>
            <w:shd w:val="clear" w:color="auto" w:fill="auto"/>
          </w:tcPr>
          <w:p>
            <w:pPr>
              <w:spacing w:line="300" w:lineRule="auto"/>
              <w:rPr>
                <w:color w:val="auto"/>
                <w:szCs w:val="21"/>
              </w:rPr>
            </w:pPr>
            <w:r>
              <w:rPr>
                <w:color w:val="auto"/>
                <w:szCs w:val="21"/>
              </w:rPr>
              <w:t xml:space="preserve">简单分析是相对于详细评价工作内容而言，在描述危险物质、环境影响途径、环境危害后果、风险防范措施等方面给出定性的说明。 </w:t>
            </w:r>
          </w:p>
        </w:tc>
      </w:tr>
    </w:tbl>
    <w:p>
      <w:pPr>
        <w:adjustRightInd w:val="0"/>
        <w:snapToGrid w:val="0"/>
        <w:spacing w:line="360" w:lineRule="auto"/>
        <w:ind w:firstLine="480" w:firstLineChars="200"/>
        <w:rPr>
          <w:color w:val="auto"/>
          <w:sz w:val="24"/>
        </w:rPr>
      </w:pPr>
      <w:r>
        <w:rPr>
          <w:rFonts w:hint="eastAsia"/>
          <w:color w:val="auto"/>
          <w:sz w:val="24"/>
        </w:rPr>
        <w:t>风险潜势为Ⅳ及以上，进行一级评价；风险潜势为Ⅲ，进行二级评价；风险潜势为Ⅱ，进行三级评价；风险潜势为Ⅰ，可开展简单分析。</w:t>
      </w:r>
    </w:p>
    <w:p>
      <w:pPr>
        <w:adjustRightInd w:val="0"/>
        <w:snapToGrid w:val="0"/>
        <w:spacing w:line="360" w:lineRule="auto"/>
        <w:ind w:firstLine="480" w:firstLineChars="200"/>
        <w:rPr>
          <w:color w:val="auto"/>
          <w:sz w:val="24"/>
        </w:rPr>
      </w:pPr>
      <w:r>
        <w:rPr>
          <w:rFonts w:hint="eastAsia"/>
          <w:color w:val="auto"/>
          <w:sz w:val="24"/>
        </w:rPr>
        <w:t>本项目环境风险潜势为Ⅰ，环境风险评价工作等级为简单分析。故不再分析所属行业级生产工艺特点（M）以及判断危险物质及工艺系统危险性（P）等级。</w:t>
      </w:r>
    </w:p>
    <w:p>
      <w:pPr>
        <w:spacing w:line="360" w:lineRule="auto"/>
        <w:outlineLvl w:val="1"/>
        <w:rPr>
          <w:b/>
          <w:color w:val="auto"/>
          <w:sz w:val="32"/>
          <w:szCs w:val="32"/>
        </w:rPr>
      </w:pPr>
      <w:bookmarkStart w:id="2561" w:name="_Toc22749"/>
      <w:bookmarkStart w:id="2562" w:name="_Toc29295"/>
      <w:bookmarkStart w:id="2563" w:name="_Toc29759448"/>
      <w:r>
        <w:rPr>
          <w:rFonts w:hint="eastAsia"/>
          <w:b/>
          <w:color w:val="auto"/>
          <w:sz w:val="32"/>
          <w:szCs w:val="32"/>
        </w:rPr>
        <w:t>7.4  环境敏感目标情况</w:t>
      </w:r>
      <w:bookmarkEnd w:id="2561"/>
      <w:bookmarkEnd w:id="2562"/>
      <w:bookmarkEnd w:id="2563"/>
    </w:p>
    <w:p>
      <w:pPr>
        <w:pStyle w:val="65"/>
        <w:tabs>
          <w:tab w:val="left" w:pos="5040"/>
        </w:tabs>
        <w:spacing w:line="480" w:lineRule="exact"/>
        <w:ind w:firstLine="480" w:firstLineChars="200"/>
        <w:rPr>
          <w:rFonts w:ascii="Times New Roman"/>
          <w:color w:val="auto"/>
          <w:kern w:val="2"/>
          <w:szCs w:val="24"/>
        </w:rPr>
      </w:pPr>
      <w:r>
        <w:rPr>
          <w:rFonts w:ascii="Times New Roman"/>
          <w:color w:val="auto"/>
          <w:szCs w:val="24"/>
        </w:rPr>
        <w:t>本</w:t>
      </w:r>
      <w:r>
        <w:rPr>
          <w:rFonts w:ascii="Times New Roman"/>
          <w:color w:val="auto"/>
          <w:kern w:val="2"/>
          <w:szCs w:val="24"/>
        </w:rPr>
        <w:t>项目主要环境保护目标为周边敏感点，具体如下表。</w:t>
      </w:r>
    </w:p>
    <w:p>
      <w:pPr>
        <w:pStyle w:val="65"/>
        <w:spacing w:line="480" w:lineRule="exact"/>
        <w:ind w:firstLine="482" w:firstLineChars="200"/>
        <w:jc w:val="center"/>
        <w:rPr>
          <w:rStyle w:val="28"/>
          <w:rFonts w:ascii="Times New Roman"/>
          <w:color w:val="auto"/>
        </w:rPr>
      </w:pPr>
      <w:r>
        <w:rPr>
          <w:rFonts w:ascii="Times New Roman"/>
          <w:b/>
          <w:bCs/>
          <w:color w:val="auto"/>
          <w:szCs w:val="24"/>
        </w:rPr>
        <w:t>表</w:t>
      </w:r>
      <w:r>
        <w:rPr>
          <w:rFonts w:hint="eastAsia" w:ascii="Times New Roman"/>
          <w:b/>
          <w:bCs/>
          <w:color w:val="auto"/>
          <w:szCs w:val="24"/>
        </w:rPr>
        <w:t xml:space="preserve">7.4-1  </w:t>
      </w:r>
      <w:r>
        <w:rPr>
          <w:rFonts w:ascii="Times New Roman"/>
          <w:b/>
          <w:bCs/>
          <w:color w:val="auto"/>
          <w:szCs w:val="24"/>
        </w:rPr>
        <w:t>项目所在区域主要环境保护目标</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42"/>
        <w:gridCol w:w="883"/>
        <w:gridCol w:w="757"/>
        <w:gridCol w:w="1043"/>
        <w:gridCol w:w="1320"/>
        <w:gridCol w:w="1035"/>
        <w:gridCol w:w="969"/>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restart"/>
            <w:tcBorders>
              <w:tl2br w:val="nil"/>
              <w:tr2bl w:val="nil"/>
            </w:tcBorders>
            <w:vAlign w:val="center"/>
          </w:tcPr>
          <w:p>
            <w:pPr>
              <w:jc w:val="center"/>
              <w:rPr>
                <w:color w:val="auto"/>
                <w:szCs w:val="21"/>
              </w:rPr>
            </w:pPr>
            <w:r>
              <w:rPr>
                <w:color w:val="auto"/>
                <w:szCs w:val="21"/>
              </w:rPr>
              <w:t>环境要素</w:t>
            </w:r>
          </w:p>
        </w:tc>
        <w:tc>
          <w:tcPr>
            <w:tcW w:w="1142" w:type="dxa"/>
            <w:vMerge w:val="restart"/>
            <w:tcBorders>
              <w:tl2br w:val="nil"/>
              <w:tr2bl w:val="nil"/>
            </w:tcBorders>
            <w:vAlign w:val="center"/>
          </w:tcPr>
          <w:p>
            <w:pPr>
              <w:jc w:val="center"/>
              <w:rPr>
                <w:color w:val="auto"/>
                <w:szCs w:val="21"/>
              </w:rPr>
            </w:pPr>
            <w:r>
              <w:rPr>
                <w:color w:val="auto"/>
                <w:szCs w:val="21"/>
              </w:rPr>
              <w:t>名称</w:t>
            </w:r>
          </w:p>
        </w:tc>
        <w:tc>
          <w:tcPr>
            <w:tcW w:w="1640" w:type="dxa"/>
            <w:gridSpan w:val="2"/>
            <w:tcBorders>
              <w:tl2br w:val="nil"/>
              <w:tr2bl w:val="nil"/>
            </w:tcBorders>
            <w:vAlign w:val="center"/>
          </w:tcPr>
          <w:p>
            <w:pPr>
              <w:jc w:val="center"/>
              <w:rPr>
                <w:color w:val="auto"/>
                <w:szCs w:val="21"/>
              </w:rPr>
            </w:pPr>
            <w:r>
              <w:rPr>
                <w:color w:val="auto"/>
                <w:szCs w:val="21"/>
              </w:rPr>
              <w:t>坐标/m</w:t>
            </w:r>
          </w:p>
        </w:tc>
        <w:tc>
          <w:tcPr>
            <w:tcW w:w="1043" w:type="dxa"/>
            <w:vMerge w:val="restart"/>
            <w:tcBorders>
              <w:tl2br w:val="nil"/>
              <w:tr2bl w:val="nil"/>
            </w:tcBorders>
            <w:vAlign w:val="center"/>
          </w:tcPr>
          <w:p>
            <w:pPr>
              <w:jc w:val="center"/>
              <w:rPr>
                <w:color w:val="auto"/>
                <w:szCs w:val="21"/>
              </w:rPr>
            </w:pPr>
            <w:r>
              <w:rPr>
                <w:color w:val="auto"/>
                <w:szCs w:val="21"/>
              </w:rPr>
              <w:t>保护对象</w:t>
            </w:r>
          </w:p>
        </w:tc>
        <w:tc>
          <w:tcPr>
            <w:tcW w:w="1320" w:type="dxa"/>
            <w:vMerge w:val="restart"/>
            <w:tcBorders>
              <w:tl2br w:val="nil"/>
              <w:tr2bl w:val="nil"/>
            </w:tcBorders>
            <w:vAlign w:val="center"/>
          </w:tcPr>
          <w:p>
            <w:pPr>
              <w:jc w:val="center"/>
              <w:rPr>
                <w:color w:val="auto"/>
                <w:szCs w:val="21"/>
              </w:rPr>
            </w:pPr>
            <w:r>
              <w:rPr>
                <w:color w:val="auto"/>
                <w:szCs w:val="21"/>
              </w:rPr>
              <w:t>保护内容</w:t>
            </w:r>
          </w:p>
        </w:tc>
        <w:tc>
          <w:tcPr>
            <w:tcW w:w="1035" w:type="dxa"/>
            <w:vMerge w:val="restart"/>
            <w:tcBorders>
              <w:tl2br w:val="nil"/>
              <w:tr2bl w:val="nil"/>
            </w:tcBorders>
            <w:vAlign w:val="center"/>
          </w:tcPr>
          <w:p>
            <w:pPr>
              <w:jc w:val="center"/>
              <w:rPr>
                <w:color w:val="auto"/>
                <w:szCs w:val="21"/>
              </w:rPr>
            </w:pPr>
            <w:r>
              <w:rPr>
                <w:color w:val="auto"/>
                <w:szCs w:val="21"/>
              </w:rPr>
              <w:t>环境功能区</w:t>
            </w:r>
          </w:p>
        </w:tc>
        <w:tc>
          <w:tcPr>
            <w:tcW w:w="969" w:type="dxa"/>
            <w:vMerge w:val="restart"/>
            <w:tcBorders>
              <w:tl2br w:val="nil"/>
              <w:tr2bl w:val="nil"/>
            </w:tcBorders>
            <w:vAlign w:val="center"/>
          </w:tcPr>
          <w:p>
            <w:pPr>
              <w:jc w:val="center"/>
              <w:rPr>
                <w:color w:val="auto"/>
                <w:szCs w:val="21"/>
              </w:rPr>
            </w:pPr>
            <w:r>
              <w:rPr>
                <w:color w:val="auto"/>
                <w:szCs w:val="21"/>
              </w:rPr>
              <w:t>相对厂址方位</w:t>
            </w:r>
          </w:p>
        </w:tc>
        <w:tc>
          <w:tcPr>
            <w:tcW w:w="980" w:type="dxa"/>
            <w:vMerge w:val="restart"/>
            <w:tcBorders>
              <w:tl2br w:val="nil"/>
              <w:tr2bl w:val="nil"/>
            </w:tcBorders>
            <w:vAlign w:val="center"/>
          </w:tcPr>
          <w:p>
            <w:pPr>
              <w:jc w:val="center"/>
              <w:rPr>
                <w:color w:val="auto"/>
                <w:szCs w:val="21"/>
              </w:rPr>
            </w:pPr>
            <w:r>
              <w:rPr>
                <w:color w:val="auto"/>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continue"/>
            <w:tcBorders>
              <w:tl2br w:val="nil"/>
              <w:tr2bl w:val="nil"/>
            </w:tcBorders>
            <w:vAlign w:val="center"/>
          </w:tcPr>
          <w:p>
            <w:pPr>
              <w:jc w:val="center"/>
              <w:rPr>
                <w:color w:val="auto"/>
                <w:szCs w:val="21"/>
              </w:rPr>
            </w:pPr>
          </w:p>
        </w:tc>
        <w:tc>
          <w:tcPr>
            <w:tcW w:w="1142" w:type="dxa"/>
            <w:vMerge w:val="continue"/>
            <w:tcBorders>
              <w:tl2br w:val="nil"/>
              <w:tr2bl w:val="nil"/>
            </w:tcBorders>
            <w:vAlign w:val="center"/>
          </w:tcPr>
          <w:p>
            <w:pPr>
              <w:jc w:val="center"/>
              <w:rPr>
                <w:color w:val="auto"/>
                <w:szCs w:val="21"/>
              </w:rPr>
            </w:pPr>
          </w:p>
        </w:tc>
        <w:tc>
          <w:tcPr>
            <w:tcW w:w="883" w:type="dxa"/>
            <w:tcBorders>
              <w:tl2br w:val="nil"/>
              <w:tr2bl w:val="nil"/>
            </w:tcBorders>
            <w:vAlign w:val="center"/>
          </w:tcPr>
          <w:p>
            <w:pPr>
              <w:jc w:val="center"/>
              <w:rPr>
                <w:color w:val="auto"/>
                <w:szCs w:val="21"/>
              </w:rPr>
            </w:pPr>
            <w:r>
              <w:rPr>
                <w:color w:val="auto"/>
                <w:szCs w:val="21"/>
              </w:rPr>
              <w:t>X</w:t>
            </w:r>
          </w:p>
        </w:tc>
        <w:tc>
          <w:tcPr>
            <w:tcW w:w="757" w:type="dxa"/>
            <w:tcBorders>
              <w:tl2br w:val="nil"/>
              <w:tr2bl w:val="nil"/>
            </w:tcBorders>
            <w:vAlign w:val="center"/>
          </w:tcPr>
          <w:p>
            <w:pPr>
              <w:jc w:val="center"/>
              <w:rPr>
                <w:color w:val="auto"/>
                <w:szCs w:val="21"/>
              </w:rPr>
            </w:pPr>
            <w:r>
              <w:rPr>
                <w:color w:val="auto"/>
                <w:szCs w:val="21"/>
              </w:rPr>
              <w:t>Y</w:t>
            </w:r>
          </w:p>
        </w:tc>
        <w:tc>
          <w:tcPr>
            <w:tcW w:w="1043" w:type="dxa"/>
            <w:vMerge w:val="continue"/>
            <w:tcBorders>
              <w:tl2br w:val="nil"/>
              <w:tr2bl w:val="nil"/>
            </w:tcBorders>
            <w:vAlign w:val="center"/>
          </w:tcPr>
          <w:p>
            <w:pPr>
              <w:jc w:val="center"/>
              <w:rPr>
                <w:color w:val="auto"/>
                <w:szCs w:val="21"/>
              </w:rPr>
            </w:pPr>
          </w:p>
        </w:tc>
        <w:tc>
          <w:tcPr>
            <w:tcW w:w="1320" w:type="dxa"/>
            <w:vMerge w:val="continue"/>
            <w:tcBorders>
              <w:tl2br w:val="nil"/>
              <w:tr2bl w:val="nil"/>
            </w:tcBorders>
            <w:vAlign w:val="center"/>
          </w:tcPr>
          <w:p>
            <w:pPr>
              <w:jc w:val="center"/>
              <w:rPr>
                <w:color w:val="auto"/>
                <w:szCs w:val="21"/>
              </w:rPr>
            </w:pPr>
          </w:p>
        </w:tc>
        <w:tc>
          <w:tcPr>
            <w:tcW w:w="1035" w:type="dxa"/>
            <w:vMerge w:val="continue"/>
            <w:tcBorders>
              <w:tl2br w:val="nil"/>
              <w:tr2bl w:val="nil"/>
            </w:tcBorders>
            <w:vAlign w:val="center"/>
          </w:tcPr>
          <w:p>
            <w:pPr>
              <w:jc w:val="center"/>
              <w:rPr>
                <w:color w:val="auto"/>
                <w:szCs w:val="21"/>
              </w:rPr>
            </w:pPr>
          </w:p>
        </w:tc>
        <w:tc>
          <w:tcPr>
            <w:tcW w:w="969" w:type="dxa"/>
            <w:vMerge w:val="continue"/>
            <w:tcBorders>
              <w:tl2br w:val="nil"/>
              <w:tr2bl w:val="nil"/>
            </w:tcBorders>
            <w:vAlign w:val="center"/>
          </w:tcPr>
          <w:p>
            <w:pPr>
              <w:jc w:val="center"/>
              <w:rPr>
                <w:color w:val="auto"/>
                <w:szCs w:val="21"/>
              </w:rPr>
            </w:pPr>
          </w:p>
        </w:tc>
        <w:tc>
          <w:tcPr>
            <w:tcW w:w="980"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restart"/>
            <w:tcBorders>
              <w:tl2br w:val="nil"/>
              <w:tr2bl w:val="nil"/>
            </w:tcBorders>
            <w:vAlign w:val="center"/>
          </w:tcPr>
          <w:p>
            <w:pPr>
              <w:jc w:val="center"/>
              <w:rPr>
                <w:color w:val="auto"/>
                <w:szCs w:val="21"/>
              </w:rPr>
            </w:pPr>
            <w:r>
              <w:rPr>
                <w:color w:val="auto"/>
                <w:szCs w:val="21"/>
              </w:rPr>
              <w:t>大气</w:t>
            </w: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沙步村</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-1048</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-216</w:t>
            </w:r>
          </w:p>
        </w:tc>
        <w:tc>
          <w:tcPr>
            <w:tcW w:w="1043" w:type="dxa"/>
            <w:tcBorders>
              <w:tl2br w:val="nil"/>
              <w:tr2bl w:val="nil"/>
            </w:tcBorders>
            <w:vAlign w:val="center"/>
          </w:tcPr>
          <w:p>
            <w:pPr>
              <w:adjustRightInd w:val="0"/>
              <w:snapToGrid w:val="0"/>
              <w:jc w:val="center"/>
              <w:rPr>
                <w:color w:val="auto"/>
                <w:szCs w:val="21"/>
              </w:rPr>
            </w:pPr>
            <w:r>
              <w:rPr>
                <w:color w:val="auto"/>
                <w:szCs w:val="21"/>
              </w:rPr>
              <w:t>行政村</w:t>
            </w:r>
          </w:p>
        </w:tc>
        <w:tc>
          <w:tcPr>
            <w:tcW w:w="1320" w:type="dxa"/>
            <w:tcBorders>
              <w:tl2br w:val="nil"/>
              <w:tr2bl w:val="nil"/>
            </w:tcBorders>
            <w:vAlign w:val="center"/>
          </w:tcPr>
          <w:p>
            <w:pPr>
              <w:adjustRightInd w:val="0"/>
              <w:snapToGrid w:val="0"/>
              <w:jc w:val="center"/>
              <w:rPr>
                <w:color w:val="auto"/>
                <w:szCs w:val="21"/>
              </w:rPr>
            </w:pPr>
            <w:r>
              <w:rPr>
                <w:color w:val="auto"/>
                <w:szCs w:val="21"/>
              </w:rPr>
              <w:t>约2400人</w:t>
            </w:r>
          </w:p>
        </w:tc>
        <w:tc>
          <w:tcPr>
            <w:tcW w:w="1035" w:type="dxa"/>
            <w:vMerge w:val="restart"/>
            <w:tcBorders>
              <w:tl2br w:val="nil"/>
              <w:tr2bl w:val="nil"/>
            </w:tcBorders>
            <w:vAlign w:val="center"/>
          </w:tcPr>
          <w:p>
            <w:pPr>
              <w:jc w:val="center"/>
              <w:rPr>
                <w:color w:val="auto"/>
                <w:szCs w:val="21"/>
              </w:rPr>
            </w:pPr>
            <w:r>
              <w:rPr>
                <w:color w:val="auto"/>
                <w:szCs w:val="21"/>
              </w:rPr>
              <w:t>环境</w:t>
            </w:r>
          </w:p>
          <w:p>
            <w:pPr>
              <w:jc w:val="center"/>
              <w:rPr>
                <w:color w:val="auto"/>
                <w:szCs w:val="21"/>
              </w:rPr>
            </w:pPr>
            <w:r>
              <w:rPr>
                <w:color w:val="auto"/>
                <w:szCs w:val="21"/>
              </w:rPr>
              <w:t>空气</w:t>
            </w:r>
          </w:p>
          <w:p>
            <w:pPr>
              <w:jc w:val="center"/>
              <w:rPr>
                <w:color w:val="auto"/>
                <w:szCs w:val="21"/>
              </w:rPr>
            </w:pPr>
            <w:r>
              <w:rPr>
                <w:color w:val="auto"/>
                <w:szCs w:val="21"/>
              </w:rPr>
              <w:t>二类区</w:t>
            </w:r>
          </w:p>
        </w:tc>
        <w:tc>
          <w:tcPr>
            <w:tcW w:w="969" w:type="dxa"/>
            <w:tcBorders>
              <w:tl2br w:val="nil"/>
              <w:tr2bl w:val="nil"/>
            </w:tcBorders>
            <w:vAlign w:val="center"/>
          </w:tcPr>
          <w:p>
            <w:pPr>
              <w:widowControl/>
              <w:jc w:val="center"/>
              <w:textAlignment w:val="center"/>
              <w:rPr>
                <w:color w:val="auto"/>
                <w:szCs w:val="21"/>
              </w:rPr>
            </w:pPr>
            <w:r>
              <w:rPr>
                <w:color w:val="auto"/>
                <w:kern w:val="0"/>
                <w:szCs w:val="21"/>
                <w:lang w:bidi="ar"/>
              </w:rPr>
              <w:t>西南</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1070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continue"/>
            <w:tcBorders>
              <w:tl2br w:val="nil"/>
              <w:tr2bl w:val="nil"/>
            </w:tcBorders>
            <w:vAlign w:val="center"/>
          </w:tcPr>
          <w:p>
            <w:pPr>
              <w:jc w:val="center"/>
              <w:rPr>
                <w:color w:val="auto"/>
                <w:szCs w:val="21"/>
              </w:rPr>
            </w:pP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界牌村</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-748</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382</w:t>
            </w:r>
          </w:p>
        </w:tc>
        <w:tc>
          <w:tcPr>
            <w:tcW w:w="1043" w:type="dxa"/>
            <w:tcBorders>
              <w:tl2br w:val="nil"/>
              <w:tr2bl w:val="nil"/>
            </w:tcBorders>
            <w:vAlign w:val="center"/>
          </w:tcPr>
          <w:p>
            <w:pPr>
              <w:adjustRightInd w:val="0"/>
              <w:snapToGrid w:val="0"/>
              <w:jc w:val="center"/>
              <w:rPr>
                <w:color w:val="auto"/>
                <w:szCs w:val="21"/>
              </w:rPr>
            </w:pPr>
            <w:r>
              <w:rPr>
                <w:color w:val="auto"/>
                <w:szCs w:val="21"/>
              </w:rPr>
              <w:t>行政村</w:t>
            </w:r>
          </w:p>
        </w:tc>
        <w:tc>
          <w:tcPr>
            <w:tcW w:w="1320" w:type="dxa"/>
            <w:tcBorders>
              <w:tl2br w:val="nil"/>
              <w:tr2bl w:val="nil"/>
            </w:tcBorders>
            <w:vAlign w:val="center"/>
          </w:tcPr>
          <w:p>
            <w:pPr>
              <w:adjustRightInd w:val="0"/>
              <w:snapToGrid w:val="0"/>
              <w:jc w:val="center"/>
              <w:rPr>
                <w:color w:val="auto"/>
                <w:szCs w:val="21"/>
              </w:rPr>
            </w:pPr>
            <w:r>
              <w:rPr>
                <w:color w:val="auto"/>
                <w:szCs w:val="21"/>
              </w:rPr>
              <w:t>约5050人</w:t>
            </w:r>
          </w:p>
        </w:tc>
        <w:tc>
          <w:tcPr>
            <w:tcW w:w="1035" w:type="dxa"/>
            <w:vMerge w:val="continue"/>
            <w:tcBorders>
              <w:tl2br w:val="nil"/>
              <w:tr2bl w:val="nil"/>
            </w:tcBorders>
            <w:vAlign w:val="center"/>
          </w:tcPr>
          <w:p>
            <w:pPr>
              <w:jc w:val="center"/>
              <w:rPr>
                <w:color w:val="auto"/>
                <w:szCs w:val="21"/>
              </w:rPr>
            </w:pPr>
          </w:p>
        </w:tc>
        <w:tc>
          <w:tcPr>
            <w:tcW w:w="969"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西北、</w:t>
            </w:r>
          </w:p>
          <w:p>
            <w:pPr>
              <w:widowControl/>
              <w:jc w:val="center"/>
              <w:textAlignment w:val="center"/>
              <w:rPr>
                <w:color w:val="auto"/>
                <w:szCs w:val="21"/>
              </w:rPr>
            </w:pPr>
            <w:r>
              <w:rPr>
                <w:color w:val="auto"/>
                <w:kern w:val="0"/>
                <w:szCs w:val="21"/>
                <w:lang w:bidi="ar"/>
              </w:rPr>
              <w:t>东北</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continue"/>
            <w:tcBorders>
              <w:tl2br w:val="nil"/>
              <w:tr2bl w:val="nil"/>
            </w:tcBorders>
            <w:vAlign w:val="center"/>
          </w:tcPr>
          <w:p>
            <w:pPr>
              <w:jc w:val="center"/>
              <w:rPr>
                <w:color w:val="auto"/>
                <w:szCs w:val="21"/>
              </w:rPr>
            </w:pP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舟山村</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1718</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2096</w:t>
            </w:r>
          </w:p>
        </w:tc>
        <w:tc>
          <w:tcPr>
            <w:tcW w:w="1043" w:type="dxa"/>
            <w:tcBorders>
              <w:tl2br w:val="nil"/>
              <w:tr2bl w:val="nil"/>
            </w:tcBorders>
            <w:vAlign w:val="center"/>
          </w:tcPr>
          <w:p>
            <w:pPr>
              <w:adjustRightInd w:val="0"/>
              <w:snapToGrid w:val="0"/>
              <w:jc w:val="center"/>
              <w:rPr>
                <w:color w:val="auto"/>
                <w:szCs w:val="21"/>
              </w:rPr>
            </w:pPr>
            <w:r>
              <w:rPr>
                <w:color w:val="auto"/>
                <w:szCs w:val="21"/>
              </w:rPr>
              <w:t>行政村</w:t>
            </w:r>
          </w:p>
        </w:tc>
        <w:tc>
          <w:tcPr>
            <w:tcW w:w="1320" w:type="dxa"/>
            <w:tcBorders>
              <w:tl2br w:val="nil"/>
              <w:tr2bl w:val="nil"/>
            </w:tcBorders>
            <w:vAlign w:val="center"/>
          </w:tcPr>
          <w:p>
            <w:pPr>
              <w:adjustRightInd w:val="0"/>
              <w:snapToGrid w:val="0"/>
              <w:jc w:val="center"/>
              <w:rPr>
                <w:color w:val="auto"/>
                <w:szCs w:val="21"/>
              </w:rPr>
            </w:pPr>
            <w:r>
              <w:rPr>
                <w:color w:val="auto"/>
                <w:szCs w:val="21"/>
              </w:rPr>
              <w:t>约3000人</w:t>
            </w:r>
          </w:p>
        </w:tc>
        <w:tc>
          <w:tcPr>
            <w:tcW w:w="1035" w:type="dxa"/>
            <w:vMerge w:val="continue"/>
            <w:tcBorders>
              <w:tl2br w:val="nil"/>
              <w:tr2bl w:val="nil"/>
            </w:tcBorders>
            <w:vAlign w:val="center"/>
          </w:tcPr>
          <w:p>
            <w:pPr>
              <w:jc w:val="center"/>
              <w:rPr>
                <w:color w:val="auto"/>
                <w:szCs w:val="21"/>
              </w:rPr>
            </w:pPr>
          </w:p>
        </w:tc>
        <w:tc>
          <w:tcPr>
            <w:tcW w:w="969" w:type="dxa"/>
            <w:tcBorders>
              <w:tl2br w:val="nil"/>
              <w:tr2bl w:val="nil"/>
            </w:tcBorders>
            <w:vAlign w:val="center"/>
          </w:tcPr>
          <w:p>
            <w:pPr>
              <w:widowControl/>
              <w:jc w:val="center"/>
              <w:textAlignment w:val="center"/>
              <w:rPr>
                <w:color w:val="auto"/>
                <w:szCs w:val="21"/>
              </w:rPr>
            </w:pPr>
            <w:r>
              <w:rPr>
                <w:color w:val="auto"/>
                <w:kern w:val="0"/>
                <w:szCs w:val="21"/>
                <w:lang w:bidi="ar"/>
              </w:rPr>
              <w:t>东</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2710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continue"/>
            <w:tcBorders>
              <w:tl2br w:val="nil"/>
              <w:tr2bl w:val="nil"/>
            </w:tcBorders>
            <w:vAlign w:val="center"/>
          </w:tcPr>
          <w:p>
            <w:pPr>
              <w:jc w:val="center"/>
              <w:rPr>
                <w:color w:val="auto"/>
                <w:szCs w:val="21"/>
              </w:rPr>
            </w:pP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岐山村</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-1352</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2291</w:t>
            </w:r>
          </w:p>
        </w:tc>
        <w:tc>
          <w:tcPr>
            <w:tcW w:w="1043" w:type="dxa"/>
            <w:tcBorders>
              <w:tl2br w:val="nil"/>
              <w:tr2bl w:val="nil"/>
            </w:tcBorders>
            <w:vAlign w:val="center"/>
          </w:tcPr>
          <w:p>
            <w:pPr>
              <w:adjustRightInd w:val="0"/>
              <w:snapToGrid w:val="0"/>
              <w:jc w:val="center"/>
              <w:rPr>
                <w:color w:val="auto"/>
                <w:szCs w:val="21"/>
              </w:rPr>
            </w:pPr>
            <w:r>
              <w:rPr>
                <w:color w:val="auto"/>
                <w:szCs w:val="21"/>
              </w:rPr>
              <w:t>行政村</w:t>
            </w:r>
          </w:p>
        </w:tc>
        <w:tc>
          <w:tcPr>
            <w:tcW w:w="1320" w:type="dxa"/>
            <w:tcBorders>
              <w:tl2br w:val="nil"/>
              <w:tr2bl w:val="nil"/>
            </w:tcBorders>
            <w:vAlign w:val="center"/>
          </w:tcPr>
          <w:p>
            <w:pPr>
              <w:adjustRightInd w:val="0"/>
              <w:snapToGrid w:val="0"/>
              <w:jc w:val="center"/>
              <w:rPr>
                <w:color w:val="auto"/>
                <w:szCs w:val="21"/>
              </w:rPr>
            </w:pPr>
            <w:r>
              <w:rPr>
                <w:color w:val="auto"/>
                <w:szCs w:val="21"/>
              </w:rPr>
              <w:t>约2200人</w:t>
            </w:r>
          </w:p>
        </w:tc>
        <w:tc>
          <w:tcPr>
            <w:tcW w:w="1035" w:type="dxa"/>
            <w:vMerge w:val="continue"/>
            <w:tcBorders>
              <w:tl2br w:val="nil"/>
              <w:tr2bl w:val="nil"/>
            </w:tcBorders>
            <w:vAlign w:val="center"/>
          </w:tcPr>
          <w:p>
            <w:pPr>
              <w:jc w:val="center"/>
              <w:rPr>
                <w:color w:val="auto"/>
                <w:szCs w:val="21"/>
              </w:rPr>
            </w:pPr>
          </w:p>
        </w:tc>
        <w:tc>
          <w:tcPr>
            <w:tcW w:w="969" w:type="dxa"/>
            <w:tcBorders>
              <w:tl2br w:val="nil"/>
              <w:tr2bl w:val="nil"/>
            </w:tcBorders>
            <w:vAlign w:val="center"/>
          </w:tcPr>
          <w:p>
            <w:pPr>
              <w:widowControl/>
              <w:jc w:val="center"/>
              <w:textAlignment w:val="center"/>
              <w:rPr>
                <w:color w:val="auto"/>
                <w:szCs w:val="21"/>
              </w:rPr>
            </w:pPr>
            <w:r>
              <w:rPr>
                <w:color w:val="auto"/>
                <w:kern w:val="0"/>
                <w:szCs w:val="21"/>
                <w:lang w:bidi="ar"/>
              </w:rPr>
              <w:t>西北</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2660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restart"/>
            <w:tcBorders>
              <w:tl2br w:val="nil"/>
              <w:tr2bl w:val="nil"/>
            </w:tcBorders>
            <w:vAlign w:val="center"/>
          </w:tcPr>
          <w:p>
            <w:pPr>
              <w:jc w:val="center"/>
              <w:rPr>
                <w:color w:val="auto"/>
                <w:szCs w:val="21"/>
              </w:rPr>
            </w:pPr>
            <w:r>
              <w:rPr>
                <w:color w:val="auto"/>
                <w:szCs w:val="21"/>
              </w:rPr>
              <w:t>地表水</w:t>
            </w: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北江</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-790</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1391</w:t>
            </w:r>
          </w:p>
        </w:tc>
        <w:tc>
          <w:tcPr>
            <w:tcW w:w="1043" w:type="dxa"/>
            <w:tcBorders>
              <w:tl2br w:val="nil"/>
              <w:tr2bl w:val="nil"/>
            </w:tcBorders>
            <w:vAlign w:val="center"/>
          </w:tcPr>
          <w:p>
            <w:pPr>
              <w:adjustRightInd w:val="0"/>
              <w:snapToGrid w:val="0"/>
              <w:jc w:val="center"/>
              <w:rPr>
                <w:color w:val="auto"/>
                <w:szCs w:val="21"/>
              </w:rPr>
            </w:pPr>
            <w:r>
              <w:rPr>
                <w:color w:val="auto"/>
                <w:szCs w:val="21"/>
              </w:rPr>
              <w:t>河流</w:t>
            </w:r>
          </w:p>
        </w:tc>
        <w:tc>
          <w:tcPr>
            <w:tcW w:w="1320" w:type="dxa"/>
            <w:tcBorders>
              <w:tl2br w:val="nil"/>
              <w:tr2bl w:val="nil"/>
            </w:tcBorders>
            <w:vAlign w:val="center"/>
          </w:tcPr>
          <w:p>
            <w:pPr>
              <w:adjustRightInd w:val="0"/>
              <w:snapToGrid w:val="0"/>
              <w:jc w:val="center"/>
              <w:rPr>
                <w:color w:val="auto"/>
                <w:szCs w:val="21"/>
              </w:rPr>
            </w:pPr>
            <w:r>
              <w:rPr>
                <w:color w:val="auto"/>
                <w:szCs w:val="21"/>
              </w:rPr>
              <w:t>/</w:t>
            </w:r>
          </w:p>
        </w:tc>
        <w:tc>
          <w:tcPr>
            <w:tcW w:w="1035" w:type="dxa"/>
            <w:tcBorders>
              <w:tl2br w:val="nil"/>
              <w:tr2bl w:val="nil"/>
            </w:tcBorders>
            <w:vAlign w:val="center"/>
          </w:tcPr>
          <w:p>
            <w:pPr>
              <w:jc w:val="center"/>
              <w:rPr>
                <w:color w:val="auto"/>
                <w:szCs w:val="21"/>
              </w:rPr>
            </w:pPr>
            <w:r>
              <w:rPr>
                <w:color w:val="auto"/>
                <w:szCs w:val="21"/>
              </w:rPr>
              <w:t>地表水Ⅱ级</w:t>
            </w:r>
          </w:p>
        </w:tc>
        <w:tc>
          <w:tcPr>
            <w:tcW w:w="969" w:type="dxa"/>
            <w:tcBorders>
              <w:tl2br w:val="nil"/>
              <w:tr2bl w:val="nil"/>
            </w:tcBorders>
            <w:vAlign w:val="center"/>
          </w:tcPr>
          <w:p>
            <w:pPr>
              <w:widowControl/>
              <w:jc w:val="center"/>
              <w:textAlignment w:val="center"/>
              <w:rPr>
                <w:color w:val="auto"/>
                <w:szCs w:val="21"/>
              </w:rPr>
            </w:pPr>
            <w:r>
              <w:rPr>
                <w:color w:val="auto"/>
                <w:kern w:val="0"/>
                <w:szCs w:val="21"/>
                <w:lang w:bidi="ar"/>
              </w:rPr>
              <w:t>西北</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19" w:type="dxa"/>
            <w:vMerge w:val="continue"/>
            <w:tcBorders>
              <w:tl2br w:val="nil"/>
              <w:tr2bl w:val="nil"/>
            </w:tcBorders>
            <w:vAlign w:val="center"/>
          </w:tcPr>
          <w:p>
            <w:pPr>
              <w:jc w:val="center"/>
              <w:rPr>
                <w:color w:val="auto"/>
                <w:szCs w:val="21"/>
              </w:rPr>
            </w:pPr>
          </w:p>
        </w:tc>
        <w:tc>
          <w:tcPr>
            <w:tcW w:w="1142" w:type="dxa"/>
            <w:tcBorders>
              <w:tl2br w:val="nil"/>
              <w:tr2bl w:val="nil"/>
            </w:tcBorders>
            <w:vAlign w:val="center"/>
          </w:tcPr>
          <w:p>
            <w:pPr>
              <w:widowControl/>
              <w:jc w:val="center"/>
              <w:textAlignment w:val="center"/>
              <w:rPr>
                <w:color w:val="auto"/>
                <w:szCs w:val="21"/>
              </w:rPr>
            </w:pPr>
            <w:r>
              <w:rPr>
                <w:color w:val="auto"/>
                <w:kern w:val="0"/>
                <w:szCs w:val="21"/>
                <w:lang w:bidi="ar"/>
              </w:rPr>
              <w:t>沙埗溪</w:t>
            </w:r>
          </w:p>
        </w:tc>
        <w:tc>
          <w:tcPr>
            <w:tcW w:w="883" w:type="dxa"/>
            <w:tcBorders>
              <w:tl2br w:val="nil"/>
              <w:tr2bl w:val="nil"/>
            </w:tcBorders>
            <w:vAlign w:val="center"/>
          </w:tcPr>
          <w:p>
            <w:pPr>
              <w:widowControl/>
              <w:jc w:val="center"/>
              <w:textAlignment w:val="center"/>
              <w:rPr>
                <w:color w:val="auto"/>
                <w:szCs w:val="21"/>
              </w:rPr>
            </w:pPr>
            <w:r>
              <w:rPr>
                <w:color w:val="auto"/>
                <w:kern w:val="0"/>
                <w:szCs w:val="21"/>
                <w:lang w:bidi="ar"/>
              </w:rPr>
              <w:t>740</w:t>
            </w:r>
          </w:p>
        </w:tc>
        <w:tc>
          <w:tcPr>
            <w:tcW w:w="757" w:type="dxa"/>
            <w:tcBorders>
              <w:tl2br w:val="nil"/>
              <w:tr2bl w:val="nil"/>
            </w:tcBorders>
            <w:vAlign w:val="center"/>
          </w:tcPr>
          <w:p>
            <w:pPr>
              <w:widowControl/>
              <w:jc w:val="center"/>
              <w:textAlignment w:val="center"/>
              <w:rPr>
                <w:color w:val="auto"/>
                <w:szCs w:val="21"/>
              </w:rPr>
            </w:pPr>
            <w:r>
              <w:rPr>
                <w:color w:val="auto"/>
                <w:kern w:val="0"/>
                <w:szCs w:val="21"/>
                <w:lang w:bidi="ar"/>
              </w:rPr>
              <w:t>0</w:t>
            </w:r>
          </w:p>
        </w:tc>
        <w:tc>
          <w:tcPr>
            <w:tcW w:w="1043" w:type="dxa"/>
            <w:tcBorders>
              <w:tl2br w:val="nil"/>
              <w:tr2bl w:val="nil"/>
            </w:tcBorders>
            <w:vAlign w:val="center"/>
          </w:tcPr>
          <w:p>
            <w:pPr>
              <w:adjustRightInd w:val="0"/>
              <w:snapToGrid w:val="0"/>
              <w:jc w:val="center"/>
              <w:rPr>
                <w:color w:val="auto"/>
                <w:szCs w:val="21"/>
              </w:rPr>
            </w:pPr>
            <w:r>
              <w:rPr>
                <w:color w:val="auto"/>
                <w:szCs w:val="21"/>
              </w:rPr>
              <w:t>河流</w:t>
            </w:r>
          </w:p>
        </w:tc>
        <w:tc>
          <w:tcPr>
            <w:tcW w:w="1320" w:type="dxa"/>
            <w:tcBorders>
              <w:tl2br w:val="nil"/>
              <w:tr2bl w:val="nil"/>
            </w:tcBorders>
            <w:vAlign w:val="center"/>
          </w:tcPr>
          <w:p>
            <w:pPr>
              <w:adjustRightInd w:val="0"/>
              <w:snapToGrid w:val="0"/>
              <w:jc w:val="center"/>
              <w:rPr>
                <w:color w:val="auto"/>
                <w:szCs w:val="21"/>
              </w:rPr>
            </w:pPr>
            <w:r>
              <w:rPr>
                <w:color w:val="auto"/>
                <w:szCs w:val="21"/>
              </w:rPr>
              <w:t>/</w:t>
            </w:r>
          </w:p>
        </w:tc>
        <w:tc>
          <w:tcPr>
            <w:tcW w:w="1035" w:type="dxa"/>
            <w:tcBorders>
              <w:tl2br w:val="nil"/>
              <w:tr2bl w:val="nil"/>
            </w:tcBorders>
            <w:vAlign w:val="center"/>
          </w:tcPr>
          <w:p>
            <w:pPr>
              <w:jc w:val="center"/>
              <w:rPr>
                <w:color w:val="auto"/>
                <w:szCs w:val="21"/>
              </w:rPr>
            </w:pPr>
            <w:r>
              <w:rPr>
                <w:color w:val="auto"/>
                <w:szCs w:val="21"/>
              </w:rPr>
              <w:t>地表水Ⅳ级</w:t>
            </w:r>
          </w:p>
        </w:tc>
        <w:tc>
          <w:tcPr>
            <w:tcW w:w="969" w:type="dxa"/>
            <w:tcBorders>
              <w:tl2br w:val="nil"/>
              <w:tr2bl w:val="nil"/>
            </w:tcBorders>
            <w:vAlign w:val="center"/>
          </w:tcPr>
          <w:p>
            <w:pPr>
              <w:widowControl/>
              <w:jc w:val="center"/>
              <w:textAlignment w:val="center"/>
              <w:rPr>
                <w:color w:val="auto"/>
                <w:szCs w:val="21"/>
              </w:rPr>
            </w:pPr>
            <w:r>
              <w:rPr>
                <w:color w:val="auto"/>
                <w:kern w:val="0"/>
                <w:szCs w:val="21"/>
                <w:lang w:bidi="ar"/>
              </w:rPr>
              <w:t>西</w:t>
            </w:r>
          </w:p>
        </w:tc>
        <w:tc>
          <w:tcPr>
            <w:tcW w:w="980" w:type="dxa"/>
            <w:tcBorders>
              <w:tl2br w:val="nil"/>
              <w:tr2bl w:val="nil"/>
            </w:tcBorders>
            <w:vAlign w:val="center"/>
          </w:tcPr>
          <w:p>
            <w:pPr>
              <w:widowControl/>
              <w:jc w:val="center"/>
              <w:textAlignment w:val="center"/>
              <w:rPr>
                <w:color w:val="auto"/>
                <w:szCs w:val="21"/>
              </w:rPr>
            </w:pPr>
            <w:r>
              <w:rPr>
                <w:color w:val="auto"/>
                <w:kern w:val="0"/>
                <w:szCs w:val="21"/>
                <w:lang w:bidi="ar"/>
              </w:rPr>
              <w:t>740</w:t>
            </w:r>
          </w:p>
        </w:tc>
      </w:tr>
    </w:tbl>
    <w:p>
      <w:pPr>
        <w:spacing w:line="360" w:lineRule="auto"/>
        <w:jc w:val="left"/>
        <w:rPr>
          <w:color w:val="auto"/>
          <w:szCs w:val="21"/>
        </w:rPr>
      </w:pPr>
      <w:r>
        <w:rPr>
          <w:color w:val="auto"/>
          <w:szCs w:val="21"/>
        </w:rPr>
        <w:t>注：</w:t>
      </w:r>
      <w:r>
        <w:rPr>
          <w:rFonts w:hint="eastAsia"/>
          <w:color w:val="auto"/>
          <w:szCs w:val="21"/>
          <w:lang w:eastAsia="zh-CN"/>
        </w:rPr>
        <w:t>以项目</w:t>
      </w:r>
      <w:r>
        <w:rPr>
          <w:rFonts w:hint="eastAsia"/>
          <w:color w:val="auto"/>
          <w:szCs w:val="21"/>
        </w:rPr>
        <w:t>南面角落</w:t>
      </w:r>
      <w:r>
        <w:rPr>
          <w:color w:val="auto"/>
          <w:szCs w:val="21"/>
        </w:rPr>
        <w:t>为坐标原点。</w:t>
      </w:r>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Start w:id="2564" w:name="_Toc669_WPSOffice_Level1"/>
      <w:bookmarkStart w:id="2565" w:name="_Toc14837_WPSOffice_Level1"/>
      <w:bookmarkStart w:id="2566" w:name="_Toc20381_WPSOffice_Level1"/>
      <w:bookmarkStart w:id="2567" w:name="_Toc8104"/>
      <w:bookmarkStart w:id="2568" w:name="_Toc3905763"/>
      <w:bookmarkStart w:id="2569" w:name="_Toc3886_WPSOffice_Level1"/>
      <w:bookmarkStart w:id="2570" w:name="_Toc2665"/>
      <w:bookmarkStart w:id="2571" w:name="_Toc2476"/>
      <w:bookmarkStart w:id="2572" w:name="_Toc1044_WPSOffice_Level1"/>
      <w:bookmarkStart w:id="2573" w:name="_Toc11585_WPSOffice_Level2"/>
      <w:bookmarkStart w:id="2574" w:name="_Toc18071_WPSOffice_Level1"/>
      <w:bookmarkStart w:id="2575" w:name="_Toc32737_WPSOffice_Level1"/>
      <w:bookmarkStart w:id="2576" w:name="_Toc17940_WPSOffice_Level1"/>
      <w:bookmarkStart w:id="2577" w:name="_Toc29759451"/>
    </w:p>
    <w:p>
      <w:pPr>
        <w:spacing w:line="360" w:lineRule="auto"/>
        <w:outlineLvl w:val="1"/>
        <w:rPr>
          <w:b/>
          <w:color w:val="auto"/>
          <w:sz w:val="32"/>
          <w:szCs w:val="32"/>
        </w:rPr>
      </w:pPr>
      <w:bookmarkStart w:id="2578" w:name="_Toc10118"/>
      <w:bookmarkStart w:id="2579" w:name="_Toc8155"/>
      <w:r>
        <w:rPr>
          <w:rFonts w:hint="eastAsia"/>
          <w:b/>
          <w:color w:val="auto"/>
          <w:sz w:val="32"/>
          <w:szCs w:val="32"/>
        </w:rPr>
        <w:t>7.</w:t>
      </w:r>
      <w:bookmarkEnd w:id="2564"/>
      <w:bookmarkEnd w:id="2565"/>
      <w:bookmarkEnd w:id="2566"/>
      <w:bookmarkEnd w:id="2567"/>
      <w:bookmarkEnd w:id="2568"/>
      <w:bookmarkEnd w:id="2569"/>
      <w:bookmarkEnd w:id="2570"/>
      <w:bookmarkEnd w:id="2571"/>
      <w:bookmarkEnd w:id="2572"/>
      <w:bookmarkEnd w:id="2573"/>
      <w:bookmarkEnd w:id="2574"/>
      <w:bookmarkEnd w:id="2575"/>
      <w:bookmarkEnd w:id="2576"/>
      <w:r>
        <w:rPr>
          <w:rFonts w:hint="eastAsia"/>
          <w:b/>
          <w:color w:val="auto"/>
          <w:sz w:val="32"/>
          <w:szCs w:val="32"/>
        </w:rPr>
        <w:t>5  环境风险识别</w:t>
      </w:r>
      <w:bookmarkEnd w:id="2577"/>
      <w:bookmarkEnd w:id="2578"/>
      <w:bookmarkEnd w:id="2579"/>
    </w:p>
    <w:p>
      <w:pPr>
        <w:keepNext/>
        <w:keepLines/>
        <w:spacing w:line="360" w:lineRule="auto"/>
        <w:jc w:val="left"/>
        <w:outlineLvl w:val="2"/>
        <w:rPr>
          <w:b/>
          <w:bCs/>
          <w:color w:val="auto"/>
          <w:sz w:val="28"/>
          <w:szCs w:val="28"/>
        </w:rPr>
      </w:pPr>
      <w:bookmarkStart w:id="2580" w:name="_Toc19403_WPSOffice_Level2"/>
      <w:bookmarkStart w:id="2581" w:name="_Toc7620_WPSOffice_Level2"/>
      <w:bookmarkStart w:id="2582" w:name="_Toc25475"/>
      <w:bookmarkStart w:id="2583" w:name="_Toc22408_WPSOffice_Level2"/>
      <w:bookmarkStart w:id="2584" w:name="_Toc5707_WPSOffice_Level2"/>
      <w:bookmarkStart w:id="2585" w:name="_Toc31870_WPSOffice_Level2"/>
      <w:bookmarkStart w:id="2586" w:name="_Toc22931_WPSOffice_Level2"/>
      <w:bookmarkStart w:id="2587" w:name="_Toc12132_WPSOffice_Level2"/>
      <w:bookmarkStart w:id="2588" w:name="_Toc22356_WPSOffice_Level2"/>
      <w:bookmarkStart w:id="2589" w:name="_Toc17073"/>
      <w:r>
        <w:rPr>
          <w:rFonts w:hint="eastAsia"/>
          <w:b/>
          <w:bCs/>
          <w:color w:val="auto"/>
          <w:sz w:val="28"/>
          <w:szCs w:val="28"/>
        </w:rPr>
        <w:t>7.5</w:t>
      </w:r>
      <w:r>
        <w:rPr>
          <w:b/>
          <w:bCs/>
          <w:color w:val="auto"/>
          <w:sz w:val="28"/>
          <w:szCs w:val="28"/>
        </w:rPr>
        <w:t>.</w:t>
      </w:r>
      <w:bookmarkEnd w:id="2580"/>
      <w:bookmarkEnd w:id="2581"/>
      <w:bookmarkEnd w:id="2582"/>
      <w:bookmarkEnd w:id="2583"/>
      <w:bookmarkEnd w:id="2584"/>
      <w:bookmarkEnd w:id="2585"/>
      <w:bookmarkEnd w:id="2586"/>
      <w:bookmarkEnd w:id="2587"/>
      <w:bookmarkEnd w:id="2588"/>
      <w:r>
        <w:rPr>
          <w:b/>
          <w:bCs/>
          <w:color w:val="auto"/>
          <w:sz w:val="28"/>
          <w:szCs w:val="28"/>
        </w:rPr>
        <w:t>1</w:t>
      </w:r>
      <w:r>
        <w:rPr>
          <w:rFonts w:hint="eastAsia"/>
          <w:b/>
          <w:bCs/>
          <w:color w:val="auto"/>
          <w:sz w:val="28"/>
          <w:szCs w:val="28"/>
        </w:rPr>
        <w:t xml:space="preserve">  风险识别内容</w:t>
      </w:r>
      <w:bookmarkEnd w:id="2589"/>
    </w:p>
    <w:p>
      <w:pPr>
        <w:spacing w:line="360" w:lineRule="auto"/>
        <w:ind w:firstLine="480" w:firstLineChars="200"/>
        <w:rPr>
          <w:color w:val="auto"/>
          <w:sz w:val="24"/>
        </w:rPr>
      </w:pPr>
      <w:r>
        <w:rPr>
          <w:color w:val="auto"/>
          <w:sz w:val="24"/>
        </w:rPr>
        <w:t>风险识别范围包括生产过程所涉及的物质风险和生产设施风险识别。</w:t>
      </w:r>
    </w:p>
    <w:p>
      <w:pPr>
        <w:spacing w:line="360" w:lineRule="auto"/>
        <w:ind w:firstLine="480" w:firstLineChars="200"/>
        <w:rPr>
          <w:color w:val="auto"/>
          <w:sz w:val="24"/>
        </w:rPr>
      </w:pPr>
      <w:r>
        <w:rPr>
          <w:color w:val="auto"/>
          <w:sz w:val="24"/>
        </w:rPr>
        <w:t>物质</w:t>
      </w:r>
      <w:r>
        <w:rPr>
          <w:rFonts w:hint="eastAsia"/>
          <w:color w:val="auto"/>
          <w:sz w:val="24"/>
        </w:rPr>
        <w:t>危险性识别，</w:t>
      </w:r>
      <w:r>
        <w:rPr>
          <w:color w:val="auto"/>
          <w:sz w:val="24"/>
        </w:rPr>
        <w:t>包括</w:t>
      </w:r>
      <w:r>
        <w:rPr>
          <w:rFonts w:hint="eastAsia"/>
          <w:color w:val="auto"/>
          <w:sz w:val="24"/>
        </w:rPr>
        <w:t>主要</w:t>
      </w:r>
      <w:r>
        <w:rPr>
          <w:color w:val="auto"/>
          <w:sz w:val="24"/>
        </w:rPr>
        <w:t>原辅材料、</w:t>
      </w:r>
      <w:r>
        <w:rPr>
          <w:rFonts w:hint="eastAsia"/>
          <w:color w:val="auto"/>
          <w:sz w:val="24"/>
        </w:rPr>
        <w:t>燃料、中间产品、副产品、最终产品、污染物、火灾和爆炸伴生/次生物等。</w:t>
      </w:r>
    </w:p>
    <w:p>
      <w:pPr>
        <w:spacing w:line="360" w:lineRule="auto"/>
        <w:ind w:firstLine="480" w:firstLineChars="200"/>
        <w:rPr>
          <w:color w:val="auto"/>
          <w:sz w:val="24"/>
        </w:rPr>
      </w:pPr>
      <w:r>
        <w:rPr>
          <w:color w:val="auto"/>
          <w:sz w:val="24"/>
        </w:rPr>
        <w:t>生产</w:t>
      </w:r>
      <w:r>
        <w:rPr>
          <w:rFonts w:hint="eastAsia"/>
          <w:color w:val="auto"/>
          <w:sz w:val="24"/>
        </w:rPr>
        <w:t>系统危险性识别，包括</w:t>
      </w:r>
      <w:r>
        <w:rPr>
          <w:color w:val="auto"/>
          <w:sz w:val="24"/>
        </w:rPr>
        <w:t>主要生产装置、储运</w:t>
      </w:r>
      <w:r>
        <w:rPr>
          <w:rFonts w:hint="eastAsia"/>
          <w:color w:val="auto"/>
          <w:sz w:val="24"/>
        </w:rPr>
        <w:t>设施</w:t>
      </w:r>
      <w:r>
        <w:rPr>
          <w:color w:val="auto"/>
          <w:sz w:val="24"/>
        </w:rPr>
        <w:t>、公用工程和</w:t>
      </w:r>
      <w:r>
        <w:rPr>
          <w:rFonts w:hint="eastAsia"/>
          <w:color w:val="auto"/>
          <w:sz w:val="24"/>
        </w:rPr>
        <w:t>辅助生产</w:t>
      </w:r>
      <w:r>
        <w:rPr>
          <w:color w:val="auto"/>
          <w:sz w:val="24"/>
        </w:rPr>
        <w:t>设施</w:t>
      </w:r>
      <w:r>
        <w:rPr>
          <w:rFonts w:hint="eastAsia"/>
          <w:color w:val="auto"/>
          <w:sz w:val="24"/>
        </w:rPr>
        <w:t>，以及环境保护设施</w:t>
      </w:r>
      <w:r>
        <w:rPr>
          <w:color w:val="auto"/>
          <w:sz w:val="24"/>
        </w:rPr>
        <w:t>等。</w:t>
      </w:r>
    </w:p>
    <w:p>
      <w:pPr>
        <w:spacing w:line="360" w:lineRule="auto"/>
        <w:ind w:firstLine="480" w:firstLineChars="200"/>
        <w:rPr>
          <w:color w:val="auto"/>
          <w:sz w:val="24"/>
        </w:rPr>
      </w:pPr>
      <w:r>
        <w:rPr>
          <w:rFonts w:hint="eastAsia"/>
          <w:color w:val="auto"/>
          <w:sz w:val="24"/>
        </w:rPr>
        <w:t>危险物质向环境转移的途径识别，包括分析危险物质特性及可能的环境风险类型，识别危险物质影响环境的途径，分析可能影响的环境敏感目标。</w:t>
      </w:r>
    </w:p>
    <w:p>
      <w:pPr>
        <w:keepNext/>
        <w:keepLines/>
        <w:spacing w:line="360" w:lineRule="auto"/>
        <w:jc w:val="left"/>
        <w:outlineLvl w:val="2"/>
        <w:rPr>
          <w:b/>
          <w:bCs/>
          <w:color w:val="auto"/>
          <w:sz w:val="28"/>
          <w:szCs w:val="28"/>
        </w:rPr>
      </w:pPr>
      <w:bookmarkStart w:id="2590" w:name="_Toc24654"/>
      <w:r>
        <w:rPr>
          <w:rFonts w:hint="eastAsia"/>
          <w:b/>
          <w:bCs/>
          <w:color w:val="auto"/>
          <w:sz w:val="28"/>
          <w:szCs w:val="28"/>
        </w:rPr>
        <w:t>7.5.2  物质危险性识别</w:t>
      </w:r>
      <w:bookmarkEnd w:id="2590"/>
    </w:p>
    <w:p>
      <w:pPr>
        <w:spacing w:line="360" w:lineRule="auto"/>
        <w:ind w:firstLine="480" w:firstLineChars="200"/>
        <w:jc w:val="left"/>
        <w:rPr>
          <w:color w:val="auto"/>
          <w:sz w:val="24"/>
        </w:rPr>
      </w:pPr>
      <w:r>
        <w:rPr>
          <w:color w:val="auto"/>
          <w:kern w:val="0"/>
          <w:sz w:val="24"/>
        </w:rPr>
        <w:t>根据《建设项目环境风险评价技术导则》（HJ 169-2018）附录B 表B.1突发环境事件风险物质及临界量、表B.2 其他危险物质临界量</w:t>
      </w:r>
      <w:r>
        <w:rPr>
          <w:rFonts w:hint="eastAsia"/>
          <w:color w:val="auto"/>
          <w:kern w:val="0"/>
          <w:sz w:val="24"/>
        </w:rPr>
        <w:t>二级标准1小时平均浓度限值</w:t>
      </w:r>
      <w:r>
        <w:rPr>
          <w:color w:val="auto"/>
          <w:kern w:val="0"/>
          <w:sz w:val="24"/>
        </w:rPr>
        <w:t>，本报告对项目使用的</w:t>
      </w:r>
      <w:r>
        <w:rPr>
          <w:color w:val="auto"/>
          <w:sz w:val="24"/>
        </w:rPr>
        <w:t>原辅材料、</w:t>
      </w:r>
      <w:r>
        <w:rPr>
          <w:rFonts w:hint="eastAsia"/>
          <w:color w:val="auto"/>
          <w:sz w:val="24"/>
        </w:rPr>
        <w:t>燃料、中间产品、副产品、最终产品、污染物、火灾和爆炸伴生/次生物等</w:t>
      </w:r>
      <w:r>
        <w:rPr>
          <w:color w:val="auto"/>
          <w:kern w:val="0"/>
          <w:sz w:val="24"/>
        </w:rPr>
        <w:t>一一比对后，</w:t>
      </w:r>
      <w:r>
        <w:rPr>
          <w:bCs/>
          <w:color w:val="auto"/>
          <w:sz w:val="24"/>
        </w:rPr>
        <w:t>发现</w:t>
      </w:r>
      <w:r>
        <w:rPr>
          <w:rFonts w:hint="eastAsia"/>
          <w:bCs/>
          <w:color w:val="auto"/>
          <w:sz w:val="24"/>
        </w:rPr>
        <w:t>以下物质</w:t>
      </w:r>
      <w:r>
        <w:rPr>
          <w:bCs/>
          <w:color w:val="auto"/>
          <w:sz w:val="24"/>
        </w:rPr>
        <w:t>属于</w:t>
      </w:r>
      <w:r>
        <w:rPr>
          <w:color w:val="auto"/>
          <w:kern w:val="0"/>
          <w:sz w:val="24"/>
        </w:rPr>
        <w:t>《建设项目环境风险评价技术导则》</w:t>
      </w:r>
      <w:r>
        <w:rPr>
          <w:color w:val="auto"/>
          <w:sz w:val="24"/>
        </w:rPr>
        <w:t>（HJ169-2018）附录B表B.1提及的风险物质，应重点关注。</w:t>
      </w:r>
    </w:p>
    <w:p>
      <w:pPr>
        <w:spacing w:line="360" w:lineRule="auto"/>
        <w:ind w:firstLine="422" w:firstLineChars="200"/>
        <w:jc w:val="center"/>
        <w:rPr>
          <w:b/>
          <w:bCs/>
          <w:color w:val="auto"/>
          <w:kern w:val="0"/>
          <w:sz w:val="24"/>
        </w:rPr>
      </w:pPr>
      <w:r>
        <w:rPr>
          <w:b/>
          <w:bCs/>
          <w:color w:val="auto"/>
          <w:kern w:val="0"/>
          <w:szCs w:val="21"/>
        </w:rPr>
        <w:t>表</w:t>
      </w:r>
      <w:r>
        <w:rPr>
          <w:rFonts w:hint="eastAsia"/>
          <w:b/>
          <w:bCs/>
          <w:color w:val="auto"/>
          <w:kern w:val="0"/>
          <w:szCs w:val="21"/>
        </w:rPr>
        <w:t>7.5</w:t>
      </w:r>
      <w:r>
        <w:rPr>
          <w:b/>
          <w:bCs/>
          <w:color w:val="auto"/>
          <w:kern w:val="0"/>
          <w:szCs w:val="21"/>
        </w:rPr>
        <w:t>-1</w:t>
      </w:r>
      <w:r>
        <w:rPr>
          <w:rFonts w:hint="eastAsia"/>
          <w:b/>
          <w:bCs/>
          <w:color w:val="auto"/>
          <w:kern w:val="0"/>
          <w:szCs w:val="21"/>
        </w:rPr>
        <w:t xml:space="preserve"> </w:t>
      </w:r>
      <w:r>
        <w:rPr>
          <w:b/>
          <w:bCs/>
          <w:color w:val="auto"/>
          <w:kern w:val="0"/>
          <w:szCs w:val="21"/>
        </w:rPr>
        <w:t xml:space="preserve"> 危险物质风险识别表</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1196"/>
        <w:gridCol w:w="971"/>
        <w:gridCol w:w="1416"/>
        <w:gridCol w:w="1219"/>
        <w:gridCol w:w="1522"/>
        <w:gridCol w:w="1220"/>
        <w:gridCol w:w="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color w:val="auto"/>
                <w:kern w:val="0"/>
                <w:szCs w:val="21"/>
              </w:rPr>
              <w:t>序号</w:t>
            </w:r>
          </w:p>
        </w:tc>
        <w:tc>
          <w:tcPr>
            <w:tcW w:w="1196" w:type="dxa"/>
            <w:tcBorders>
              <w:tl2br w:val="nil"/>
              <w:tr2bl w:val="nil"/>
            </w:tcBorders>
            <w:vAlign w:val="center"/>
          </w:tcPr>
          <w:p>
            <w:pPr>
              <w:jc w:val="center"/>
              <w:rPr>
                <w:color w:val="auto"/>
                <w:kern w:val="0"/>
                <w:szCs w:val="21"/>
              </w:rPr>
            </w:pPr>
            <w:r>
              <w:rPr>
                <w:color w:val="auto"/>
                <w:kern w:val="0"/>
                <w:szCs w:val="21"/>
              </w:rPr>
              <w:t>名称</w:t>
            </w:r>
          </w:p>
        </w:tc>
        <w:tc>
          <w:tcPr>
            <w:tcW w:w="971" w:type="dxa"/>
            <w:tcBorders>
              <w:tl2br w:val="nil"/>
              <w:tr2bl w:val="nil"/>
            </w:tcBorders>
            <w:vAlign w:val="center"/>
          </w:tcPr>
          <w:p>
            <w:pPr>
              <w:jc w:val="center"/>
              <w:rPr>
                <w:color w:val="auto"/>
                <w:kern w:val="0"/>
                <w:szCs w:val="21"/>
              </w:rPr>
            </w:pPr>
            <w:r>
              <w:rPr>
                <w:color w:val="auto"/>
                <w:kern w:val="0"/>
                <w:szCs w:val="21"/>
              </w:rPr>
              <w:t>CAS号</w:t>
            </w:r>
          </w:p>
        </w:tc>
        <w:tc>
          <w:tcPr>
            <w:tcW w:w="1416" w:type="dxa"/>
            <w:tcBorders>
              <w:tl2br w:val="nil"/>
              <w:tr2bl w:val="nil"/>
            </w:tcBorders>
            <w:vAlign w:val="center"/>
          </w:tcPr>
          <w:p>
            <w:pPr>
              <w:jc w:val="center"/>
              <w:rPr>
                <w:color w:val="auto"/>
                <w:kern w:val="0"/>
                <w:szCs w:val="21"/>
              </w:rPr>
            </w:pPr>
            <w:r>
              <w:rPr>
                <w:color w:val="auto"/>
                <w:kern w:val="0"/>
                <w:szCs w:val="21"/>
              </w:rPr>
              <w:t>危险性类别</w:t>
            </w:r>
          </w:p>
        </w:tc>
        <w:tc>
          <w:tcPr>
            <w:tcW w:w="1219" w:type="dxa"/>
            <w:tcBorders>
              <w:tl2br w:val="nil"/>
              <w:tr2bl w:val="nil"/>
            </w:tcBorders>
            <w:vAlign w:val="center"/>
          </w:tcPr>
          <w:p>
            <w:pPr>
              <w:jc w:val="center"/>
              <w:rPr>
                <w:color w:val="auto"/>
                <w:kern w:val="0"/>
                <w:szCs w:val="21"/>
              </w:rPr>
            </w:pPr>
            <w:r>
              <w:rPr>
                <w:color w:val="auto"/>
                <w:kern w:val="0"/>
                <w:szCs w:val="21"/>
              </w:rPr>
              <w:t>有害成分</w:t>
            </w:r>
          </w:p>
        </w:tc>
        <w:tc>
          <w:tcPr>
            <w:tcW w:w="1522" w:type="dxa"/>
            <w:tcBorders>
              <w:tl2br w:val="nil"/>
              <w:tr2bl w:val="nil"/>
            </w:tcBorders>
            <w:vAlign w:val="center"/>
          </w:tcPr>
          <w:p>
            <w:pPr>
              <w:jc w:val="center"/>
              <w:rPr>
                <w:color w:val="auto"/>
                <w:kern w:val="0"/>
                <w:szCs w:val="21"/>
              </w:rPr>
            </w:pPr>
            <w:r>
              <w:rPr>
                <w:color w:val="auto"/>
                <w:kern w:val="0"/>
                <w:szCs w:val="21"/>
              </w:rPr>
              <w:t>储存地/</w:t>
            </w:r>
          </w:p>
          <w:p>
            <w:pPr>
              <w:jc w:val="center"/>
              <w:rPr>
                <w:color w:val="auto"/>
                <w:kern w:val="0"/>
                <w:szCs w:val="21"/>
              </w:rPr>
            </w:pPr>
            <w:r>
              <w:rPr>
                <w:color w:val="auto"/>
                <w:kern w:val="0"/>
                <w:szCs w:val="21"/>
              </w:rPr>
              <w:t>储存方式</w:t>
            </w:r>
          </w:p>
        </w:tc>
        <w:tc>
          <w:tcPr>
            <w:tcW w:w="1220" w:type="dxa"/>
            <w:tcBorders>
              <w:tl2br w:val="nil"/>
              <w:tr2bl w:val="nil"/>
            </w:tcBorders>
            <w:vAlign w:val="center"/>
          </w:tcPr>
          <w:p>
            <w:pPr>
              <w:jc w:val="center"/>
              <w:rPr>
                <w:color w:val="auto"/>
                <w:kern w:val="0"/>
                <w:szCs w:val="21"/>
              </w:rPr>
            </w:pPr>
            <w:r>
              <w:rPr>
                <w:color w:val="auto"/>
                <w:kern w:val="0"/>
                <w:szCs w:val="21"/>
              </w:rPr>
              <w:t>最大储存量（t/a）</w:t>
            </w:r>
          </w:p>
        </w:tc>
        <w:tc>
          <w:tcPr>
            <w:tcW w:w="939" w:type="dxa"/>
            <w:tcBorders>
              <w:tl2br w:val="nil"/>
              <w:tr2bl w:val="nil"/>
            </w:tcBorders>
            <w:vAlign w:val="center"/>
          </w:tcPr>
          <w:p>
            <w:pPr>
              <w:jc w:val="center"/>
              <w:rPr>
                <w:color w:val="auto"/>
                <w:kern w:val="0"/>
                <w:szCs w:val="21"/>
              </w:rPr>
            </w:pPr>
            <w:r>
              <w:rPr>
                <w:color w:val="auto"/>
                <w:kern w:val="0"/>
                <w:szCs w:val="21"/>
              </w:rPr>
              <w:t>临界量（t）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color w:val="auto"/>
                <w:kern w:val="0"/>
                <w:szCs w:val="21"/>
              </w:rPr>
              <w:t>1</w:t>
            </w:r>
          </w:p>
        </w:tc>
        <w:tc>
          <w:tcPr>
            <w:tcW w:w="1196" w:type="dxa"/>
            <w:tcBorders>
              <w:tl2br w:val="nil"/>
              <w:tr2bl w:val="nil"/>
            </w:tcBorders>
            <w:vAlign w:val="center"/>
          </w:tcPr>
          <w:p>
            <w:pPr>
              <w:snapToGrid w:val="0"/>
              <w:jc w:val="center"/>
              <w:rPr>
                <w:color w:val="auto"/>
                <w:kern w:val="0"/>
                <w:szCs w:val="21"/>
              </w:rPr>
            </w:pPr>
            <w:r>
              <w:rPr>
                <w:bCs/>
                <w:color w:val="auto"/>
                <w:kern w:val="0"/>
                <w:szCs w:val="21"/>
                <w:lang w:bidi="ar"/>
              </w:rPr>
              <w:t>石油沥青</w:t>
            </w:r>
          </w:p>
        </w:tc>
        <w:tc>
          <w:tcPr>
            <w:tcW w:w="971" w:type="dxa"/>
            <w:tcBorders>
              <w:tl2br w:val="nil"/>
              <w:tr2bl w:val="nil"/>
            </w:tcBorders>
            <w:vAlign w:val="center"/>
          </w:tcPr>
          <w:p>
            <w:pPr>
              <w:jc w:val="center"/>
              <w:rPr>
                <w:color w:val="auto"/>
                <w:kern w:val="0"/>
                <w:szCs w:val="21"/>
              </w:rPr>
            </w:pPr>
            <w:r>
              <w:rPr>
                <w:color w:val="auto"/>
                <w:kern w:val="0"/>
                <w:szCs w:val="21"/>
              </w:rPr>
              <w:t>/</w:t>
            </w:r>
          </w:p>
        </w:tc>
        <w:tc>
          <w:tcPr>
            <w:tcW w:w="1416" w:type="dxa"/>
            <w:tcBorders>
              <w:tl2br w:val="nil"/>
              <w:tr2bl w:val="nil"/>
            </w:tcBorders>
            <w:vAlign w:val="center"/>
          </w:tcPr>
          <w:p>
            <w:pPr>
              <w:jc w:val="center"/>
              <w:rPr>
                <w:color w:val="auto"/>
                <w:kern w:val="0"/>
                <w:szCs w:val="21"/>
              </w:rPr>
            </w:pPr>
            <w:r>
              <w:rPr>
                <w:rFonts w:hint="eastAsia"/>
                <w:color w:val="auto"/>
                <w:szCs w:val="21"/>
                <w:shd w:val="clear" w:color="auto" w:fill="FFFFFF"/>
              </w:rPr>
              <w:t>毒性、</w:t>
            </w:r>
            <w:r>
              <w:rPr>
                <w:color w:val="auto"/>
                <w:szCs w:val="21"/>
                <w:shd w:val="clear" w:color="auto" w:fill="FFFFFF"/>
              </w:rPr>
              <w:t>易燃</w:t>
            </w:r>
          </w:p>
        </w:tc>
        <w:tc>
          <w:tcPr>
            <w:tcW w:w="1219" w:type="dxa"/>
            <w:tcBorders>
              <w:tl2br w:val="nil"/>
              <w:tr2bl w:val="nil"/>
            </w:tcBorders>
            <w:vAlign w:val="center"/>
          </w:tcPr>
          <w:p>
            <w:pPr>
              <w:jc w:val="center"/>
              <w:rPr>
                <w:color w:val="auto"/>
                <w:kern w:val="0"/>
                <w:szCs w:val="21"/>
              </w:rPr>
            </w:pPr>
            <w:r>
              <w:rPr>
                <w:color w:val="auto"/>
                <w:kern w:val="0"/>
                <w:szCs w:val="21"/>
              </w:rPr>
              <w:t>油类物质</w:t>
            </w:r>
          </w:p>
        </w:tc>
        <w:tc>
          <w:tcPr>
            <w:tcW w:w="1522" w:type="dxa"/>
            <w:tcBorders>
              <w:tl2br w:val="nil"/>
              <w:tr2bl w:val="nil"/>
            </w:tcBorders>
            <w:vAlign w:val="center"/>
          </w:tcPr>
          <w:p>
            <w:pPr>
              <w:jc w:val="center"/>
              <w:rPr>
                <w:color w:val="auto"/>
                <w:kern w:val="0"/>
                <w:szCs w:val="21"/>
              </w:rPr>
            </w:pPr>
            <w:r>
              <w:rPr>
                <w:rFonts w:hint="eastAsia"/>
                <w:color w:val="auto"/>
                <w:kern w:val="0"/>
                <w:szCs w:val="21"/>
              </w:rPr>
              <w:t>沥青储罐</w:t>
            </w:r>
          </w:p>
        </w:tc>
        <w:tc>
          <w:tcPr>
            <w:tcW w:w="1220" w:type="dxa"/>
            <w:tcBorders>
              <w:tl2br w:val="nil"/>
              <w:tr2bl w:val="nil"/>
            </w:tcBorders>
            <w:vAlign w:val="center"/>
          </w:tcPr>
          <w:p>
            <w:pPr>
              <w:widowControl/>
              <w:jc w:val="center"/>
              <w:textAlignment w:val="center"/>
              <w:rPr>
                <w:color w:val="auto"/>
                <w:kern w:val="0"/>
                <w:szCs w:val="21"/>
              </w:rPr>
            </w:pPr>
            <w:r>
              <w:rPr>
                <w:bCs/>
                <w:color w:val="auto"/>
                <w:kern w:val="0"/>
                <w:szCs w:val="21"/>
                <w:lang w:bidi="ar"/>
              </w:rPr>
              <w:t>100</w:t>
            </w:r>
          </w:p>
        </w:tc>
        <w:tc>
          <w:tcPr>
            <w:tcW w:w="939" w:type="dxa"/>
            <w:tcBorders>
              <w:tl2br w:val="nil"/>
              <w:tr2bl w:val="nil"/>
            </w:tcBorders>
            <w:vAlign w:val="center"/>
          </w:tcPr>
          <w:p>
            <w:pPr>
              <w:jc w:val="center"/>
              <w:rPr>
                <w:color w:val="auto"/>
                <w:kern w:val="0"/>
                <w:szCs w:val="21"/>
              </w:rPr>
            </w:pPr>
            <w:r>
              <w:rPr>
                <w:color w:val="auto"/>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color w:val="auto"/>
                <w:kern w:val="0"/>
                <w:szCs w:val="21"/>
              </w:rPr>
              <w:t>2</w:t>
            </w:r>
          </w:p>
        </w:tc>
        <w:tc>
          <w:tcPr>
            <w:tcW w:w="1196" w:type="dxa"/>
            <w:tcBorders>
              <w:tl2br w:val="nil"/>
              <w:tr2bl w:val="nil"/>
            </w:tcBorders>
            <w:vAlign w:val="center"/>
          </w:tcPr>
          <w:p>
            <w:pPr>
              <w:snapToGrid w:val="0"/>
              <w:jc w:val="center"/>
              <w:rPr>
                <w:color w:val="auto"/>
                <w:kern w:val="0"/>
                <w:szCs w:val="21"/>
              </w:rPr>
            </w:pPr>
            <w:r>
              <w:rPr>
                <w:bCs/>
                <w:color w:val="auto"/>
                <w:kern w:val="0"/>
                <w:szCs w:val="21"/>
                <w:lang w:bidi="ar"/>
              </w:rPr>
              <w:t>软化油</w:t>
            </w:r>
          </w:p>
        </w:tc>
        <w:tc>
          <w:tcPr>
            <w:tcW w:w="971" w:type="dxa"/>
            <w:tcBorders>
              <w:tl2br w:val="nil"/>
              <w:tr2bl w:val="nil"/>
            </w:tcBorders>
            <w:vAlign w:val="center"/>
          </w:tcPr>
          <w:p>
            <w:pPr>
              <w:jc w:val="center"/>
              <w:rPr>
                <w:color w:val="auto"/>
                <w:kern w:val="0"/>
                <w:szCs w:val="21"/>
              </w:rPr>
            </w:pPr>
            <w:r>
              <w:rPr>
                <w:color w:val="auto"/>
                <w:kern w:val="0"/>
                <w:szCs w:val="21"/>
              </w:rPr>
              <w:t>/</w:t>
            </w:r>
          </w:p>
        </w:tc>
        <w:tc>
          <w:tcPr>
            <w:tcW w:w="1416" w:type="dxa"/>
            <w:tcBorders>
              <w:tl2br w:val="nil"/>
              <w:tr2bl w:val="nil"/>
            </w:tcBorders>
            <w:vAlign w:val="center"/>
          </w:tcPr>
          <w:p>
            <w:pPr>
              <w:jc w:val="center"/>
              <w:rPr>
                <w:color w:val="auto"/>
                <w:kern w:val="0"/>
                <w:szCs w:val="21"/>
              </w:rPr>
            </w:pPr>
            <w:r>
              <w:rPr>
                <w:rFonts w:hint="eastAsia"/>
                <w:color w:val="auto"/>
                <w:szCs w:val="21"/>
                <w:shd w:val="clear" w:color="auto" w:fill="FFFFFF"/>
              </w:rPr>
              <w:t>毒性、</w:t>
            </w:r>
            <w:r>
              <w:rPr>
                <w:color w:val="auto"/>
                <w:szCs w:val="21"/>
                <w:shd w:val="clear" w:color="auto" w:fill="FFFFFF"/>
              </w:rPr>
              <w:t>易燃</w:t>
            </w:r>
          </w:p>
        </w:tc>
        <w:tc>
          <w:tcPr>
            <w:tcW w:w="1219" w:type="dxa"/>
            <w:tcBorders>
              <w:tl2br w:val="nil"/>
              <w:tr2bl w:val="nil"/>
            </w:tcBorders>
            <w:vAlign w:val="center"/>
          </w:tcPr>
          <w:p>
            <w:pPr>
              <w:jc w:val="center"/>
              <w:rPr>
                <w:color w:val="auto"/>
                <w:kern w:val="0"/>
                <w:szCs w:val="21"/>
              </w:rPr>
            </w:pPr>
            <w:r>
              <w:rPr>
                <w:color w:val="auto"/>
                <w:kern w:val="0"/>
                <w:szCs w:val="21"/>
              </w:rPr>
              <w:t>油类物质</w:t>
            </w:r>
          </w:p>
        </w:tc>
        <w:tc>
          <w:tcPr>
            <w:tcW w:w="1522" w:type="dxa"/>
            <w:tcBorders>
              <w:tl2br w:val="nil"/>
              <w:tr2bl w:val="nil"/>
            </w:tcBorders>
            <w:vAlign w:val="center"/>
          </w:tcPr>
          <w:p>
            <w:pPr>
              <w:jc w:val="center"/>
              <w:rPr>
                <w:color w:val="auto"/>
                <w:kern w:val="0"/>
                <w:szCs w:val="21"/>
              </w:rPr>
            </w:pPr>
            <w:r>
              <w:rPr>
                <w:rFonts w:hint="eastAsia"/>
                <w:color w:val="auto"/>
                <w:kern w:val="0"/>
                <w:szCs w:val="21"/>
              </w:rPr>
              <w:t>软化油储罐</w:t>
            </w:r>
          </w:p>
        </w:tc>
        <w:tc>
          <w:tcPr>
            <w:tcW w:w="1220" w:type="dxa"/>
            <w:tcBorders>
              <w:tl2br w:val="nil"/>
              <w:tr2bl w:val="nil"/>
            </w:tcBorders>
            <w:vAlign w:val="center"/>
          </w:tcPr>
          <w:p>
            <w:pPr>
              <w:snapToGrid w:val="0"/>
              <w:jc w:val="center"/>
              <w:rPr>
                <w:color w:val="auto"/>
                <w:kern w:val="0"/>
                <w:szCs w:val="21"/>
              </w:rPr>
            </w:pPr>
            <w:r>
              <w:rPr>
                <w:bCs/>
                <w:color w:val="auto"/>
                <w:szCs w:val="21"/>
              </w:rPr>
              <w:t>9.5</w:t>
            </w:r>
          </w:p>
        </w:tc>
        <w:tc>
          <w:tcPr>
            <w:tcW w:w="939" w:type="dxa"/>
            <w:tcBorders>
              <w:tl2br w:val="nil"/>
              <w:tr2bl w:val="nil"/>
            </w:tcBorders>
            <w:vAlign w:val="center"/>
          </w:tcPr>
          <w:p>
            <w:pPr>
              <w:jc w:val="center"/>
              <w:rPr>
                <w:color w:val="auto"/>
                <w:kern w:val="0"/>
                <w:szCs w:val="21"/>
              </w:rPr>
            </w:pPr>
            <w:r>
              <w:rPr>
                <w:color w:val="auto"/>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color w:val="auto"/>
                <w:kern w:val="0"/>
                <w:szCs w:val="21"/>
              </w:rPr>
              <w:t>3</w:t>
            </w:r>
          </w:p>
        </w:tc>
        <w:tc>
          <w:tcPr>
            <w:tcW w:w="1196" w:type="dxa"/>
            <w:tcBorders>
              <w:tl2br w:val="nil"/>
              <w:tr2bl w:val="nil"/>
            </w:tcBorders>
            <w:vAlign w:val="center"/>
          </w:tcPr>
          <w:p>
            <w:pPr>
              <w:pStyle w:val="48"/>
              <w:rPr>
                <w:bCs/>
                <w:color w:val="auto"/>
                <w:szCs w:val="21"/>
              </w:rPr>
            </w:pPr>
            <w:r>
              <w:rPr>
                <w:bCs/>
                <w:color w:val="auto"/>
                <w:szCs w:val="21"/>
              </w:rPr>
              <w:t>导热油</w:t>
            </w:r>
          </w:p>
        </w:tc>
        <w:tc>
          <w:tcPr>
            <w:tcW w:w="971" w:type="dxa"/>
            <w:tcBorders>
              <w:tl2br w:val="nil"/>
              <w:tr2bl w:val="nil"/>
            </w:tcBorders>
            <w:vAlign w:val="center"/>
          </w:tcPr>
          <w:p>
            <w:pPr>
              <w:jc w:val="center"/>
              <w:rPr>
                <w:color w:val="auto"/>
                <w:kern w:val="0"/>
                <w:szCs w:val="21"/>
              </w:rPr>
            </w:pPr>
            <w:r>
              <w:rPr>
                <w:color w:val="auto"/>
                <w:kern w:val="0"/>
                <w:szCs w:val="21"/>
              </w:rPr>
              <w:t>/</w:t>
            </w:r>
          </w:p>
        </w:tc>
        <w:tc>
          <w:tcPr>
            <w:tcW w:w="1416" w:type="dxa"/>
            <w:tcBorders>
              <w:tl2br w:val="nil"/>
              <w:tr2bl w:val="nil"/>
            </w:tcBorders>
            <w:vAlign w:val="center"/>
          </w:tcPr>
          <w:p>
            <w:pPr>
              <w:jc w:val="center"/>
              <w:rPr>
                <w:color w:val="auto"/>
                <w:kern w:val="0"/>
                <w:szCs w:val="21"/>
              </w:rPr>
            </w:pPr>
            <w:r>
              <w:rPr>
                <w:rFonts w:hint="eastAsia"/>
                <w:color w:val="auto"/>
                <w:szCs w:val="21"/>
                <w:shd w:val="clear" w:color="auto" w:fill="FFFFFF"/>
              </w:rPr>
              <w:t>毒性、</w:t>
            </w:r>
            <w:r>
              <w:rPr>
                <w:color w:val="auto"/>
                <w:szCs w:val="21"/>
                <w:shd w:val="clear" w:color="auto" w:fill="FFFFFF"/>
              </w:rPr>
              <w:t>易燃</w:t>
            </w:r>
          </w:p>
        </w:tc>
        <w:tc>
          <w:tcPr>
            <w:tcW w:w="1219" w:type="dxa"/>
            <w:tcBorders>
              <w:tl2br w:val="nil"/>
              <w:tr2bl w:val="nil"/>
            </w:tcBorders>
            <w:vAlign w:val="center"/>
          </w:tcPr>
          <w:p>
            <w:pPr>
              <w:jc w:val="center"/>
              <w:rPr>
                <w:color w:val="auto"/>
                <w:kern w:val="0"/>
                <w:szCs w:val="21"/>
              </w:rPr>
            </w:pPr>
            <w:r>
              <w:rPr>
                <w:color w:val="auto"/>
                <w:kern w:val="0"/>
                <w:szCs w:val="21"/>
              </w:rPr>
              <w:t>油类物质</w:t>
            </w:r>
          </w:p>
        </w:tc>
        <w:tc>
          <w:tcPr>
            <w:tcW w:w="1522" w:type="dxa"/>
            <w:tcBorders>
              <w:tl2br w:val="nil"/>
              <w:tr2bl w:val="nil"/>
            </w:tcBorders>
            <w:vAlign w:val="center"/>
          </w:tcPr>
          <w:p>
            <w:pPr>
              <w:tabs>
                <w:tab w:val="left" w:pos="354"/>
              </w:tabs>
              <w:jc w:val="left"/>
              <w:rPr>
                <w:color w:val="auto"/>
                <w:kern w:val="0"/>
                <w:szCs w:val="21"/>
              </w:rPr>
            </w:pPr>
            <w:r>
              <w:rPr>
                <w:rFonts w:hint="eastAsia"/>
                <w:color w:val="auto"/>
                <w:kern w:val="0"/>
                <w:szCs w:val="21"/>
              </w:rPr>
              <w:t>原料堆放区</w:t>
            </w:r>
            <w:r>
              <w:rPr>
                <w:color w:val="auto"/>
                <w:kern w:val="0"/>
                <w:szCs w:val="21"/>
              </w:rPr>
              <w:t>，密封存放</w:t>
            </w:r>
          </w:p>
        </w:tc>
        <w:tc>
          <w:tcPr>
            <w:tcW w:w="1220" w:type="dxa"/>
            <w:tcBorders>
              <w:tl2br w:val="nil"/>
              <w:tr2bl w:val="nil"/>
            </w:tcBorders>
            <w:vAlign w:val="center"/>
          </w:tcPr>
          <w:p>
            <w:pPr>
              <w:snapToGrid w:val="0"/>
              <w:jc w:val="center"/>
              <w:rPr>
                <w:color w:val="auto"/>
                <w:kern w:val="0"/>
                <w:szCs w:val="21"/>
              </w:rPr>
            </w:pPr>
            <w:r>
              <w:rPr>
                <w:bCs/>
                <w:color w:val="auto"/>
                <w:szCs w:val="21"/>
              </w:rPr>
              <w:t>0.5</w:t>
            </w:r>
          </w:p>
        </w:tc>
        <w:tc>
          <w:tcPr>
            <w:tcW w:w="939" w:type="dxa"/>
            <w:tcBorders>
              <w:tl2br w:val="nil"/>
              <w:tr2bl w:val="nil"/>
            </w:tcBorders>
            <w:vAlign w:val="center"/>
          </w:tcPr>
          <w:p>
            <w:pPr>
              <w:jc w:val="center"/>
              <w:rPr>
                <w:color w:val="auto"/>
                <w:kern w:val="0"/>
                <w:szCs w:val="21"/>
              </w:rPr>
            </w:pPr>
            <w:r>
              <w:rPr>
                <w:color w:val="auto"/>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rFonts w:hint="eastAsia"/>
                <w:color w:val="auto"/>
                <w:kern w:val="0"/>
                <w:szCs w:val="21"/>
              </w:rPr>
              <w:t>4</w:t>
            </w:r>
          </w:p>
        </w:tc>
        <w:tc>
          <w:tcPr>
            <w:tcW w:w="1196" w:type="dxa"/>
            <w:tcBorders>
              <w:tl2br w:val="nil"/>
              <w:tr2bl w:val="nil"/>
            </w:tcBorders>
            <w:vAlign w:val="center"/>
          </w:tcPr>
          <w:p>
            <w:pPr>
              <w:pStyle w:val="48"/>
              <w:rPr>
                <w:bCs/>
                <w:color w:val="auto"/>
                <w:szCs w:val="21"/>
              </w:rPr>
            </w:pPr>
            <w:r>
              <w:rPr>
                <w:rFonts w:hint="eastAsia"/>
                <w:bCs/>
                <w:color w:val="auto"/>
                <w:szCs w:val="21"/>
              </w:rPr>
              <w:t>润滑油</w:t>
            </w:r>
          </w:p>
        </w:tc>
        <w:tc>
          <w:tcPr>
            <w:tcW w:w="971" w:type="dxa"/>
            <w:tcBorders>
              <w:tl2br w:val="nil"/>
              <w:tr2bl w:val="nil"/>
            </w:tcBorders>
            <w:vAlign w:val="center"/>
          </w:tcPr>
          <w:p>
            <w:pPr>
              <w:jc w:val="center"/>
              <w:rPr>
                <w:color w:val="auto"/>
                <w:kern w:val="0"/>
                <w:szCs w:val="21"/>
              </w:rPr>
            </w:pPr>
            <w:r>
              <w:rPr>
                <w:color w:val="auto"/>
                <w:kern w:val="0"/>
                <w:szCs w:val="21"/>
              </w:rPr>
              <w:t>/</w:t>
            </w:r>
          </w:p>
        </w:tc>
        <w:tc>
          <w:tcPr>
            <w:tcW w:w="1416" w:type="dxa"/>
            <w:tcBorders>
              <w:tl2br w:val="nil"/>
              <w:tr2bl w:val="nil"/>
            </w:tcBorders>
            <w:vAlign w:val="center"/>
          </w:tcPr>
          <w:p>
            <w:pPr>
              <w:jc w:val="center"/>
              <w:rPr>
                <w:color w:val="auto"/>
                <w:szCs w:val="21"/>
                <w:shd w:val="clear" w:color="auto" w:fill="FFFFFF"/>
              </w:rPr>
            </w:pPr>
            <w:r>
              <w:rPr>
                <w:rFonts w:hint="eastAsia"/>
                <w:color w:val="auto"/>
                <w:szCs w:val="21"/>
                <w:shd w:val="clear" w:color="auto" w:fill="FFFFFF"/>
              </w:rPr>
              <w:t>毒性、</w:t>
            </w:r>
            <w:r>
              <w:rPr>
                <w:color w:val="auto"/>
                <w:szCs w:val="21"/>
                <w:shd w:val="clear" w:color="auto" w:fill="FFFFFF"/>
              </w:rPr>
              <w:t>易燃</w:t>
            </w:r>
          </w:p>
        </w:tc>
        <w:tc>
          <w:tcPr>
            <w:tcW w:w="1219" w:type="dxa"/>
            <w:tcBorders>
              <w:tl2br w:val="nil"/>
              <w:tr2bl w:val="nil"/>
            </w:tcBorders>
            <w:vAlign w:val="center"/>
          </w:tcPr>
          <w:p>
            <w:pPr>
              <w:jc w:val="center"/>
              <w:rPr>
                <w:color w:val="auto"/>
                <w:kern w:val="0"/>
                <w:szCs w:val="21"/>
              </w:rPr>
            </w:pPr>
            <w:r>
              <w:rPr>
                <w:color w:val="auto"/>
                <w:kern w:val="0"/>
                <w:szCs w:val="21"/>
              </w:rPr>
              <w:t>油类物质</w:t>
            </w:r>
          </w:p>
        </w:tc>
        <w:tc>
          <w:tcPr>
            <w:tcW w:w="1522" w:type="dxa"/>
            <w:tcBorders>
              <w:tl2br w:val="nil"/>
              <w:tr2bl w:val="nil"/>
            </w:tcBorders>
            <w:vAlign w:val="center"/>
          </w:tcPr>
          <w:p>
            <w:pPr>
              <w:tabs>
                <w:tab w:val="left" w:pos="354"/>
              </w:tabs>
              <w:jc w:val="left"/>
              <w:rPr>
                <w:color w:val="auto"/>
                <w:kern w:val="0"/>
                <w:szCs w:val="21"/>
              </w:rPr>
            </w:pPr>
            <w:r>
              <w:rPr>
                <w:rFonts w:hint="eastAsia"/>
                <w:color w:val="auto"/>
                <w:kern w:val="0"/>
                <w:szCs w:val="21"/>
              </w:rPr>
              <w:t>原料堆放区</w:t>
            </w:r>
            <w:r>
              <w:rPr>
                <w:color w:val="auto"/>
                <w:kern w:val="0"/>
                <w:szCs w:val="21"/>
              </w:rPr>
              <w:t>，密封存放</w:t>
            </w:r>
          </w:p>
        </w:tc>
        <w:tc>
          <w:tcPr>
            <w:tcW w:w="1220" w:type="dxa"/>
            <w:tcBorders>
              <w:tl2br w:val="nil"/>
              <w:tr2bl w:val="nil"/>
            </w:tcBorders>
            <w:vAlign w:val="center"/>
          </w:tcPr>
          <w:p>
            <w:pPr>
              <w:snapToGrid w:val="0"/>
              <w:jc w:val="center"/>
              <w:rPr>
                <w:color w:val="auto"/>
                <w:szCs w:val="21"/>
              </w:rPr>
            </w:pPr>
            <w:r>
              <w:rPr>
                <w:bCs/>
                <w:color w:val="auto"/>
                <w:szCs w:val="21"/>
              </w:rPr>
              <w:t>0.04</w:t>
            </w:r>
          </w:p>
        </w:tc>
        <w:tc>
          <w:tcPr>
            <w:tcW w:w="939" w:type="dxa"/>
            <w:tcBorders>
              <w:tl2br w:val="nil"/>
              <w:tr2bl w:val="nil"/>
            </w:tcBorders>
            <w:vAlign w:val="center"/>
          </w:tcPr>
          <w:p>
            <w:pPr>
              <w:jc w:val="center"/>
              <w:rPr>
                <w:color w:val="auto"/>
                <w:kern w:val="0"/>
                <w:szCs w:val="21"/>
              </w:rPr>
            </w:pPr>
            <w:r>
              <w:rPr>
                <w:color w:val="auto"/>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 w:type="dxa"/>
            <w:tcBorders>
              <w:tl2br w:val="nil"/>
              <w:tr2bl w:val="nil"/>
            </w:tcBorders>
            <w:vAlign w:val="center"/>
          </w:tcPr>
          <w:p>
            <w:pPr>
              <w:jc w:val="center"/>
              <w:rPr>
                <w:color w:val="auto"/>
                <w:kern w:val="0"/>
                <w:szCs w:val="21"/>
              </w:rPr>
            </w:pPr>
            <w:r>
              <w:rPr>
                <w:rFonts w:hint="eastAsia"/>
                <w:color w:val="auto"/>
                <w:kern w:val="0"/>
                <w:szCs w:val="21"/>
              </w:rPr>
              <w:t>5</w:t>
            </w:r>
          </w:p>
        </w:tc>
        <w:tc>
          <w:tcPr>
            <w:tcW w:w="1196" w:type="dxa"/>
            <w:tcBorders>
              <w:tl2br w:val="nil"/>
              <w:tr2bl w:val="nil"/>
            </w:tcBorders>
            <w:vAlign w:val="center"/>
          </w:tcPr>
          <w:p>
            <w:pPr>
              <w:snapToGrid w:val="0"/>
              <w:jc w:val="center"/>
              <w:rPr>
                <w:bCs/>
                <w:color w:val="auto"/>
                <w:szCs w:val="21"/>
              </w:rPr>
            </w:pPr>
            <w:r>
              <w:rPr>
                <w:rFonts w:hint="eastAsia"/>
                <w:bCs/>
                <w:color w:val="auto"/>
                <w:szCs w:val="21"/>
              </w:rPr>
              <w:t>废矿物油</w:t>
            </w:r>
          </w:p>
        </w:tc>
        <w:tc>
          <w:tcPr>
            <w:tcW w:w="971" w:type="dxa"/>
            <w:tcBorders>
              <w:tl2br w:val="nil"/>
              <w:tr2bl w:val="nil"/>
            </w:tcBorders>
            <w:vAlign w:val="center"/>
          </w:tcPr>
          <w:p>
            <w:pPr>
              <w:jc w:val="center"/>
              <w:rPr>
                <w:color w:val="auto"/>
                <w:kern w:val="0"/>
                <w:szCs w:val="21"/>
              </w:rPr>
            </w:pPr>
            <w:r>
              <w:rPr>
                <w:color w:val="auto"/>
                <w:kern w:val="0"/>
                <w:szCs w:val="21"/>
              </w:rPr>
              <w:t>/</w:t>
            </w:r>
          </w:p>
        </w:tc>
        <w:tc>
          <w:tcPr>
            <w:tcW w:w="1416" w:type="dxa"/>
            <w:tcBorders>
              <w:tl2br w:val="nil"/>
              <w:tr2bl w:val="nil"/>
            </w:tcBorders>
            <w:vAlign w:val="center"/>
          </w:tcPr>
          <w:p>
            <w:pPr>
              <w:jc w:val="center"/>
              <w:rPr>
                <w:color w:val="auto"/>
                <w:szCs w:val="21"/>
                <w:shd w:val="clear" w:color="auto" w:fill="FFFFFF"/>
              </w:rPr>
            </w:pPr>
            <w:r>
              <w:rPr>
                <w:rFonts w:hint="eastAsia"/>
                <w:color w:val="auto"/>
                <w:szCs w:val="21"/>
                <w:shd w:val="clear" w:color="auto" w:fill="FFFFFF"/>
              </w:rPr>
              <w:t>毒性、</w:t>
            </w:r>
            <w:r>
              <w:rPr>
                <w:color w:val="auto"/>
                <w:szCs w:val="21"/>
                <w:shd w:val="clear" w:color="auto" w:fill="FFFFFF"/>
              </w:rPr>
              <w:t>易燃</w:t>
            </w:r>
          </w:p>
        </w:tc>
        <w:tc>
          <w:tcPr>
            <w:tcW w:w="1219" w:type="dxa"/>
            <w:tcBorders>
              <w:tl2br w:val="nil"/>
              <w:tr2bl w:val="nil"/>
            </w:tcBorders>
            <w:vAlign w:val="center"/>
          </w:tcPr>
          <w:p>
            <w:pPr>
              <w:jc w:val="center"/>
              <w:rPr>
                <w:color w:val="auto"/>
                <w:kern w:val="0"/>
                <w:szCs w:val="21"/>
              </w:rPr>
            </w:pPr>
            <w:r>
              <w:rPr>
                <w:color w:val="auto"/>
                <w:kern w:val="0"/>
                <w:szCs w:val="21"/>
              </w:rPr>
              <w:t>油类物质</w:t>
            </w:r>
          </w:p>
        </w:tc>
        <w:tc>
          <w:tcPr>
            <w:tcW w:w="1522" w:type="dxa"/>
            <w:tcBorders>
              <w:tl2br w:val="nil"/>
              <w:tr2bl w:val="nil"/>
            </w:tcBorders>
            <w:vAlign w:val="center"/>
          </w:tcPr>
          <w:p>
            <w:pPr>
              <w:tabs>
                <w:tab w:val="left" w:pos="354"/>
              </w:tabs>
              <w:jc w:val="left"/>
              <w:rPr>
                <w:color w:val="auto"/>
                <w:kern w:val="0"/>
                <w:szCs w:val="21"/>
              </w:rPr>
            </w:pPr>
            <w:r>
              <w:rPr>
                <w:color w:val="auto"/>
                <w:kern w:val="0"/>
                <w:szCs w:val="21"/>
              </w:rPr>
              <w:t>危废暂存间，密封存放</w:t>
            </w:r>
          </w:p>
        </w:tc>
        <w:tc>
          <w:tcPr>
            <w:tcW w:w="1220" w:type="dxa"/>
            <w:tcBorders>
              <w:tl2br w:val="nil"/>
              <w:tr2bl w:val="nil"/>
            </w:tcBorders>
            <w:vAlign w:val="center"/>
          </w:tcPr>
          <w:p>
            <w:pPr>
              <w:snapToGrid w:val="0"/>
              <w:jc w:val="center"/>
              <w:rPr>
                <w:color w:val="auto"/>
                <w:szCs w:val="21"/>
              </w:rPr>
            </w:pPr>
            <w:r>
              <w:rPr>
                <w:rFonts w:hint="eastAsia"/>
                <w:bCs/>
                <w:color w:val="auto"/>
                <w:szCs w:val="21"/>
              </w:rPr>
              <w:t>1</w:t>
            </w:r>
            <w:r>
              <w:rPr>
                <w:bCs/>
                <w:color w:val="auto"/>
                <w:szCs w:val="21"/>
              </w:rPr>
              <w:t>.08</w:t>
            </w:r>
          </w:p>
        </w:tc>
        <w:tc>
          <w:tcPr>
            <w:tcW w:w="939" w:type="dxa"/>
            <w:tcBorders>
              <w:tl2br w:val="nil"/>
              <w:tr2bl w:val="nil"/>
            </w:tcBorders>
            <w:vAlign w:val="center"/>
          </w:tcPr>
          <w:p>
            <w:pPr>
              <w:jc w:val="center"/>
              <w:rPr>
                <w:color w:val="auto"/>
                <w:kern w:val="0"/>
                <w:szCs w:val="21"/>
              </w:rPr>
            </w:pPr>
            <w:r>
              <w:rPr>
                <w:color w:val="auto"/>
                <w:kern w:val="0"/>
                <w:szCs w:val="21"/>
              </w:rPr>
              <w:t>2500</w:t>
            </w:r>
          </w:p>
        </w:tc>
      </w:tr>
    </w:tbl>
    <w:p>
      <w:pPr>
        <w:keepNext/>
        <w:keepLines/>
        <w:spacing w:line="360" w:lineRule="auto"/>
        <w:jc w:val="left"/>
        <w:outlineLvl w:val="2"/>
        <w:rPr>
          <w:b/>
          <w:bCs/>
          <w:color w:val="auto"/>
          <w:sz w:val="28"/>
          <w:szCs w:val="28"/>
        </w:rPr>
      </w:pPr>
      <w:bookmarkStart w:id="2591" w:name="_Toc7882"/>
      <w:r>
        <w:rPr>
          <w:rFonts w:hint="eastAsia"/>
          <w:b/>
          <w:bCs/>
          <w:color w:val="auto"/>
          <w:sz w:val="28"/>
          <w:szCs w:val="28"/>
        </w:rPr>
        <w:t>7.5.</w:t>
      </w:r>
      <w:r>
        <w:rPr>
          <w:b/>
          <w:bCs/>
          <w:color w:val="auto"/>
          <w:sz w:val="28"/>
          <w:szCs w:val="28"/>
        </w:rPr>
        <w:t>3</w:t>
      </w:r>
      <w:r>
        <w:rPr>
          <w:rFonts w:hint="eastAsia"/>
          <w:b/>
          <w:bCs/>
          <w:color w:val="auto"/>
          <w:sz w:val="28"/>
          <w:szCs w:val="28"/>
        </w:rPr>
        <w:t xml:space="preserve">  生产系统风险识别</w:t>
      </w:r>
      <w:bookmarkEnd w:id="2591"/>
    </w:p>
    <w:p>
      <w:pPr>
        <w:spacing w:line="360" w:lineRule="auto"/>
        <w:ind w:firstLine="480" w:firstLineChars="200"/>
        <w:jc w:val="left"/>
        <w:rPr>
          <w:color w:val="auto"/>
          <w:sz w:val="24"/>
        </w:rPr>
      </w:pPr>
      <w:r>
        <w:rPr>
          <w:color w:val="auto"/>
          <w:sz w:val="24"/>
        </w:rPr>
        <w:t>（1）生产区风险源强识别</w:t>
      </w:r>
    </w:p>
    <w:p>
      <w:pPr>
        <w:spacing w:line="360" w:lineRule="auto"/>
        <w:ind w:firstLine="480" w:firstLineChars="200"/>
        <w:jc w:val="left"/>
        <w:rPr>
          <w:color w:val="auto"/>
          <w:kern w:val="0"/>
          <w:sz w:val="24"/>
        </w:rPr>
      </w:pPr>
      <w:r>
        <w:rPr>
          <w:color w:val="auto"/>
          <w:kern w:val="0"/>
          <w:sz w:val="24"/>
        </w:rPr>
        <w:t>本项目生产区的环境风险主要存在于</w:t>
      </w:r>
      <w:r>
        <w:rPr>
          <w:rFonts w:hint="eastAsia"/>
          <w:color w:val="auto"/>
          <w:kern w:val="0"/>
          <w:sz w:val="24"/>
        </w:rPr>
        <w:t>湿式破碎生产车间和卷材生产车间</w:t>
      </w:r>
      <w:r>
        <w:rPr>
          <w:color w:val="auto"/>
          <w:kern w:val="0"/>
          <w:sz w:val="24"/>
        </w:rPr>
        <w:t>。</w:t>
      </w:r>
    </w:p>
    <w:p>
      <w:pPr>
        <w:spacing w:line="360" w:lineRule="auto"/>
        <w:ind w:firstLine="480" w:firstLineChars="200"/>
        <w:jc w:val="left"/>
        <w:rPr>
          <w:color w:val="auto"/>
          <w:kern w:val="0"/>
          <w:sz w:val="24"/>
        </w:rPr>
      </w:pPr>
      <w:r>
        <w:rPr>
          <w:rFonts w:hint="eastAsia"/>
          <w:color w:val="auto"/>
          <w:kern w:val="0"/>
          <w:sz w:val="24"/>
        </w:rPr>
        <w:t>①泄漏事故</w:t>
      </w:r>
    </w:p>
    <w:p>
      <w:pPr>
        <w:spacing w:line="360" w:lineRule="auto"/>
        <w:ind w:firstLine="480" w:firstLineChars="200"/>
        <w:jc w:val="left"/>
        <w:rPr>
          <w:color w:val="auto"/>
          <w:kern w:val="0"/>
          <w:sz w:val="24"/>
        </w:rPr>
      </w:pPr>
      <w:r>
        <w:rPr>
          <w:rFonts w:hint="eastAsia"/>
          <w:color w:val="auto"/>
          <w:kern w:val="0"/>
          <w:sz w:val="24"/>
        </w:rPr>
        <w:t>项目的湿式破碎生产车间在生产中需使用水，经沉淀处理后回用于生产。当管道、泵、</w:t>
      </w:r>
      <w:r>
        <w:rPr>
          <w:color w:val="auto"/>
          <w:kern w:val="0"/>
          <w:sz w:val="24"/>
        </w:rPr>
        <w:t>管线切换头</w:t>
      </w:r>
      <w:r>
        <w:rPr>
          <w:rFonts w:hint="eastAsia"/>
          <w:color w:val="auto"/>
          <w:kern w:val="0"/>
          <w:sz w:val="24"/>
        </w:rPr>
        <w:t>等处出现破裂、磨损、超压、腐蚀、生锈等情况，将会导致废水泄漏事故。</w:t>
      </w:r>
    </w:p>
    <w:p>
      <w:pPr>
        <w:spacing w:line="360" w:lineRule="auto"/>
        <w:ind w:firstLine="480" w:firstLineChars="200"/>
        <w:jc w:val="left"/>
        <w:rPr>
          <w:color w:val="auto"/>
          <w:kern w:val="0"/>
          <w:sz w:val="24"/>
        </w:rPr>
      </w:pPr>
      <w:r>
        <w:rPr>
          <w:rFonts w:hint="eastAsia"/>
          <w:color w:val="auto"/>
          <w:kern w:val="0"/>
          <w:sz w:val="24"/>
        </w:rPr>
        <w:t>项目的卷材生产车间设有1个沥青储罐和1个软化油储罐，生产时使用管道对沥青、软化油和混合后的浆料进行输送。若罐体、管道、泵、</w:t>
      </w:r>
      <w:r>
        <w:rPr>
          <w:color w:val="auto"/>
          <w:kern w:val="0"/>
          <w:sz w:val="24"/>
        </w:rPr>
        <w:t>管线切换头</w:t>
      </w:r>
      <w:r>
        <w:rPr>
          <w:rFonts w:hint="eastAsia"/>
          <w:color w:val="auto"/>
          <w:kern w:val="0"/>
          <w:sz w:val="24"/>
        </w:rPr>
        <w:t>等处出现破裂、磨损、超压、腐蚀、生锈等情况，将会导致原料、浆料泄漏事故。</w:t>
      </w:r>
    </w:p>
    <w:p>
      <w:pPr>
        <w:spacing w:line="360" w:lineRule="auto"/>
        <w:ind w:firstLine="480" w:firstLineChars="200"/>
        <w:jc w:val="left"/>
        <w:rPr>
          <w:color w:val="auto"/>
          <w:kern w:val="0"/>
          <w:sz w:val="24"/>
        </w:rPr>
      </w:pPr>
      <w:r>
        <w:rPr>
          <w:rFonts w:hint="eastAsia"/>
          <w:color w:val="auto"/>
          <w:kern w:val="0"/>
          <w:sz w:val="24"/>
        </w:rPr>
        <w:t>②火灾、爆炸事故</w:t>
      </w:r>
    </w:p>
    <w:p>
      <w:pPr>
        <w:spacing w:line="360" w:lineRule="auto"/>
        <w:ind w:firstLine="480" w:firstLineChars="200"/>
        <w:jc w:val="left"/>
        <w:rPr>
          <w:color w:val="auto"/>
          <w:kern w:val="0"/>
          <w:sz w:val="24"/>
        </w:rPr>
      </w:pPr>
      <w:r>
        <w:rPr>
          <w:rFonts w:hint="eastAsia"/>
          <w:color w:val="auto"/>
          <w:kern w:val="0"/>
          <w:sz w:val="24"/>
        </w:rPr>
        <w:t>湿式破碎生产车间和卷材生产车间</w:t>
      </w:r>
      <w:r>
        <w:rPr>
          <w:color w:val="auto"/>
          <w:kern w:val="0"/>
          <w:sz w:val="24"/>
        </w:rPr>
        <w:t>放置着本项目主要的生产设备，由于机器设备使用频率高，在没有做好日常检修保养工作时，容易出现故障。</w:t>
      </w:r>
      <w:r>
        <w:rPr>
          <w:rFonts w:hint="eastAsia"/>
          <w:color w:val="auto"/>
          <w:kern w:val="0"/>
          <w:sz w:val="24"/>
        </w:rPr>
        <w:t>由于</w:t>
      </w:r>
      <w:r>
        <w:rPr>
          <w:color w:val="auto"/>
          <w:kern w:val="0"/>
          <w:sz w:val="24"/>
        </w:rPr>
        <w:t>机器设备摆放较为密集，负荷较大，容易由于电线短路、过载等原因引发火灾或爆炸的风险。</w:t>
      </w:r>
      <w:r>
        <w:rPr>
          <w:rFonts w:hint="eastAsia"/>
          <w:color w:val="auto"/>
          <w:kern w:val="0"/>
          <w:sz w:val="24"/>
        </w:rPr>
        <w:t>项目在卷材生产车间设有1台导热油炉，使用管道天然气。当发生故障、泄漏情况时，可能会进一步</w:t>
      </w:r>
      <w:r>
        <w:rPr>
          <w:color w:val="auto"/>
          <w:kern w:val="0"/>
          <w:sz w:val="24"/>
        </w:rPr>
        <w:t>引发火灾或爆炸</w:t>
      </w:r>
      <w:r>
        <w:rPr>
          <w:rFonts w:hint="eastAsia"/>
          <w:color w:val="auto"/>
          <w:kern w:val="0"/>
          <w:sz w:val="24"/>
        </w:rPr>
        <w:t>。</w:t>
      </w:r>
      <w:r>
        <w:rPr>
          <w:rFonts w:hint="eastAsia"/>
          <w:color w:val="auto"/>
          <w:kern w:val="0"/>
          <w:sz w:val="24"/>
          <w:lang w:val="en-US" w:eastAsia="zh-CN"/>
        </w:rPr>
        <w:t>项目的原料堆放区放置着大量的覆铜板，项目的树脂粉暂存间内也有不少的废树脂粉，在卷材生产区内有沥青储罐和软化油储罐。上述原料均为可燃物，</w:t>
      </w:r>
      <w:r>
        <w:rPr>
          <w:color w:val="auto"/>
          <w:kern w:val="0"/>
          <w:sz w:val="24"/>
        </w:rPr>
        <w:t>一旦火情得不到及时控制，则</w:t>
      </w:r>
      <w:r>
        <w:rPr>
          <w:rFonts w:hint="eastAsia"/>
          <w:color w:val="auto"/>
          <w:kern w:val="0"/>
          <w:sz w:val="24"/>
          <w:lang w:val="en-US" w:eastAsia="zh-CN"/>
        </w:rPr>
        <w:t>有可能会</w:t>
      </w:r>
      <w:r>
        <w:rPr>
          <w:color w:val="auto"/>
          <w:kern w:val="0"/>
          <w:sz w:val="24"/>
        </w:rPr>
        <w:t>迅速</w:t>
      </w:r>
      <w:r>
        <w:rPr>
          <w:rFonts w:hint="eastAsia"/>
          <w:color w:val="auto"/>
          <w:kern w:val="0"/>
          <w:sz w:val="24"/>
          <w:lang w:val="en-US" w:eastAsia="zh-CN"/>
        </w:rPr>
        <w:t>蔓延至上述区域，引燃覆铜板、废树脂粉、沥青和乳化油等物料，使火情进一步</w:t>
      </w:r>
      <w:r>
        <w:rPr>
          <w:color w:val="auto"/>
          <w:kern w:val="0"/>
          <w:sz w:val="24"/>
        </w:rPr>
        <w:t>扩大。</w:t>
      </w:r>
      <w:r>
        <w:rPr>
          <w:rFonts w:hint="eastAsia"/>
          <w:color w:val="auto"/>
          <w:kern w:val="0"/>
          <w:sz w:val="24"/>
          <w:lang w:val="en-US" w:eastAsia="zh-CN"/>
        </w:rPr>
        <w:t>废树脂粉等在</w:t>
      </w:r>
      <w:r>
        <w:rPr>
          <w:color w:val="auto"/>
          <w:kern w:val="0"/>
          <w:sz w:val="24"/>
        </w:rPr>
        <w:t>燃烧时会产生较大量的有毒有害气体，危害周边群众的身体健康和大气环境。</w:t>
      </w:r>
      <w:r>
        <w:rPr>
          <w:rFonts w:hint="eastAsia"/>
          <w:color w:val="auto"/>
          <w:kern w:val="0"/>
          <w:sz w:val="24"/>
          <w:lang w:val="en-US" w:eastAsia="zh-CN"/>
        </w:rPr>
        <w:t>此外，</w:t>
      </w:r>
      <w:r>
        <w:rPr>
          <w:color w:val="auto"/>
          <w:kern w:val="0"/>
          <w:sz w:val="24"/>
        </w:rPr>
        <w:t>在火灾扑灭过程中产生消防废水，有可能连同各有毒有害物质进入地表水中。</w:t>
      </w:r>
    </w:p>
    <w:p>
      <w:pPr>
        <w:spacing w:line="360" w:lineRule="auto"/>
        <w:ind w:firstLine="480" w:firstLineChars="200"/>
        <w:jc w:val="left"/>
        <w:rPr>
          <w:color w:val="auto"/>
          <w:kern w:val="0"/>
          <w:sz w:val="24"/>
        </w:rPr>
      </w:pPr>
      <w:r>
        <w:rPr>
          <w:color w:val="auto"/>
          <w:kern w:val="0"/>
          <w:sz w:val="24"/>
        </w:rPr>
        <w:t>（2）储存区风险源强识别</w:t>
      </w:r>
    </w:p>
    <w:p>
      <w:pPr>
        <w:spacing w:line="360" w:lineRule="auto"/>
        <w:ind w:firstLine="480" w:firstLineChars="200"/>
        <w:jc w:val="left"/>
        <w:rPr>
          <w:color w:val="auto"/>
          <w:kern w:val="0"/>
          <w:sz w:val="24"/>
        </w:rPr>
      </w:pPr>
      <w:r>
        <w:rPr>
          <w:rFonts w:hint="eastAsia"/>
          <w:color w:val="auto"/>
          <w:kern w:val="0"/>
          <w:sz w:val="24"/>
        </w:rPr>
        <w:t>①泄漏事故</w:t>
      </w:r>
    </w:p>
    <w:p>
      <w:pPr>
        <w:spacing w:line="360" w:lineRule="auto"/>
        <w:ind w:firstLine="480" w:firstLineChars="200"/>
        <w:jc w:val="left"/>
        <w:rPr>
          <w:color w:val="auto"/>
          <w:kern w:val="0"/>
          <w:sz w:val="24"/>
        </w:rPr>
      </w:pPr>
      <w:r>
        <w:rPr>
          <w:rFonts w:hint="eastAsia"/>
          <w:color w:val="auto"/>
          <w:kern w:val="0"/>
          <w:sz w:val="24"/>
        </w:rPr>
        <w:t>本项目</w:t>
      </w:r>
      <w:r>
        <w:rPr>
          <w:color w:val="auto"/>
          <w:kern w:val="0"/>
          <w:sz w:val="24"/>
        </w:rPr>
        <w:t>的储存区有原料</w:t>
      </w:r>
      <w:r>
        <w:rPr>
          <w:rFonts w:hint="eastAsia"/>
          <w:color w:val="auto"/>
          <w:kern w:val="0"/>
          <w:sz w:val="24"/>
        </w:rPr>
        <w:t>堆放区和</w:t>
      </w:r>
      <w:r>
        <w:rPr>
          <w:color w:val="auto"/>
          <w:kern w:val="0"/>
          <w:sz w:val="24"/>
        </w:rPr>
        <w:t>危废暂存间，分别存放着各种原辅材料和危险废物。</w:t>
      </w:r>
      <w:r>
        <w:rPr>
          <w:rFonts w:hint="eastAsia"/>
          <w:color w:val="auto"/>
          <w:kern w:val="0"/>
          <w:sz w:val="24"/>
        </w:rPr>
        <w:t>项目</w:t>
      </w:r>
      <w:r>
        <w:rPr>
          <w:color w:val="auto"/>
          <w:kern w:val="0"/>
          <w:sz w:val="24"/>
        </w:rPr>
        <w:t>原料</w:t>
      </w:r>
      <w:r>
        <w:rPr>
          <w:rFonts w:hint="eastAsia"/>
          <w:color w:val="auto"/>
          <w:kern w:val="0"/>
          <w:sz w:val="24"/>
        </w:rPr>
        <w:t>堆放区存放的导热油和润滑油</w:t>
      </w:r>
      <w:r>
        <w:rPr>
          <w:color w:val="auto"/>
          <w:kern w:val="0"/>
          <w:sz w:val="24"/>
        </w:rPr>
        <w:t>为风险物质</w:t>
      </w:r>
      <w:r>
        <w:rPr>
          <w:rFonts w:hint="eastAsia"/>
          <w:color w:val="auto"/>
          <w:kern w:val="0"/>
          <w:sz w:val="24"/>
        </w:rPr>
        <w:t>，危废暂存间的废矿物油、为液态</w:t>
      </w:r>
      <w:r>
        <w:rPr>
          <w:color w:val="auto"/>
          <w:kern w:val="0"/>
          <w:sz w:val="24"/>
        </w:rPr>
        <w:t>。</w:t>
      </w:r>
      <w:r>
        <w:rPr>
          <w:rFonts w:hint="eastAsia"/>
          <w:color w:val="auto"/>
          <w:kern w:val="0"/>
          <w:sz w:val="24"/>
        </w:rPr>
        <w:t>可能会出现</w:t>
      </w:r>
      <w:r>
        <w:rPr>
          <w:color w:val="auto"/>
          <w:kern w:val="0"/>
          <w:sz w:val="24"/>
        </w:rPr>
        <w:t>雨水渗漏、危废随意堆放、盛装容器破裂或人为操作失误导致装卸或储存过程发生泄漏等风险。若发生泄漏后没有及时妥善处理，则可能会导致危险物进入自然环境中，进一步对周围环境的水体、土壤或空气环境造成一定的污染。</w:t>
      </w:r>
    </w:p>
    <w:p>
      <w:pPr>
        <w:spacing w:line="360" w:lineRule="auto"/>
        <w:ind w:firstLine="480" w:firstLineChars="200"/>
        <w:jc w:val="left"/>
        <w:rPr>
          <w:color w:val="auto"/>
          <w:kern w:val="0"/>
          <w:sz w:val="24"/>
        </w:rPr>
      </w:pPr>
      <w:r>
        <w:rPr>
          <w:rFonts w:hint="eastAsia"/>
          <w:color w:val="auto"/>
          <w:kern w:val="0"/>
          <w:sz w:val="24"/>
        </w:rPr>
        <w:t>②火灾、爆炸事故</w:t>
      </w:r>
    </w:p>
    <w:p>
      <w:pPr>
        <w:spacing w:line="360" w:lineRule="auto"/>
        <w:ind w:firstLine="480" w:firstLineChars="200"/>
        <w:jc w:val="left"/>
        <w:rPr>
          <w:color w:val="auto"/>
          <w:kern w:val="0"/>
          <w:sz w:val="24"/>
        </w:rPr>
      </w:pPr>
      <w:r>
        <w:rPr>
          <w:rFonts w:hint="eastAsia"/>
          <w:color w:val="auto"/>
          <w:kern w:val="0"/>
          <w:sz w:val="24"/>
        </w:rPr>
        <w:t>导热油、润滑油、废矿物油</w:t>
      </w:r>
      <w:r>
        <w:rPr>
          <w:bCs/>
          <w:color w:val="auto"/>
          <w:sz w:val="24"/>
        </w:rPr>
        <w:t>等</w:t>
      </w:r>
      <w:r>
        <w:rPr>
          <w:color w:val="auto"/>
          <w:kern w:val="0"/>
          <w:sz w:val="24"/>
        </w:rPr>
        <w:t>易燃，遇明火、高热能引起燃烧</w:t>
      </w:r>
      <w:r>
        <w:rPr>
          <w:rFonts w:hint="eastAsia"/>
          <w:color w:val="auto"/>
          <w:kern w:val="0"/>
          <w:sz w:val="24"/>
          <w:lang w:val="en-US" w:eastAsia="zh-CN"/>
        </w:rPr>
        <w:t>或</w:t>
      </w:r>
      <w:r>
        <w:rPr>
          <w:color w:val="auto"/>
          <w:kern w:val="0"/>
          <w:sz w:val="24"/>
        </w:rPr>
        <w:t>爆炸</w:t>
      </w:r>
      <w:r>
        <w:rPr>
          <w:rFonts w:hint="eastAsia"/>
          <w:color w:val="auto"/>
          <w:kern w:val="0"/>
          <w:sz w:val="24"/>
          <w:lang w:eastAsia="zh-CN"/>
        </w:rPr>
        <w:t>。</w:t>
      </w:r>
      <w:r>
        <w:rPr>
          <w:rFonts w:hint="eastAsia"/>
          <w:color w:val="auto"/>
          <w:kern w:val="0"/>
          <w:sz w:val="24"/>
          <w:lang w:val="en-US" w:eastAsia="zh-CN"/>
        </w:rPr>
        <w:t>废树脂粉、沥青等</w:t>
      </w:r>
      <w:r>
        <w:rPr>
          <w:color w:val="auto"/>
          <w:kern w:val="0"/>
          <w:sz w:val="24"/>
        </w:rPr>
        <w:t>燃烧会产生大量</w:t>
      </w:r>
      <w:r>
        <w:rPr>
          <w:rFonts w:hint="eastAsia"/>
          <w:color w:val="auto"/>
          <w:kern w:val="0"/>
          <w:sz w:val="24"/>
          <w:lang w:val="en-US" w:eastAsia="zh-CN"/>
        </w:rPr>
        <w:t>有毒有害</w:t>
      </w:r>
      <w:r>
        <w:rPr>
          <w:color w:val="auto"/>
          <w:kern w:val="0"/>
          <w:sz w:val="24"/>
        </w:rPr>
        <w:t>浓烟，危害人体健康，</w:t>
      </w:r>
      <w:r>
        <w:rPr>
          <w:rFonts w:hint="eastAsia"/>
          <w:color w:val="auto"/>
          <w:kern w:val="0"/>
          <w:sz w:val="24"/>
          <w:lang w:val="en-US" w:eastAsia="zh-CN"/>
        </w:rPr>
        <w:t>且会</w:t>
      </w:r>
      <w:r>
        <w:rPr>
          <w:color w:val="auto"/>
          <w:kern w:val="0"/>
          <w:sz w:val="24"/>
        </w:rPr>
        <w:t>造成</w:t>
      </w:r>
      <w:r>
        <w:rPr>
          <w:rFonts w:hint="eastAsia"/>
          <w:color w:val="auto"/>
          <w:kern w:val="0"/>
          <w:sz w:val="24"/>
          <w:lang w:val="en-US" w:eastAsia="zh-CN"/>
        </w:rPr>
        <w:t>较严重的</w:t>
      </w:r>
      <w:r>
        <w:rPr>
          <w:color w:val="auto"/>
          <w:kern w:val="0"/>
          <w:sz w:val="24"/>
        </w:rPr>
        <w:t>大气污染</w:t>
      </w:r>
      <w:r>
        <w:rPr>
          <w:rFonts w:hint="eastAsia"/>
          <w:color w:val="auto"/>
          <w:kern w:val="0"/>
          <w:sz w:val="24"/>
          <w:lang w:eastAsia="zh-CN"/>
        </w:rPr>
        <w:t>。</w:t>
      </w:r>
    </w:p>
    <w:p>
      <w:pPr>
        <w:spacing w:line="360" w:lineRule="auto"/>
        <w:ind w:firstLine="480" w:firstLineChars="200"/>
        <w:jc w:val="left"/>
        <w:rPr>
          <w:color w:val="auto"/>
          <w:kern w:val="0"/>
          <w:sz w:val="24"/>
        </w:rPr>
      </w:pPr>
      <w:r>
        <w:rPr>
          <w:color w:val="auto"/>
          <w:kern w:val="0"/>
          <w:sz w:val="24"/>
        </w:rPr>
        <w:t>（3）环保设施风险识别</w:t>
      </w:r>
    </w:p>
    <w:p>
      <w:pPr>
        <w:spacing w:line="360" w:lineRule="auto"/>
        <w:ind w:firstLine="480" w:firstLineChars="200"/>
        <w:jc w:val="left"/>
        <w:rPr>
          <w:color w:val="auto"/>
          <w:kern w:val="0"/>
          <w:sz w:val="24"/>
        </w:rPr>
      </w:pPr>
      <w:r>
        <w:rPr>
          <w:color w:val="auto"/>
          <w:kern w:val="0"/>
          <w:sz w:val="24"/>
        </w:rPr>
        <w:t>本项目环境保护设施的环境风险主要</w:t>
      </w:r>
      <w:r>
        <w:rPr>
          <w:rFonts w:hint="eastAsia"/>
          <w:color w:val="auto"/>
          <w:kern w:val="0"/>
          <w:sz w:val="24"/>
        </w:rPr>
        <w:t>有旋风布袋除尘器、</w:t>
      </w:r>
      <w:r>
        <w:rPr>
          <w:color w:val="auto"/>
          <w:sz w:val="24"/>
        </w:rPr>
        <w:t>“旋风除尘+冷凝器+油烟净化器+UV光解+活性炭吸附”设备</w:t>
      </w:r>
      <w:r>
        <w:rPr>
          <w:color w:val="auto"/>
          <w:kern w:val="0"/>
          <w:sz w:val="24"/>
        </w:rPr>
        <w:t>、</w:t>
      </w:r>
      <w:r>
        <w:rPr>
          <w:rFonts w:hint="eastAsia"/>
          <w:color w:val="auto"/>
          <w:kern w:val="0"/>
          <w:sz w:val="24"/>
        </w:rPr>
        <w:t>三级化粪池和沉淀池</w:t>
      </w:r>
      <w:r>
        <w:rPr>
          <w:color w:val="auto"/>
          <w:kern w:val="0"/>
          <w:sz w:val="24"/>
        </w:rPr>
        <w:t>。</w:t>
      </w:r>
    </w:p>
    <w:p>
      <w:pPr>
        <w:spacing w:line="360" w:lineRule="auto"/>
        <w:ind w:firstLine="480" w:firstLineChars="200"/>
        <w:jc w:val="left"/>
        <w:rPr>
          <w:color w:val="auto"/>
          <w:kern w:val="0"/>
          <w:sz w:val="24"/>
        </w:rPr>
      </w:pPr>
      <w:r>
        <w:rPr>
          <w:color w:val="auto"/>
          <w:kern w:val="0"/>
          <w:sz w:val="24"/>
        </w:rPr>
        <w:t>若</w:t>
      </w:r>
      <w:r>
        <w:rPr>
          <w:rFonts w:hint="eastAsia"/>
          <w:color w:val="auto"/>
          <w:kern w:val="0"/>
          <w:sz w:val="24"/>
        </w:rPr>
        <w:t>旋风布袋除尘器和</w:t>
      </w:r>
      <w:r>
        <w:rPr>
          <w:color w:val="auto"/>
          <w:sz w:val="24"/>
        </w:rPr>
        <w:t>“旋风除尘+冷凝器+油烟净化器+UV光解+活性炭吸附”设备</w:t>
      </w:r>
      <w:r>
        <w:rPr>
          <w:rFonts w:hint="eastAsia"/>
          <w:color w:val="auto"/>
          <w:kern w:val="0"/>
          <w:sz w:val="24"/>
        </w:rPr>
        <w:t>发生</w:t>
      </w:r>
      <w:r>
        <w:rPr>
          <w:color w:val="auto"/>
          <w:kern w:val="0"/>
          <w:sz w:val="24"/>
        </w:rPr>
        <w:t>故障，则会导致事故性排放。</w:t>
      </w:r>
      <w:r>
        <w:rPr>
          <w:rFonts w:hint="eastAsia"/>
          <w:color w:val="auto"/>
          <w:kern w:val="0"/>
          <w:sz w:val="24"/>
        </w:rPr>
        <w:t>项目产生的颗粒物、</w:t>
      </w:r>
      <w:r>
        <w:rPr>
          <w:color w:val="auto"/>
          <w:kern w:val="0"/>
          <w:sz w:val="24"/>
        </w:rPr>
        <w:t>苯并[a]芘</w:t>
      </w:r>
      <w:r>
        <w:rPr>
          <w:rFonts w:hint="eastAsia"/>
          <w:color w:val="auto"/>
          <w:kern w:val="0"/>
          <w:sz w:val="24"/>
        </w:rPr>
        <w:t>、</w:t>
      </w:r>
      <w:r>
        <w:rPr>
          <w:color w:val="auto"/>
          <w:kern w:val="0"/>
          <w:sz w:val="24"/>
        </w:rPr>
        <w:t>沥青烟</w:t>
      </w:r>
      <w:r>
        <w:rPr>
          <w:rFonts w:hint="eastAsia"/>
          <w:color w:val="auto"/>
          <w:kern w:val="0"/>
          <w:sz w:val="24"/>
        </w:rPr>
        <w:t>和</w:t>
      </w:r>
      <w:r>
        <w:rPr>
          <w:color w:val="auto"/>
          <w:kern w:val="0"/>
          <w:sz w:val="24"/>
        </w:rPr>
        <w:t>非甲烷总烃废气</w:t>
      </w:r>
      <w:r>
        <w:rPr>
          <w:rFonts w:hint="eastAsia"/>
          <w:color w:val="auto"/>
          <w:kern w:val="0"/>
          <w:sz w:val="24"/>
        </w:rPr>
        <w:t>将会未经处理对外排放。虽然</w:t>
      </w:r>
      <w:r>
        <w:rPr>
          <w:color w:val="auto"/>
          <w:kern w:val="0"/>
          <w:sz w:val="24"/>
        </w:rPr>
        <w:t>不至于超标排放，但污染物未被处理后直接排放至大气中，仍然会对周围环境造成一定的影响。</w:t>
      </w:r>
    </w:p>
    <w:p>
      <w:pPr>
        <w:spacing w:line="360" w:lineRule="auto"/>
        <w:ind w:firstLine="480" w:firstLineChars="200"/>
        <w:jc w:val="left"/>
        <w:rPr>
          <w:color w:val="auto"/>
          <w:kern w:val="0"/>
          <w:sz w:val="24"/>
        </w:rPr>
      </w:pPr>
      <w:r>
        <w:rPr>
          <w:rFonts w:hint="eastAsia"/>
          <w:color w:val="auto"/>
          <w:kern w:val="0"/>
          <w:sz w:val="24"/>
        </w:rPr>
        <w:t>三级化粪池</w:t>
      </w:r>
      <w:r>
        <w:rPr>
          <w:color w:val="auto"/>
          <w:kern w:val="0"/>
          <w:sz w:val="24"/>
        </w:rPr>
        <w:t>发生故障</w:t>
      </w:r>
      <w:r>
        <w:rPr>
          <w:rFonts w:hint="eastAsia"/>
          <w:color w:val="auto"/>
          <w:kern w:val="0"/>
          <w:sz w:val="24"/>
        </w:rPr>
        <w:t>或破裂、渗漏</w:t>
      </w:r>
      <w:r>
        <w:rPr>
          <w:color w:val="auto"/>
          <w:kern w:val="0"/>
          <w:sz w:val="24"/>
        </w:rPr>
        <w:t>的情况下，生活污水会未经处理直接排放，</w:t>
      </w:r>
      <w:r>
        <w:rPr>
          <w:rFonts w:hint="eastAsia"/>
          <w:color w:val="auto"/>
          <w:kern w:val="0"/>
          <w:sz w:val="24"/>
        </w:rPr>
        <w:t>虽然项目COD</w:t>
      </w:r>
      <w:r>
        <w:rPr>
          <w:rFonts w:hint="eastAsia"/>
          <w:color w:val="auto"/>
          <w:kern w:val="0"/>
          <w:sz w:val="24"/>
          <w:vertAlign w:val="subscript"/>
        </w:rPr>
        <w:t>Cr</w:t>
      </w:r>
      <w:r>
        <w:rPr>
          <w:rFonts w:hint="eastAsia"/>
          <w:color w:val="auto"/>
          <w:kern w:val="0"/>
          <w:sz w:val="24"/>
        </w:rPr>
        <w:t>、氨氮和SS的产生浓度低于石角镇污水厂的纳污标准值，但BOD</w:t>
      </w:r>
      <w:r>
        <w:rPr>
          <w:rFonts w:hint="eastAsia"/>
          <w:color w:val="auto"/>
          <w:kern w:val="0"/>
          <w:sz w:val="24"/>
          <w:vertAlign w:val="subscript"/>
        </w:rPr>
        <w:t>5</w:t>
      </w:r>
      <w:r>
        <w:rPr>
          <w:rFonts w:hint="eastAsia"/>
          <w:color w:val="auto"/>
          <w:kern w:val="0"/>
          <w:sz w:val="24"/>
        </w:rPr>
        <w:t>的产生浓度高于污标准值，此时将</w:t>
      </w:r>
      <w:r>
        <w:rPr>
          <w:color w:val="auto"/>
          <w:kern w:val="0"/>
          <w:sz w:val="24"/>
        </w:rPr>
        <w:t>出现超标排放现象</w:t>
      </w:r>
      <w:r>
        <w:rPr>
          <w:rFonts w:hint="eastAsia"/>
          <w:color w:val="auto"/>
          <w:kern w:val="0"/>
          <w:sz w:val="24"/>
        </w:rPr>
        <w:t>。</w:t>
      </w:r>
    </w:p>
    <w:p>
      <w:pPr>
        <w:spacing w:line="360" w:lineRule="auto"/>
        <w:ind w:firstLine="480" w:firstLineChars="200"/>
        <w:jc w:val="left"/>
        <w:rPr>
          <w:color w:val="auto"/>
          <w:kern w:val="0"/>
          <w:sz w:val="24"/>
        </w:rPr>
      </w:pPr>
      <w:r>
        <w:rPr>
          <w:rFonts w:hint="eastAsia"/>
          <w:color w:val="auto"/>
          <w:kern w:val="0"/>
          <w:sz w:val="24"/>
        </w:rPr>
        <w:t>项目湿式破碎生产线的沉淀池若出现故障、破裂或渗漏情况，一方面会影响项目的生产，另一方面可能会导致循环水外泄，进入土壤和地下水环境中，将会对项目周边的土壤和地下水环境造成一定的影响。</w:t>
      </w:r>
    </w:p>
    <w:p>
      <w:pPr>
        <w:spacing w:line="360" w:lineRule="auto"/>
        <w:ind w:firstLine="422" w:firstLineChars="200"/>
        <w:jc w:val="center"/>
        <w:rPr>
          <w:b/>
          <w:bCs/>
          <w:color w:val="auto"/>
          <w:kern w:val="0"/>
          <w:szCs w:val="21"/>
        </w:rPr>
      </w:pPr>
      <w:r>
        <w:rPr>
          <w:b/>
          <w:bCs/>
          <w:color w:val="auto"/>
          <w:kern w:val="0"/>
          <w:szCs w:val="21"/>
        </w:rPr>
        <w:t>表</w:t>
      </w:r>
      <w:r>
        <w:rPr>
          <w:rFonts w:hint="eastAsia"/>
          <w:b/>
          <w:bCs/>
          <w:color w:val="auto"/>
          <w:kern w:val="0"/>
          <w:szCs w:val="21"/>
        </w:rPr>
        <w:t xml:space="preserve">7.5-2 </w:t>
      </w:r>
      <w:r>
        <w:rPr>
          <w:b/>
          <w:bCs/>
          <w:color w:val="auto"/>
          <w:kern w:val="0"/>
          <w:szCs w:val="21"/>
        </w:rPr>
        <w:t xml:space="preserve"> 生产系统环境风险识别</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4888"/>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序号</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危险源</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主要风险类型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1</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湿式破碎生产车间、卷材生产车间</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泄漏、火灾、爆炸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2</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原料堆放区和危废暂存间</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泄漏、火灾、爆炸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3</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旋风布袋除尘器、</w:t>
            </w:r>
            <w:r>
              <w:rPr>
                <w:color w:val="auto"/>
                <w:szCs w:val="21"/>
              </w:rPr>
              <w:t>“旋风除尘+冷凝器+油烟净化器+UV光解+活性炭吸附”设备</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废气未经处理排放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4</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三级化粪池</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超标排放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0" w:type="dxa"/>
            <w:tcBorders>
              <w:tl2br w:val="nil"/>
              <w:tr2bl w:val="nil"/>
            </w:tcBorders>
            <w:vAlign w:val="center"/>
          </w:tcPr>
          <w:p>
            <w:pPr>
              <w:spacing w:line="300" w:lineRule="auto"/>
              <w:jc w:val="center"/>
              <w:rPr>
                <w:color w:val="auto"/>
                <w:kern w:val="0"/>
                <w:szCs w:val="21"/>
              </w:rPr>
            </w:pPr>
            <w:r>
              <w:rPr>
                <w:color w:val="auto"/>
                <w:kern w:val="0"/>
                <w:szCs w:val="21"/>
              </w:rPr>
              <w:t>5</w:t>
            </w:r>
          </w:p>
        </w:tc>
        <w:tc>
          <w:tcPr>
            <w:tcW w:w="4888" w:type="dxa"/>
            <w:tcBorders>
              <w:tl2br w:val="nil"/>
              <w:tr2bl w:val="nil"/>
            </w:tcBorders>
            <w:vAlign w:val="center"/>
          </w:tcPr>
          <w:p>
            <w:pPr>
              <w:spacing w:line="300" w:lineRule="auto"/>
              <w:jc w:val="center"/>
              <w:rPr>
                <w:color w:val="auto"/>
                <w:kern w:val="0"/>
                <w:szCs w:val="21"/>
              </w:rPr>
            </w:pPr>
            <w:r>
              <w:rPr>
                <w:color w:val="auto"/>
                <w:kern w:val="0"/>
                <w:szCs w:val="21"/>
              </w:rPr>
              <w:t>湿式破碎生产车线的沉淀池</w:t>
            </w:r>
          </w:p>
        </w:tc>
        <w:tc>
          <w:tcPr>
            <w:tcW w:w="2840" w:type="dxa"/>
            <w:tcBorders>
              <w:tl2br w:val="nil"/>
              <w:tr2bl w:val="nil"/>
            </w:tcBorders>
            <w:vAlign w:val="center"/>
          </w:tcPr>
          <w:p>
            <w:pPr>
              <w:spacing w:line="300" w:lineRule="auto"/>
              <w:jc w:val="center"/>
              <w:rPr>
                <w:color w:val="auto"/>
                <w:kern w:val="0"/>
                <w:szCs w:val="21"/>
              </w:rPr>
            </w:pPr>
            <w:r>
              <w:rPr>
                <w:color w:val="auto"/>
                <w:kern w:val="0"/>
                <w:szCs w:val="21"/>
              </w:rPr>
              <w:t>废水泄漏</w:t>
            </w:r>
          </w:p>
        </w:tc>
      </w:tr>
    </w:tbl>
    <w:p>
      <w:pPr>
        <w:keepNext/>
        <w:keepLines/>
        <w:spacing w:line="360" w:lineRule="auto"/>
        <w:jc w:val="left"/>
        <w:outlineLvl w:val="2"/>
        <w:rPr>
          <w:b/>
          <w:bCs/>
          <w:color w:val="auto"/>
          <w:sz w:val="28"/>
          <w:szCs w:val="28"/>
        </w:rPr>
      </w:pPr>
      <w:bookmarkStart w:id="2592" w:name="_Toc24651"/>
      <w:r>
        <w:rPr>
          <w:rFonts w:hint="eastAsia"/>
          <w:b/>
          <w:bCs/>
          <w:color w:val="auto"/>
          <w:sz w:val="28"/>
          <w:szCs w:val="28"/>
        </w:rPr>
        <w:t>7.5.4  影响途径</w:t>
      </w:r>
      <w:bookmarkEnd w:id="2592"/>
    </w:p>
    <w:p>
      <w:pPr>
        <w:spacing w:line="360" w:lineRule="auto"/>
        <w:ind w:firstLine="480" w:firstLineChars="200"/>
        <w:jc w:val="left"/>
        <w:rPr>
          <w:color w:val="auto"/>
          <w:kern w:val="0"/>
          <w:sz w:val="24"/>
        </w:rPr>
      </w:pPr>
      <w:r>
        <w:rPr>
          <w:color w:val="auto"/>
          <w:kern w:val="0"/>
          <w:sz w:val="24"/>
        </w:rPr>
        <w:t>本项目在运营过程中出现风险事故时有毒有害物质扩散途径主要有三类：</w:t>
      </w:r>
    </w:p>
    <w:p>
      <w:pPr>
        <w:spacing w:line="360" w:lineRule="auto"/>
        <w:ind w:firstLine="480" w:firstLineChars="200"/>
        <w:jc w:val="left"/>
        <w:rPr>
          <w:color w:val="auto"/>
          <w:kern w:val="0"/>
          <w:sz w:val="24"/>
        </w:rPr>
      </w:pPr>
      <w:r>
        <w:rPr>
          <w:color w:val="auto"/>
          <w:kern w:val="0"/>
          <w:sz w:val="24"/>
        </w:rPr>
        <w:t>（1）环境空气扩散</w:t>
      </w:r>
    </w:p>
    <w:p>
      <w:pPr>
        <w:spacing w:line="360" w:lineRule="auto"/>
        <w:ind w:firstLine="480" w:firstLineChars="200"/>
        <w:jc w:val="left"/>
        <w:rPr>
          <w:color w:val="auto"/>
          <w:kern w:val="0"/>
          <w:sz w:val="24"/>
        </w:rPr>
      </w:pPr>
      <w:r>
        <w:rPr>
          <w:color w:val="auto"/>
          <w:kern w:val="0"/>
          <w:sz w:val="24"/>
        </w:rPr>
        <w:t>项目有毒有害物质在运输、装卸、储存和使用过程中，车间、仓库等发生火灾甚至爆炸，有毒有害物质在高温情况下散发到空气中，污染环境。项目废气收集或处理装置非正常运转，导致含有有毒有害物质的废气未经处理直接排放至大气中，漂浮在空气环境中的有毒有害物质，</w:t>
      </w:r>
      <w:r>
        <w:rPr>
          <w:rFonts w:hint="eastAsia"/>
          <w:color w:val="auto"/>
          <w:kern w:val="0"/>
          <w:sz w:val="24"/>
        </w:rPr>
        <w:t>将</w:t>
      </w:r>
      <w:r>
        <w:rPr>
          <w:color w:val="auto"/>
          <w:kern w:val="0"/>
          <w:sz w:val="24"/>
        </w:rPr>
        <w:t>通过干、湿沉降，进而污染到土壤、地表水等。</w:t>
      </w:r>
    </w:p>
    <w:p>
      <w:pPr>
        <w:spacing w:line="360" w:lineRule="auto"/>
        <w:ind w:firstLine="480" w:firstLineChars="200"/>
        <w:jc w:val="left"/>
        <w:rPr>
          <w:color w:val="auto"/>
          <w:kern w:val="0"/>
          <w:sz w:val="24"/>
        </w:rPr>
      </w:pPr>
      <w:r>
        <w:rPr>
          <w:color w:val="auto"/>
          <w:kern w:val="0"/>
          <w:sz w:val="24"/>
        </w:rPr>
        <w:t>（2）水体扩散</w:t>
      </w:r>
    </w:p>
    <w:p>
      <w:pPr>
        <w:spacing w:line="360" w:lineRule="auto"/>
        <w:ind w:firstLine="480" w:firstLineChars="200"/>
        <w:jc w:val="left"/>
        <w:rPr>
          <w:color w:val="auto"/>
          <w:kern w:val="0"/>
          <w:sz w:val="24"/>
        </w:rPr>
      </w:pPr>
      <w:r>
        <w:rPr>
          <w:color w:val="auto"/>
          <w:kern w:val="0"/>
          <w:sz w:val="24"/>
        </w:rPr>
        <w:t>项目</w:t>
      </w:r>
      <w:r>
        <w:rPr>
          <w:rFonts w:hint="eastAsia"/>
          <w:color w:val="auto"/>
          <w:kern w:val="0"/>
          <w:sz w:val="24"/>
        </w:rPr>
        <w:t>的</w:t>
      </w:r>
      <w:r>
        <w:rPr>
          <w:color w:val="auto"/>
          <w:kern w:val="0"/>
          <w:sz w:val="24"/>
        </w:rPr>
        <w:t>有害物质在运输、装卸、储存和使用过程中发生泄漏，</w:t>
      </w:r>
      <w:r>
        <w:rPr>
          <w:rFonts w:hint="eastAsia"/>
          <w:color w:val="auto"/>
          <w:kern w:val="0"/>
          <w:sz w:val="24"/>
        </w:rPr>
        <w:t>有可能通过</w:t>
      </w:r>
      <w:r>
        <w:rPr>
          <w:color w:val="auto"/>
          <w:kern w:val="0"/>
          <w:sz w:val="24"/>
        </w:rPr>
        <w:t>过地表径流或者雨水管道进入外界水体，在地表水中的污染物，通过沉淀、物质循环等作用，影响到河流底泥、地下水等。</w:t>
      </w:r>
      <w:r>
        <w:rPr>
          <w:rFonts w:hint="eastAsia"/>
          <w:color w:val="auto"/>
          <w:kern w:val="0"/>
          <w:sz w:val="24"/>
        </w:rPr>
        <w:t>当污染物</w:t>
      </w:r>
      <w:r>
        <w:rPr>
          <w:color w:val="auto"/>
          <w:kern w:val="0"/>
          <w:sz w:val="24"/>
        </w:rPr>
        <w:t>通过地表下渗</w:t>
      </w:r>
      <w:r>
        <w:rPr>
          <w:rFonts w:hint="eastAsia"/>
          <w:color w:val="auto"/>
          <w:kern w:val="0"/>
          <w:sz w:val="24"/>
        </w:rPr>
        <w:t>进入地下水时，将会</w:t>
      </w:r>
      <w:r>
        <w:rPr>
          <w:color w:val="auto"/>
          <w:kern w:val="0"/>
          <w:sz w:val="24"/>
        </w:rPr>
        <w:t>污染地下水。</w:t>
      </w:r>
    </w:p>
    <w:p>
      <w:pPr>
        <w:spacing w:line="360" w:lineRule="auto"/>
        <w:ind w:firstLine="480" w:firstLineChars="200"/>
        <w:jc w:val="left"/>
        <w:rPr>
          <w:color w:val="auto"/>
          <w:kern w:val="0"/>
          <w:sz w:val="24"/>
        </w:rPr>
      </w:pPr>
      <w:r>
        <w:rPr>
          <w:color w:val="auto"/>
          <w:kern w:val="0"/>
          <w:sz w:val="24"/>
        </w:rPr>
        <w:t>（3）土壤扩散</w:t>
      </w:r>
    </w:p>
    <w:p>
      <w:pPr>
        <w:spacing w:line="360" w:lineRule="auto"/>
        <w:ind w:firstLine="480" w:firstLineChars="200"/>
        <w:jc w:val="left"/>
        <w:rPr>
          <w:color w:val="auto"/>
          <w:kern w:val="0"/>
          <w:sz w:val="24"/>
        </w:rPr>
      </w:pPr>
      <w:r>
        <w:rPr>
          <w:color w:val="auto"/>
          <w:kern w:val="0"/>
          <w:sz w:val="24"/>
        </w:rPr>
        <w:t>有毒有害物质在运输、装卸、储存和使用过程中发生泄漏，如遇裸露地表，则直接污染土壤。项目危险废物暂存设置，如管理不当，引起危废或危废渗滤液泄漏，污染土壤环境。在土壤中的有毒有害物质，通过下渗等作用，进而污染地下水。</w:t>
      </w:r>
    </w:p>
    <w:p>
      <w:pPr>
        <w:spacing w:line="360" w:lineRule="auto"/>
        <w:outlineLvl w:val="1"/>
        <w:rPr>
          <w:b/>
          <w:color w:val="auto"/>
          <w:sz w:val="32"/>
          <w:szCs w:val="32"/>
        </w:rPr>
      </w:pPr>
      <w:bookmarkStart w:id="2593" w:name="_Toc7528_WPSOffice_Level1"/>
      <w:bookmarkStart w:id="2594" w:name="_Toc17758_WPSOffice_Level2"/>
      <w:bookmarkStart w:id="2595" w:name="_Toc24064"/>
      <w:bookmarkStart w:id="2596" w:name="_Toc16976_WPSOffice_Level1"/>
      <w:bookmarkStart w:id="2597" w:name="_Toc7277"/>
      <w:bookmarkStart w:id="2598" w:name="_Toc6662_WPSOffice_Level1"/>
      <w:bookmarkStart w:id="2599" w:name="_Toc6236_WPSOffice_Level1"/>
      <w:bookmarkStart w:id="2600" w:name="_Toc5373_WPSOffice_Level1"/>
      <w:bookmarkStart w:id="2601" w:name="_Toc3905765"/>
      <w:bookmarkStart w:id="2602" w:name="_Toc28960_WPSOffice_Level1"/>
      <w:bookmarkStart w:id="2603" w:name="_Toc22447"/>
      <w:bookmarkStart w:id="2604" w:name="_Toc15216_WPSOffice_Level1"/>
      <w:bookmarkStart w:id="2605" w:name="_Toc22469_WPSOffice_Level1"/>
      <w:bookmarkStart w:id="2606" w:name="_Toc29759452"/>
      <w:bookmarkStart w:id="2607" w:name="_Toc8311"/>
      <w:bookmarkStart w:id="2608" w:name="_Toc7196"/>
      <w:r>
        <w:rPr>
          <w:rFonts w:hint="eastAsia"/>
          <w:b/>
          <w:color w:val="auto"/>
          <w:sz w:val="32"/>
          <w:szCs w:val="32"/>
        </w:rPr>
        <w:t>7.</w:t>
      </w:r>
      <w:bookmarkEnd w:id="2593"/>
      <w:bookmarkEnd w:id="2594"/>
      <w:bookmarkEnd w:id="2595"/>
      <w:bookmarkEnd w:id="2596"/>
      <w:bookmarkEnd w:id="2597"/>
      <w:bookmarkEnd w:id="2598"/>
      <w:bookmarkEnd w:id="2599"/>
      <w:bookmarkEnd w:id="2600"/>
      <w:bookmarkEnd w:id="2601"/>
      <w:bookmarkEnd w:id="2602"/>
      <w:bookmarkEnd w:id="2603"/>
      <w:bookmarkEnd w:id="2604"/>
      <w:bookmarkEnd w:id="2605"/>
      <w:r>
        <w:rPr>
          <w:rFonts w:hint="eastAsia"/>
          <w:b/>
          <w:color w:val="auto"/>
          <w:sz w:val="32"/>
          <w:szCs w:val="32"/>
        </w:rPr>
        <w:t>6  环境风险</w:t>
      </w:r>
      <w:bookmarkEnd w:id="2606"/>
      <w:r>
        <w:rPr>
          <w:rFonts w:hint="eastAsia"/>
          <w:b/>
          <w:color w:val="auto"/>
          <w:sz w:val="32"/>
          <w:szCs w:val="32"/>
        </w:rPr>
        <w:t>分析与评价</w:t>
      </w:r>
      <w:bookmarkEnd w:id="2607"/>
      <w:bookmarkEnd w:id="2608"/>
    </w:p>
    <w:p>
      <w:pPr>
        <w:spacing w:line="360" w:lineRule="auto"/>
        <w:ind w:firstLine="480" w:firstLineChars="200"/>
        <w:rPr>
          <w:color w:val="auto"/>
          <w:sz w:val="24"/>
        </w:rPr>
      </w:pPr>
      <w:r>
        <w:rPr>
          <w:color w:val="auto"/>
          <w:sz w:val="24"/>
        </w:rPr>
        <w:t>1、废气事故排放引起的污染分析</w:t>
      </w:r>
    </w:p>
    <w:p>
      <w:pPr>
        <w:spacing w:line="360" w:lineRule="auto"/>
        <w:ind w:firstLine="480" w:firstLineChars="200"/>
        <w:jc w:val="left"/>
        <w:rPr>
          <w:color w:val="auto"/>
          <w:sz w:val="24"/>
        </w:rPr>
      </w:pPr>
      <w:r>
        <w:rPr>
          <w:color w:val="auto"/>
          <w:sz w:val="24"/>
        </w:rPr>
        <w:t>根据</w:t>
      </w:r>
      <w:r>
        <w:rPr>
          <w:rFonts w:hint="eastAsia"/>
          <w:color w:val="auto"/>
          <w:sz w:val="24"/>
        </w:rPr>
        <w:t>上文</w:t>
      </w:r>
      <w:r>
        <w:rPr>
          <w:color w:val="auto"/>
          <w:sz w:val="24"/>
        </w:rPr>
        <w:t>分析可知，在正常排放下，项目</w:t>
      </w:r>
      <w:r>
        <w:rPr>
          <w:rFonts w:hint="eastAsia"/>
          <w:color w:val="auto"/>
          <w:sz w:val="24"/>
        </w:rPr>
        <w:t>湿式破碎生产线的粉尘</w:t>
      </w:r>
      <w:r>
        <w:rPr>
          <w:color w:val="auto"/>
          <w:sz w:val="24"/>
        </w:rPr>
        <w:t>废气</w:t>
      </w:r>
      <w:r>
        <w:rPr>
          <w:rFonts w:hint="eastAsia"/>
          <w:color w:val="auto"/>
          <w:sz w:val="24"/>
        </w:rPr>
        <w:t>被收集后</w:t>
      </w:r>
      <w:r>
        <w:rPr>
          <w:color w:val="auto"/>
          <w:sz w:val="24"/>
        </w:rPr>
        <w:t>经</w:t>
      </w:r>
      <w:r>
        <w:rPr>
          <w:rFonts w:hint="eastAsia"/>
          <w:color w:val="auto"/>
          <w:sz w:val="24"/>
        </w:rPr>
        <w:t>旋风布袋除尘器处理后从15m高的排气筒G2排放。卷材生产线的生产废气被收集后由“</w:t>
      </w:r>
      <w:r>
        <w:rPr>
          <w:color w:val="auto"/>
          <w:sz w:val="24"/>
        </w:rPr>
        <w:t>旋风除尘+冷凝器+油烟净化器+UV光解+活性炭吸附</w:t>
      </w:r>
      <w:r>
        <w:rPr>
          <w:rFonts w:hint="eastAsia"/>
          <w:color w:val="auto"/>
          <w:sz w:val="24"/>
        </w:rPr>
        <w:t>”设备处理后经15m的排气筒G1排放。导热油炉的燃烧尾气从15m的排气筒G3排放。各废气</w:t>
      </w:r>
      <w:r>
        <w:rPr>
          <w:color w:val="auto"/>
          <w:sz w:val="24"/>
        </w:rPr>
        <w:t>可实现达标排放，对周围环境影响不大。</w:t>
      </w:r>
    </w:p>
    <w:p>
      <w:pPr>
        <w:spacing w:line="360" w:lineRule="auto"/>
        <w:ind w:firstLine="480" w:firstLineChars="200"/>
        <w:jc w:val="left"/>
        <w:rPr>
          <w:color w:val="auto"/>
          <w:kern w:val="0"/>
          <w:sz w:val="24"/>
        </w:rPr>
      </w:pPr>
      <w:r>
        <w:rPr>
          <w:color w:val="auto"/>
          <w:sz w:val="24"/>
        </w:rPr>
        <w:t>当</w:t>
      </w:r>
      <w:r>
        <w:rPr>
          <w:rFonts w:hint="eastAsia"/>
          <w:color w:val="auto"/>
          <w:sz w:val="24"/>
        </w:rPr>
        <w:t>旋风布袋除尘器、“</w:t>
      </w:r>
      <w:r>
        <w:rPr>
          <w:color w:val="auto"/>
          <w:sz w:val="24"/>
        </w:rPr>
        <w:t>旋风除尘+冷凝器+油烟净化器+UV光解+活性炭吸附</w:t>
      </w:r>
      <w:r>
        <w:rPr>
          <w:rFonts w:hint="eastAsia"/>
          <w:color w:val="auto"/>
          <w:sz w:val="24"/>
        </w:rPr>
        <w:t>”设备</w:t>
      </w:r>
      <w:r>
        <w:rPr>
          <w:color w:val="auto"/>
          <w:sz w:val="24"/>
        </w:rPr>
        <w:t>出现故障，不能正常运行时，</w:t>
      </w:r>
      <w:r>
        <w:rPr>
          <w:rFonts w:hint="eastAsia"/>
          <w:color w:val="auto"/>
          <w:sz w:val="24"/>
        </w:rPr>
        <w:t>将会</w:t>
      </w:r>
      <w:r>
        <w:rPr>
          <w:color w:val="auto"/>
          <w:sz w:val="24"/>
        </w:rPr>
        <w:t>导致废气未经有效处理直接排放到大气环境中。虽然可达到排放标准要求，但由于没有经过处理，</w:t>
      </w:r>
      <w:r>
        <w:rPr>
          <w:rFonts w:hint="eastAsia"/>
          <w:color w:val="auto"/>
          <w:sz w:val="24"/>
        </w:rPr>
        <w:t>排放的污染物</w:t>
      </w:r>
      <w:r>
        <w:rPr>
          <w:color w:val="auto"/>
          <w:sz w:val="24"/>
        </w:rPr>
        <w:t>将</w:t>
      </w:r>
      <w:r>
        <w:rPr>
          <w:rFonts w:hint="eastAsia"/>
          <w:color w:val="auto"/>
          <w:sz w:val="24"/>
        </w:rPr>
        <w:t>比经治理后排放时大大增加。会使</w:t>
      </w:r>
      <w:r>
        <w:rPr>
          <w:color w:val="auto"/>
          <w:sz w:val="24"/>
        </w:rPr>
        <w:t>局部</w:t>
      </w:r>
      <w:r>
        <w:rPr>
          <w:rFonts w:hint="eastAsia"/>
          <w:color w:val="auto"/>
          <w:sz w:val="24"/>
        </w:rPr>
        <w:t>环境内的污染物浓度增加，</w:t>
      </w:r>
      <w:r>
        <w:rPr>
          <w:color w:val="auto"/>
          <w:sz w:val="24"/>
        </w:rPr>
        <w:t>对项目所在地的局部大气环境造成一定程度的影响。</w:t>
      </w:r>
      <w:r>
        <w:rPr>
          <w:color w:val="auto"/>
          <w:kern w:val="0"/>
          <w:sz w:val="24"/>
        </w:rPr>
        <w:t>漂浮在空气环境中的有毒有害物质，通过干、湿沉降，进而污染到土壤、地表水等。</w:t>
      </w:r>
    </w:p>
    <w:p>
      <w:pPr>
        <w:spacing w:line="360" w:lineRule="auto"/>
        <w:ind w:firstLine="480" w:firstLineChars="200"/>
        <w:rPr>
          <w:color w:val="auto"/>
          <w:sz w:val="24"/>
        </w:rPr>
      </w:pPr>
      <w:r>
        <w:rPr>
          <w:color w:val="auto"/>
          <w:sz w:val="24"/>
        </w:rPr>
        <w:t>2、废水事故排放引起的污染分析</w:t>
      </w:r>
    </w:p>
    <w:p>
      <w:pPr>
        <w:spacing w:line="360" w:lineRule="auto"/>
        <w:ind w:firstLine="480" w:firstLineChars="200"/>
        <w:jc w:val="left"/>
        <w:rPr>
          <w:color w:val="auto"/>
          <w:sz w:val="24"/>
        </w:rPr>
      </w:pPr>
      <w:r>
        <w:rPr>
          <w:color w:val="auto"/>
          <w:sz w:val="24"/>
        </w:rPr>
        <w:t>当</w:t>
      </w:r>
      <w:r>
        <w:rPr>
          <w:rFonts w:hint="eastAsia"/>
          <w:color w:val="auto"/>
          <w:kern w:val="0"/>
          <w:sz w:val="24"/>
        </w:rPr>
        <w:t>三级化粪池</w:t>
      </w:r>
      <w:r>
        <w:rPr>
          <w:color w:val="auto"/>
          <w:sz w:val="24"/>
        </w:rPr>
        <w:t>发生故障，废水未经处理</w:t>
      </w:r>
      <w:r>
        <w:rPr>
          <w:rFonts w:hint="eastAsia"/>
          <w:color w:val="auto"/>
          <w:sz w:val="24"/>
        </w:rPr>
        <w:t>直接排入市政管网，将会造成超标排放。对石角镇污水厂造成一定程度的影响。若项目的沉淀池出现开裂、渗漏等情况。废水将会直接进入自然环境中，可能会对地下水环境造成污染。</w:t>
      </w:r>
    </w:p>
    <w:p>
      <w:pPr>
        <w:spacing w:line="360" w:lineRule="auto"/>
        <w:ind w:firstLine="480" w:firstLineChars="200"/>
        <w:rPr>
          <w:color w:val="auto"/>
          <w:sz w:val="24"/>
        </w:rPr>
      </w:pPr>
      <w:r>
        <w:rPr>
          <w:color w:val="auto"/>
          <w:sz w:val="24"/>
        </w:rPr>
        <w:t>3、泄漏引起的污染分析</w:t>
      </w:r>
    </w:p>
    <w:p>
      <w:pPr>
        <w:spacing w:line="360" w:lineRule="auto"/>
        <w:ind w:firstLine="480" w:firstLineChars="200"/>
        <w:rPr>
          <w:color w:val="auto"/>
          <w:sz w:val="24"/>
        </w:rPr>
      </w:pPr>
      <w:r>
        <w:rPr>
          <w:rFonts w:hint="eastAsia"/>
          <w:color w:val="auto"/>
          <w:sz w:val="24"/>
        </w:rPr>
        <w:t>若</w:t>
      </w:r>
      <w:r>
        <w:rPr>
          <w:color w:val="auto"/>
          <w:sz w:val="24"/>
        </w:rPr>
        <w:t>因雨水渗漏，随意堆放、盛装容器破裂或人为操作失误导致装卸或储存过程发生泄漏，泄漏物可能会</w:t>
      </w:r>
      <w:r>
        <w:rPr>
          <w:color w:val="auto"/>
          <w:kern w:val="0"/>
          <w:sz w:val="24"/>
        </w:rPr>
        <w:t>经过地表径流或者雨水管道进入外界水体，</w:t>
      </w:r>
      <w:r>
        <w:rPr>
          <w:color w:val="auto"/>
          <w:sz w:val="24"/>
        </w:rPr>
        <w:t>会严重影响地表水水质，对水生生物造成灾难性影响。</w:t>
      </w:r>
      <w:r>
        <w:rPr>
          <w:color w:val="auto"/>
          <w:kern w:val="0"/>
          <w:sz w:val="24"/>
        </w:rPr>
        <w:t>如</w:t>
      </w:r>
      <w:r>
        <w:rPr>
          <w:color w:val="auto"/>
          <w:sz w:val="24"/>
        </w:rPr>
        <w:t>泄漏物</w:t>
      </w:r>
      <w:r>
        <w:rPr>
          <w:color w:val="auto"/>
          <w:kern w:val="0"/>
          <w:sz w:val="24"/>
        </w:rPr>
        <w:t>遇裸露地表，则会直接污染土壤</w:t>
      </w:r>
      <w:r>
        <w:rPr>
          <w:color w:val="auto"/>
          <w:sz w:val="24"/>
        </w:rPr>
        <w:t>，通过下渗作用，可造成土壤污染、酸碱化和富营养化，从而也会造成地下水一定程度的污染。</w:t>
      </w:r>
    </w:p>
    <w:p>
      <w:pPr>
        <w:spacing w:line="360" w:lineRule="auto"/>
        <w:ind w:firstLine="480" w:firstLineChars="200"/>
        <w:rPr>
          <w:color w:val="auto"/>
          <w:sz w:val="24"/>
        </w:rPr>
      </w:pPr>
      <w:r>
        <w:rPr>
          <w:color w:val="auto"/>
          <w:sz w:val="24"/>
        </w:rPr>
        <w:t>5、火灾爆炸事故引起次生污染分析</w:t>
      </w:r>
    </w:p>
    <w:p>
      <w:pPr>
        <w:spacing w:line="360" w:lineRule="auto"/>
        <w:ind w:firstLine="480" w:firstLineChars="200"/>
        <w:rPr>
          <w:color w:val="auto"/>
          <w:sz w:val="24"/>
        </w:rPr>
      </w:pPr>
      <w:r>
        <w:rPr>
          <w:color w:val="auto"/>
          <w:sz w:val="24"/>
        </w:rPr>
        <w:t>结合本项目情况，</w:t>
      </w:r>
      <w:r>
        <w:rPr>
          <w:color w:val="auto"/>
          <w:kern w:val="0"/>
          <w:sz w:val="24"/>
        </w:rPr>
        <w:t>如</w:t>
      </w:r>
      <w:r>
        <w:rPr>
          <w:rFonts w:hint="eastAsia"/>
          <w:color w:val="auto"/>
          <w:kern w:val="0"/>
          <w:sz w:val="24"/>
        </w:rPr>
        <w:t>润滑油</w:t>
      </w:r>
      <w:r>
        <w:rPr>
          <w:color w:val="auto"/>
          <w:kern w:val="0"/>
          <w:sz w:val="24"/>
        </w:rPr>
        <w:t>、</w:t>
      </w:r>
      <w:r>
        <w:rPr>
          <w:rFonts w:hint="eastAsia"/>
          <w:bCs/>
          <w:color w:val="auto"/>
          <w:sz w:val="24"/>
        </w:rPr>
        <w:t>软化油、导热油、天然气</w:t>
      </w:r>
      <w:r>
        <w:rPr>
          <w:bCs/>
          <w:color w:val="auto"/>
          <w:sz w:val="24"/>
        </w:rPr>
        <w:t>等</w:t>
      </w:r>
      <w:r>
        <w:rPr>
          <w:color w:val="auto"/>
          <w:sz w:val="24"/>
        </w:rPr>
        <w:t>若因使用不当，在泄漏的情况下，遇明火高温可能会引发火灾事故，甚至引起燃烧爆炸的危险。燃烧产生的烟团释放会产生一系列的烟羽，</w:t>
      </w:r>
      <w:r>
        <w:rPr>
          <w:color w:val="auto"/>
          <w:kern w:val="0"/>
          <w:sz w:val="24"/>
        </w:rPr>
        <w:t>有毒有害物质在高温情况下散发到空气中。</w:t>
      </w:r>
      <w:r>
        <w:rPr>
          <w:color w:val="auto"/>
          <w:sz w:val="24"/>
        </w:rPr>
        <w:t>持续时间一般大于1小时，可能会造成较严重的大气环境污染。发生火灾、爆炸后，会对大气环境造成影响的次生污染物有大量的</w:t>
      </w:r>
      <w:r>
        <w:rPr>
          <w:rFonts w:hint="eastAsia"/>
          <w:color w:val="auto"/>
          <w:sz w:val="24"/>
          <w:lang w:eastAsia="zh-CN"/>
        </w:rPr>
        <w:t>颗粒物</w:t>
      </w:r>
      <w:r>
        <w:rPr>
          <w:color w:val="auto"/>
          <w:sz w:val="24"/>
        </w:rPr>
        <w:t>、一氧化碳、二氧化碳</w:t>
      </w:r>
      <w:r>
        <w:rPr>
          <w:color w:val="auto"/>
          <w:kern w:val="0"/>
          <w:sz w:val="24"/>
        </w:rPr>
        <w:t>和氮氧化物</w:t>
      </w:r>
      <w:r>
        <w:rPr>
          <w:color w:val="auto"/>
          <w:sz w:val="24"/>
        </w:rPr>
        <w:t>及其他污染物等，其中产生的CO和氮氧化物等有毒，将对人群健康带来危害。另外在事故处理过程中也会产生消防废水。灭火时产生的消防废水会携带大量化学品物质而这些化学物质本身具有一定的毒性，若不能及时得到有效地收集和处置，将会通过雨水管网排入附近水体，会对水体水质、水生生物造成灾难性影响。</w:t>
      </w:r>
    </w:p>
    <w:p>
      <w:pPr>
        <w:spacing w:line="360" w:lineRule="auto"/>
        <w:outlineLvl w:val="1"/>
        <w:rPr>
          <w:b/>
          <w:color w:val="auto"/>
          <w:sz w:val="32"/>
          <w:szCs w:val="32"/>
        </w:rPr>
      </w:pPr>
      <w:bookmarkStart w:id="2609" w:name="_Toc21563"/>
      <w:bookmarkStart w:id="2610" w:name="_Toc16925"/>
      <w:bookmarkStart w:id="2611" w:name="_Toc29759453"/>
      <w:r>
        <w:rPr>
          <w:rFonts w:hint="eastAsia"/>
          <w:b/>
          <w:color w:val="auto"/>
          <w:sz w:val="32"/>
          <w:szCs w:val="32"/>
        </w:rPr>
        <w:t>7.7  事故风险防范措施</w:t>
      </w:r>
      <w:bookmarkEnd w:id="2609"/>
      <w:bookmarkEnd w:id="2610"/>
      <w:bookmarkEnd w:id="2611"/>
    </w:p>
    <w:p>
      <w:pPr>
        <w:keepNext/>
        <w:keepLines/>
        <w:spacing w:line="360" w:lineRule="auto"/>
        <w:jc w:val="left"/>
        <w:outlineLvl w:val="2"/>
        <w:rPr>
          <w:b/>
          <w:bCs/>
          <w:color w:val="auto"/>
          <w:sz w:val="28"/>
          <w:szCs w:val="28"/>
        </w:rPr>
      </w:pPr>
      <w:bookmarkStart w:id="2612" w:name="_Toc8367_WPSOffice_Level2"/>
      <w:bookmarkStart w:id="2613" w:name="_Toc29540_WPSOffice_Level2"/>
      <w:bookmarkStart w:id="2614" w:name="_Toc2045_WPSOffice_Level2"/>
      <w:bookmarkStart w:id="2615" w:name="_Toc8585_WPSOffice_Level2"/>
      <w:bookmarkStart w:id="2616" w:name="_Toc31376_WPSOffice_Level2"/>
      <w:bookmarkStart w:id="2617" w:name="_Toc29560"/>
      <w:bookmarkStart w:id="2618" w:name="_Toc29805"/>
      <w:bookmarkStart w:id="2619" w:name="_Toc7009_WPSOffice_Level2"/>
      <w:bookmarkStart w:id="2620" w:name="_Toc7144_WPSOffice_Level2"/>
      <w:bookmarkStart w:id="2621" w:name="_Toc11443_WPSOffice_Level2"/>
      <w:bookmarkStart w:id="2622" w:name="_Toc20180_WPSOffice_Level2"/>
      <w:bookmarkStart w:id="2623" w:name="_Toc1293_WPSOffice_Level2"/>
      <w:bookmarkStart w:id="2624" w:name="_Toc24998_WPSOffice_Level2"/>
      <w:bookmarkStart w:id="2625" w:name="_Toc26476"/>
      <w:bookmarkStart w:id="2626" w:name="_Toc994_WPSOffice_Level2"/>
      <w:bookmarkStart w:id="2627" w:name="_Toc24553_WPSOffice_Level2"/>
      <w:bookmarkStart w:id="2628" w:name="_Toc18137_WPSOffice_Level2"/>
      <w:bookmarkStart w:id="2629" w:name="_Toc27973_WPSOffice_Level2"/>
      <w:bookmarkStart w:id="2630" w:name="_Toc19345_WPSOffice_Level2"/>
      <w:r>
        <w:rPr>
          <w:rFonts w:hint="eastAsia"/>
          <w:b/>
          <w:bCs/>
          <w:color w:val="auto"/>
          <w:sz w:val="28"/>
          <w:szCs w:val="28"/>
        </w:rPr>
        <w:t>7</w:t>
      </w:r>
      <w:r>
        <w:rPr>
          <w:b/>
          <w:bCs/>
          <w:color w:val="auto"/>
          <w:sz w:val="28"/>
          <w:szCs w:val="28"/>
        </w:rPr>
        <w:t>.7.</w:t>
      </w:r>
      <w:r>
        <w:rPr>
          <w:rFonts w:hint="eastAsia"/>
          <w:b/>
          <w:bCs/>
          <w:color w:val="auto"/>
          <w:sz w:val="28"/>
          <w:szCs w:val="28"/>
        </w:rPr>
        <w:t>1  物料泄漏</w:t>
      </w:r>
      <w:r>
        <w:rPr>
          <w:b/>
          <w:bCs/>
          <w:color w:val="auto"/>
          <w:sz w:val="28"/>
          <w:szCs w:val="28"/>
        </w:rPr>
        <w:t>事故防范措施</w:t>
      </w:r>
      <w:bookmarkEnd w:id="2612"/>
      <w:bookmarkEnd w:id="2613"/>
      <w:bookmarkEnd w:id="2614"/>
      <w:bookmarkEnd w:id="2615"/>
      <w:bookmarkEnd w:id="2616"/>
      <w:bookmarkEnd w:id="2617"/>
      <w:bookmarkEnd w:id="2618"/>
      <w:bookmarkEnd w:id="2619"/>
      <w:bookmarkEnd w:id="2620"/>
      <w:bookmarkEnd w:id="2621"/>
    </w:p>
    <w:p>
      <w:pPr>
        <w:spacing w:line="360" w:lineRule="auto"/>
        <w:ind w:firstLine="480" w:firstLineChars="200"/>
        <w:rPr>
          <w:color w:val="auto"/>
          <w:sz w:val="24"/>
        </w:rPr>
      </w:pPr>
      <w:r>
        <w:rPr>
          <w:color w:val="auto"/>
          <w:sz w:val="24"/>
        </w:rPr>
        <w:t>（</w:t>
      </w:r>
      <w:r>
        <w:rPr>
          <w:rFonts w:hint="eastAsia"/>
          <w:color w:val="auto"/>
          <w:sz w:val="24"/>
        </w:rPr>
        <w:t>1</w:t>
      </w:r>
      <w:r>
        <w:rPr>
          <w:color w:val="auto"/>
          <w:sz w:val="24"/>
        </w:rPr>
        <w:t>）加强</w:t>
      </w:r>
      <w:r>
        <w:rPr>
          <w:rFonts w:hint="eastAsia"/>
          <w:color w:val="auto"/>
          <w:sz w:val="24"/>
        </w:rPr>
        <w:t>原辅料</w:t>
      </w:r>
      <w:r>
        <w:rPr>
          <w:color w:val="auto"/>
          <w:sz w:val="24"/>
        </w:rPr>
        <w:t>管理，做好出入登记，并入库检查。每次入库时，检查外包装是否有破损情况，密封是否严密，避免化学品泄漏或挥发。</w:t>
      </w:r>
    </w:p>
    <w:p>
      <w:pPr>
        <w:spacing w:line="360" w:lineRule="auto"/>
        <w:ind w:firstLine="480" w:firstLineChars="200"/>
        <w:rPr>
          <w:color w:val="auto"/>
          <w:sz w:val="24"/>
        </w:rPr>
      </w:pPr>
      <w:r>
        <w:rPr>
          <w:rFonts w:hint="eastAsia"/>
          <w:color w:val="auto"/>
          <w:sz w:val="24"/>
        </w:rPr>
        <w:t>（2）</w:t>
      </w:r>
      <w:r>
        <w:rPr>
          <w:color w:val="auto"/>
          <w:sz w:val="24"/>
        </w:rPr>
        <w:t>对生产过程中产生的危险废物，分类收集，分别包装临时储存，定期交有相应类别处理资质的单位处理。</w:t>
      </w:r>
    </w:p>
    <w:p>
      <w:pPr>
        <w:spacing w:line="360" w:lineRule="auto"/>
        <w:ind w:firstLine="480" w:firstLineChars="200"/>
        <w:rPr>
          <w:color w:val="auto"/>
          <w:sz w:val="24"/>
        </w:rPr>
      </w:pPr>
      <w:r>
        <w:rPr>
          <w:color w:val="auto"/>
          <w:sz w:val="24"/>
        </w:rPr>
        <w:t>（</w:t>
      </w:r>
      <w:r>
        <w:rPr>
          <w:rFonts w:hint="eastAsia"/>
          <w:color w:val="auto"/>
          <w:sz w:val="24"/>
        </w:rPr>
        <w:t>3</w:t>
      </w:r>
      <w:r>
        <w:rPr>
          <w:color w:val="auto"/>
          <w:sz w:val="24"/>
        </w:rPr>
        <w:t>）风险物质应设置专人管理，完善和落实安全管理制度和岗位责任制；定期对原料仓安全进行检查，加强仓库内探测、报警、消防和通风等安全设施的检查和维护，并做好记录。</w:t>
      </w:r>
    </w:p>
    <w:p>
      <w:pPr>
        <w:spacing w:line="360" w:lineRule="auto"/>
        <w:ind w:firstLine="480" w:firstLineChars="200"/>
        <w:rPr>
          <w:color w:val="auto"/>
          <w:sz w:val="24"/>
        </w:rPr>
      </w:pPr>
      <w:r>
        <w:rPr>
          <w:color w:val="auto"/>
          <w:sz w:val="24"/>
        </w:rPr>
        <w:t>（</w:t>
      </w:r>
      <w:r>
        <w:rPr>
          <w:rFonts w:hint="eastAsia"/>
          <w:color w:val="auto"/>
          <w:sz w:val="24"/>
        </w:rPr>
        <w:t>4</w:t>
      </w:r>
      <w:r>
        <w:rPr>
          <w:color w:val="auto"/>
          <w:sz w:val="24"/>
        </w:rPr>
        <w:t>）</w:t>
      </w:r>
      <w:r>
        <w:rPr>
          <w:rFonts w:hint="eastAsia"/>
          <w:color w:val="auto"/>
          <w:sz w:val="24"/>
        </w:rPr>
        <w:t>在原辅料及危险废物</w:t>
      </w:r>
      <w:r>
        <w:rPr>
          <w:color w:val="auto"/>
          <w:sz w:val="24"/>
        </w:rPr>
        <w:t>装卸时，严格按章操作，必须轻装轻卸，严禁震动撞击、重压、倾倒和磨擦。</w:t>
      </w:r>
    </w:p>
    <w:p>
      <w:pPr>
        <w:spacing w:line="360" w:lineRule="auto"/>
        <w:ind w:firstLine="480" w:firstLineChars="200"/>
        <w:rPr>
          <w:color w:val="auto"/>
          <w:sz w:val="24"/>
        </w:rPr>
      </w:pPr>
      <w:r>
        <w:rPr>
          <w:rFonts w:hint="eastAsia"/>
          <w:color w:val="auto"/>
          <w:sz w:val="24"/>
        </w:rPr>
        <w:t>（5）</w:t>
      </w:r>
      <w:r>
        <w:rPr>
          <w:color w:val="auto"/>
          <w:sz w:val="24"/>
        </w:rPr>
        <w:t>按要求配备</w:t>
      </w:r>
      <w:r>
        <w:rPr>
          <w:rFonts w:hint="eastAsia"/>
          <w:color w:val="auto"/>
          <w:sz w:val="24"/>
        </w:rPr>
        <w:t>足够的</w:t>
      </w:r>
      <w:r>
        <w:rPr>
          <w:color w:val="auto"/>
          <w:sz w:val="24"/>
        </w:rPr>
        <w:t>泄漏事故应急器材，如</w:t>
      </w:r>
      <w:r>
        <w:rPr>
          <w:rFonts w:hint="eastAsia"/>
          <w:color w:val="auto"/>
          <w:sz w:val="24"/>
        </w:rPr>
        <w:t>沙袋、</w:t>
      </w:r>
      <w:r>
        <w:rPr>
          <w:color w:val="auto"/>
          <w:sz w:val="24"/>
        </w:rPr>
        <w:t>吸附材料、盛装桶、个人防护用品等</w:t>
      </w:r>
      <w:r>
        <w:rPr>
          <w:rFonts w:hint="eastAsia"/>
          <w:color w:val="auto"/>
          <w:sz w:val="24"/>
        </w:rPr>
        <w:t>，并</w:t>
      </w:r>
      <w:r>
        <w:rPr>
          <w:color w:val="auto"/>
          <w:sz w:val="24"/>
        </w:rPr>
        <w:t>定期检查存量和有效性，以防万一</w:t>
      </w:r>
      <w:r>
        <w:rPr>
          <w:rFonts w:hint="eastAsia"/>
          <w:color w:val="auto"/>
          <w:sz w:val="24"/>
        </w:rPr>
        <w:t>。</w:t>
      </w:r>
    </w:p>
    <w:p>
      <w:pPr>
        <w:spacing w:line="360" w:lineRule="auto"/>
        <w:ind w:firstLine="480" w:firstLineChars="200"/>
        <w:rPr>
          <w:color w:val="auto"/>
          <w:sz w:val="24"/>
        </w:rPr>
      </w:pPr>
      <w:r>
        <w:rPr>
          <w:rFonts w:hint="eastAsia"/>
          <w:color w:val="auto"/>
          <w:sz w:val="24"/>
        </w:rPr>
        <w:t>（6）</w:t>
      </w:r>
      <w:r>
        <w:rPr>
          <w:color w:val="auto"/>
          <w:sz w:val="24"/>
        </w:rPr>
        <w:t>在防渗漏工作方面，项目及工业园区地面均已做好地面硬化处理，必要的位置设有围堰，工业园区亦铺设有固定的雨污管网。雨水及意外泄漏的渗漏液不会直接下渗，对土壤和地下水造成污染，亦不会经地表随意漫流。若发生泄漏事故，项目可马上使用沙袋围堵、吸附棉吸收等方式阻止污染物进一步扩散。</w:t>
      </w:r>
    </w:p>
    <w:p>
      <w:pPr>
        <w:keepNext/>
        <w:keepLines/>
        <w:spacing w:line="360" w:lineRule="auto"/>
        <w:jc w:val="left"/>
        <w:outlineLvl w:val="2"/>
        <w:rPr>
          <w:b/>
          <w:bCs/>
          <w:color w:val="auto"/>
          <w:sz w:val="28"/>
          <w:szCs w:val="28"/>
        </w:rPr>
      </w:pPr>
      <w:bookmarkStart w:id="2631" w:name="_Toc7798"/>
      <w:r>
        <w:rPr>
          <w:rFonts w:hint="eastAsia"/>
          <w:b/>
          <w:bCs/>
          <w:color w:val="auto"/>
          <w:sz w:val="28"/>
          <w:szCs w:val="28"/>
        </w:rPr>
        <w:t>7</w:t>
      </w:r>
      <w:r>
        <w:rPr>
          <w:b/>
          <w:bCs/>
          <w:color w:val="auto"/>
          <w:sz w:val="28"/>
          <w:szCs w:val="28"/>
        </w:rPr>
        <w:t>.7.</w:t>
      </w:r>
      <w:r>
        <w:rPr>
          <w:rFonts w:hint="eastAsia"/>
          <w:b/>
          <w:bCs/>
          <w:color w:val="auto"/>
          <w:sz w:val="28"/>
          <w:szCs w:val="28"/>
        </w:rPr>
        <w:t xml:space="preserve">2  </w:t>
      </w:r>
      <w:r>
        <w:rPr>
          <w:b/>
          <w:bCs/>
          <w:color w:val="auto"/>
          <w:sz w:val="28"/>
          <w:szCs w:val="28"/>
        </w:rPr>
        <w:t>火灾的风险及防范措施</w:t>
      </w:r>
      <w:bookmarkEnd w:id="2622"/>
      <w:bookmarkEnd w:id="2631"/>
    </w:p>
    <w:p>
      <w:pPr>
        <w:spacing w:line="360" w:lineRule="auto"/>
        <w:ind w:firstLine="480" w:firstLineChars="200"/>
        <w:rPr>
          <w:color w:val="auto"/>
          <w:sz w:val="24"/>
        </w:rPr>
      </w:pPr>
      <w:r>
        <w:rPr>
          <w:rFonts w:hint="eastAsia"/>
          <w:color w:val="auto"/>
          <w:sz w:val="24"/>
        </w:rPr>
        <w:t>（1）</w:t>
      </w:r>
      <w:r>
        <w:rPr>
          <w:color w:val="auto"/>
          <w:sz w:val="24"/>
        </w:rPr>
        <w:t>加强对生产设备和厂内电源、电线、开关等的检修和维护，并标示安全警示标识</w:t>
      </w:r>
      <w:r>
        <w:rPr>
          <w:rFonts w:hint="eastAsia"/>
          <w:color w:val="auto"/>
          <w:sz w:val="24"/>
        </w:rPr>
        <w:t>。</w:t>
      </w:r>
    </w:p>
    <w:p>
      <w:pPr>
        <w:spacing w:line="360" w:lineRule="auto"/>
        <w:ind w:firstLine="480" w:firstLineChars="200"/>
        <w:rPr>
          <w:color w:val="auto"/>
          <w:sz w:val="24"/>
        </w:rPr>
      </w:pPr>
      <w:r>
        <w:rPr>
          <w:rFonts w:hint="eastAsia"/>
          <w:color w:val="auto"/>
          <w:sz w:val="24"/>
        </w:rPr>
        <w:t>（2）</w:t>
      </w:r>
      <w:r>
        <w:rPr>
          <w:color w:val="auto"/>
          <w:sz w:val="24"/>
        </w:rPr>
        <w:t>按照《建筑设计防火规范》</w:t>
      </w:r>
      <w:r>
        <w:rPr>
          <w:rFonts w:hint="eastAsia"/>
          <w:color w:val="auto"/>
          <w:sz w:val="24"/>
        </w:rPr>
        <w:t>合理布局，</w:t>
      </w:r>
      <w:r>
        <w:rPr>
          <w:color w:val="auto"/>
          <w:sz w:val="24"/>
        </w:rPr>
        <w:t>布置严格按照防火防爆技术要求</w:t>
      </w:r>
      <w:r>
        <w:rPr>
          <w:rFonts w:hint="eastAsia"/>
          <w:color w:val="auto"/>
          <w:sz w:val="24"/>
        </w:rPr>
        <w:t>进行，使</w:t>
      </w:r>
      <w:r>
        <w:rPr>
          <w:color w:val="auto"/>
          <w:sz w:val="24"/>
        </w:rPr>
        <w:t>可燃</w:t>
      </w:r>
      <w:r>
        <w:rPr>
          <w:rFonts w:hint="eastAsia"/>
          <w:color w:val="auto"/>
          <w:sz w:val="24"/>
        </w:rPr>
        <w:t>的物料</w:t>
      </w:r>
      <w:r>
        <w:rPr>
          <w:color w:val="auto"/>
          <w:sz w:val="24"/>
        </w:rPr>
        <w:t>远离热源、火种、防止日光暴晒。</w:t>
      </w:r>
      <w:r>
        <w:rPr>
          <w:rFonts w:hint="eastAsia"/>
          <w:color w:val="auto"/>
          <w:sz w:val="24"/>
        </w:rPr>
        <w:t>物料的</w:t>
      </w:r>
      <w:r>
        <w:rPr>
          <w:color w:val="auto"/>
          <w:sz w:val="24"/>
        </w:rPr>
        <w:t>储存</w:t>
      </w:r>
      <w:r>
        <w:rPr>
          <w:rFonts w:hint="eastAsia"/>
          <w:color w:val="auto"/>
          <w:sz w:val="24"/>
        </w:rPr>
        <w:t>要按照</w:t>
      </w:r>
      <w:r>
        <w:rPr>
          <w:color w:val="auto"/>
          <w:sz w:val="24"/>
        </w:rPr>
        <w:t>物质性能分类分区，性质相抵触、灭火方法不同的原料物品应分类贮存</w:t>
      </w:r>
      <w:r>
        <w:rPr>
          <w:rFonts w:hint="eastAsia"/>
          <w:color w:val="auto"/>
          <w:sz w:val="24"/>
        </w:rPr>
        <w:t>，</w:t>
      </w:r>
      <w:r>
        <w:rPr>
          <w:color w:val="auto"/>
          <w:sz w:val="24"/>
        </w:rPr>
        <w:t>风险物质做好标识和标签。</w:t>
      </w:r>
    </w:p>
    <w:p>
      <w:pPr>
        <w:spacing w:line="360" w:lineRule="auto"/>
        <w:ind w:firstLine="480" w:firstLineChars="200"/>
        <w:rPr>
          <w:color w:val="auto"/>
          <w:sz w:val="24"/>
        </w:rPr>
      </w:pPr>
      <w:r>
        <w:rPr>
          <w:rFonts w:hint="eastAsia"/>
          <w:color w:val="auto"/>
          <w:sz w:val="24"/>
        </w:rPr>
        <w:t>（3）</w:t>
      </w:r>
      <w:r>
        <w:rPr>
          <w:color w:val="auto"/>
          <w:sz w:val="24"/>
        </w:rPr>
        <w:t>在工艺设计中，应作安全连锁和事故紧急停车措施。一些必要部位设置压力表、安全阀、爆破板以及报警系统。在仪表选用上，防爆区内的仪表为本质安全型或隔爆型。各类压力容器的设计，严格按照《压力容器安全技术监察规程》进行。同时加强设备的密封及设备与管理、管道与管道的连接密封，减少易燃易爆物质的泄漏可能性。订购压力设备时，必须采购使用国家认可的有资质厂家生产的正规设备。</w:t>
      </w:r>
    </w:p>
    <w:p>
      <w:pPr>
        <w:spacing w:line="360" w:lineRule="auto"/>
        <w:ind w:firstLine="480" w:firstLineChars="200"/>
        <w:rPr>
          <w:color w:val="auto"/>
          <w:sz w:val="24"/>
        </w:rPr>
      </w:pPr>
      <w:r>
        <w:rPr>
          <w:rFonts w:hint="eastAsia"/>
          <w:color w:val="auto"/>
          <w:sz w:val="24"/>
        </w:rPr>
        <w:t>（4）</w:t>
      </w:r>
      <w:r>
        <w:rPr>
          <w:color w:val="auto"/>
          <w:sz w:val="24"/>
        </w:rPr>
        <w:t>生产中加强管理，制定严格的操作制度，做到随时检查，发现问题及时处理。</w:t>
      </w:r>
    </w:p>
    <w:p>
      <w:pPr>
        <w:spacing w:line="360" w:lineRule="auto"/>
        <w:ind w:firstLine="480" w:firstLineChars="200"/>
        <w:rPr>
          <w:color w:val="auto"/>
          <w:sz w:val="24"/>
        </w:rPr>
      </w:pPr>
      <w:r>
        <w:rPr>
          <w:rFonts w:hint="eastAsia"/>
          <w:color w:val="auto"/>
          <w:sz w:val="24"/>
        </w:rPr>
        <w:t>（5）</w:t>
      </w:r>
      <w:r>
        <w:rPr>
          <w:color w:val="auto"/>
          <w:sz w:val="24"/>
        </w:rPr>
        <w:t>建立健全全厂消防系统，设计安全出口，设消</w:t>
      </w:r>
      <w:r>
        <w:rPr>
          <w:rFonts w:hint="eastAsia"/>
          <w:color w:val="auto"/>
          <w:sz w:val="24"/>
        </w:rPr>
        <w:t>防</w:t>
      </w:r>
      <w:r>
        <w:rPr>
          <w:color w:val="auto"/>
          <w:sz w:val="24"/>
        </w:rPr>
        <w:t>栓，配备灭火器并完善可行的消防及火灾报警系统。</w:t>
      </w:r>
      <w:r>
        <w:rPr>
          <w:rFonts w:hint="eastAsia"/>
          <w:color w:val="auto"/>
          <w:sz w:val="24"/>
        </w:rPr>
        <w:t>日常需定期进行消防教育和演练。</w:t>
      </w:r>
    </w:p>
    <w:bookmarkEnd w:id="2623"/>
    <w:bookmarkEnd w:id="2624"/>
    <w:bookmarkEnd w:id="2625"/>
    <w:bookmarkEnd w:id="2626"/>
    <w:bookmarkEnd w:id="2627"/>
    <w:bookmarkEnd w:id="2628"/>
    <w:bookmarkEnd w:id="2629"/>
    <w:bookmarkEnd w:id="2630"/>
    <w:p>
      <w:pPr>
        <w:keepNext/>
        <w:keepLines/>
        <w:spacing w:line="360" w:lineRule="auto"/>
        <w:jc w:val="left"/>
        <w:outlineLvl w:val="2"/>
        <w:rPr>
          <w:b/>
          <w:bCs/>
          <w:color w:val="auto"/>
          <w:sz w:val="28"/>
          <w:szCs w:val="28"/>
        </w:rPr>
      </w:pPr>
      <w:bookmarkStart w:id="2632" w:name="_Toc16096_WPSOffice_Level2"/>
      <w:bookmarkStart w:id="2633" w:name="_Toc22747_WPSOffice_Level2"/>
      <w:bookmarkStart w:id="2634" w:name="_Toc30873_WPSOffice_Level2"/>
      <w:bookmarkStart w:id="2635" w:name="_Toc26827"/>
      <w:bookmarkStart w:id="2636" w:name="_Toc23255_WPSOffice_Level2"/>
      <w:bookmarkStart w:id="2637" w:name="_Toc21092_WPSOffice_Level2"/>
      <w:bookmarkStart w:id="2638" w:name="_Toc13329_WPSOffice_Level2"/>
      <w:bookmarkStart w:id="2639" w:name="_Toc4165_WPSOffice_Level2"/>
      <w:bookmarkStart w:id="2640" w:name="_Toc28554_WPSOffice_Level2"/>
      <w:bookmarkStart w:id="2641" w:name="_Toc5026"/>
      <w:r>
        <w:rPr>
          <w:rFonts w:hint="eastAsia"/>
          <w:b/>
          <w:bCs/>
          <w:color w:val="auto"/>
          <w:sz w:val="28"/>
          <w:szCs w:val="28"/>
        </w:rPr>
        <w:t>7</w:t>
      </w:r>
      <w:r>
        <w:rPr>
          <w:b/>
          <w:bCs/>
          <w:color w:val="auto"/>
          <w:sz w:val="28"/>
          <w:szCs w:val="28"/>
        </w:rPr>
        <w:t>.7.</w:t>
      </w:r>
      <w:bookmarkEnd w:id="2632"/>
      <w:bookmarkEnd w:id="2633"/>
      <w:bookmarkEnd w:id="2634"/>
      <w:bookmarkEnd w:id="2635"/>
      <w:bookmarkEnd w:id="2636"/>
      <w:bookmarkEnd w:id="2637"/>
      <w:bookmarkEnd w:id="2638"/>
      <w:bookmarkEnd w:id="2639"/>
      <w:r>
        <w:rPr>
          <w:rFonts w:hint="eastAsia"/>
          <w:b/>
          <w:bCs/>
          <w:color w:val="auto"/>
          <w:sz w:val="28"/>
          <w:szCs w:val="28"/>
        </w:rPr>
        <w:t>3  废气</w:t>
      </w:r>
      <w:r>
        <w:rPr>
          <w:b/>
          <w:bCs/>
          <w:color w:val="auto"/>
          <w:sz w:val="28"/>
          <w:szCs w:val="28"/>
        </w:rPr>
        <w:t>事故排放风险及防范措施</w:t>
      </w:r>
      <w:bookmarkEnd w:id="2640"/>
      <w:bookmarkEnd w:id="2641"/>
    </w:p>
    <w:p>
      <w:pPr>
        <w:spacing w:line="360" w:lineRule="auto"/>
        <w:ind w:firstLine="480" w:firstLineChars="200"/>
        <w:rPr>
          <w:color w:val="auto"/>
          <w:sz w:val="24"/>
        </w:rPr>
      </w:pPr>
      <w:r>
        <w:rPr>
          <w:rFonts w:hint="eastAsia"/>
          <w:color w:val="auto"/>
          <w:sz w:val="24"/>
        </w:rPr>
        <w:t>（1）</w:t>
      </w:r>
      <w:r>
        <w:rPr>
          <w:color w:val="auto"/>
          <w:sz w:val="24"/>
        </w:rPr>
        <w:t>对操作人员进行岗位培训，严格按操作规程进行操作，严禁违章作业。</w:t>
      </w:r>
    </w:p>
    <w:p>
      <w:pPr>
        <w:spacing w:line="360" w:lineRule="auto"/>
        <w:ind w:firstLine="480" w:firstLineChars="200"/>
        <w:rPr>
          <w:color w:val="auto"/>
          <w:sz w:val="24"/>
        </w:rPr>
      </w:pPr>
      <w:r>
        <w:rPr>
          <w:rFonts w:hint="eastAsia"/>
          <w:color w:val="auto"/>
          <w:sz w:val="24"/>
        </w:rPr>
        <w:t>（2）</w:t>
      </w:r>
      <w:r>
        <w:rPr>
          <w:color w:val="auto"/>
          <w:sz w:val="24"/>
        </w:rPr>
        <w:t>设立废气治理设备</w:t>
      </w:r>
      <w:r>
        <w:rPr>
          <w:color w:val="auto"/>
          <w:kern w:val="0"/>
          <w:sz w:val="24"/>
        </w:rPr>
        <w:t>的管理</w:t>
      </w:r>
      <w:r>
        <w:rPr>
          <w:color w:val="auto"/>
          <w:sz w:val="24"/>
        </w:rPr>
        <w:t>台账，并严格落实运行。安排专人对废气处理设施</w:t>
      </w:r>
      <w:r>
        <w:rPr>
          <w:color w:val="auto"/>
          <w:kern w:val="0"/>
          <w:sz w:val="24"/>
        </w:rPr>
        <w:t>设施</w:t>
      </w:r>
      <w:r>
        <w:rPr>
          <w:color w:val="auto"/>
          <w:sz w:val="24"/>
        </w:rPr>
        <w:t>进行巡查、管理和维护，</w:t>
      </w:r>
      <w:r>
        <w:rPr>
          <w:rFonts w:hint="eastAsia"/>
          <w:color w:val="auto"/>
          <w:sz w:val="24"/>
        </w:rPr>
        <w:t>定期更换活性炭，</w:t>
      </w:r>
      <w:r>
        <w:rPr>
          <w:color w:val="auto"/>
          <w:sz w:val="24"/>
        </w:rPr>
        <w:t>确保废气处理设施的收集、处理效率，避免故障或事故发生。</w:t>
      </w:r>
    </w:p>
    <w:p>
      <w:pPr>
        <w:spacing w:line="360" w:lineRule="auto"/>
        <w:ind w:firstLine="480" w:firstLineChars="200"/>
        <w:rPr>
          <w:color w:val="auto"/>
          <w:sz w:val="24"/>
        </w:rPr>
      </w:pPr>
      <w:r>
        <w:rPr>
          <w:rFonts w:hint="eastAsia"/>
          <w:color w:val="auto"/>
          <w:sz w:val="24"/>
        </w:rPr>
        <w:t>（3）</w:t>
      </w:r>
      <w:r>
        <w:rPr>
          <w:color w:val="auto"/>
          <w:sz w:val="24"/>
        </w:rPr>
        <w:t>一旦发现废气处理设施出现异常，应迅速停止使用，关闭阀门，停止生产，禁止废气、废水未经处理外排。随后应马上安排维修人员排查故障。待事故顺利解决后方可继续生产。</w:t>
      </w:r>
    </w:p>
    <w:p>
      <w:pPr>
        <w:keepNext/>
        <w:keepLines/>
        <w:spacing w:line="360" w:lineRule="auto"/>
        <w:jc w:val="left"/>
        <w:outlineLvl w:val="2"/>
        <w:rPr>
          <w:color w:val="auto"/>
          <w:sz w:val="24"/>
        </w:rPr>
      </w:pPr>
      <w:bookmarkStart w:id="2642" w:name="_Toc6784_WPSOffice_Level2"/>
      <w:bookmarkStart w:id="2643" w:name="_Toc30645"/>
      <w:bookmarkStart w:id="2644" w:name="_Toc981_WPSOffice_Level2"/>
      <w:r>
        <w:rPr>
          <w:rFonts w:hint="eastAsia"/>
          <w:b/>
          <w:bCs/>
          <w:color w:val="auto"/>
          <w:sz w:val="28"/>
          <w:szCs w:val="28"/>
        </w:rPr>
        <w:t>7</w:t>
      </w:r>
      <w:r>
        <w:rPr>
          <w:b/>
          <w:bCs/>
          <w:color w:val="auto"/>
          <w:sz w:val="28"/>
          <w:szCs w:val="28"/>
        </w:rPr>
        <w:t>.7.4</w:t>
      </w:r>
      <w:bookmarkEnd w:id="2642"/>
      <w:r>
        <w:rPr>
          <w:rFonts w:hint="eastAsia"/>
          <w:b/>
          <w:bCs/>
          <w:color w:val="auto"/>
          <w:sz w:val="28"/>
          <w:szCs w:val="28"/>
        </w:rPr>
        <w:t xml:space="preserve">  </w:t>
      </w:r>
      <w:r>
        <w:rPr>
          <w:b/>
          <w:bCs/>
          <w:color w:val="auto"/>
          <w:sz w:val="28"/>
          <w:szCs w:val="28"/>
        </w:rPr>
        <w:t>废水事故</w:t>
      </w:r>
      <w:r>
        <w:rPr>
          <w:rFonts w:hint="eastAsia"/>
          <w:b/>
          <w:bCs/>
          <w:color w:val="auto"/>
          <w:sz w:val="28"/>
          <w:szCs w:val="28"/>
        </w:rPr>
        <w:t>排放</w:t>
      </w:r>
      <w:r>
        <w:rPr>
          <w:b/>
          <w:bCs/>
          <w:color w:val="auto"/>
          <w:sz w:val="28"/>
          <w:szCs w:val="28"/>
        </w:rPr>
        <w:t>预防措施</w:t>
      </w:r>
      <w:bookmarkEnd w:id="2643"/>
      <w:bookmarkEnd w:id="2644"/>
    </w:p>
    <w:p>
      <w:pPr>
        <w:adjustRightInd w:val="0"/>
        <w:snapToGrid w:val="0"/>
        <w:spacing w:line="360" w:lineRule="auto"/>
        <w:ind w:firstLine="480" w:firstLineChars="200"/>
        <w:rPr>
          <w:color w:val="auto"/>
          <w:sz w:val="24"/>
        </w:rPr>
      </w:pPr>
      <w:r>
        <w:rPr>
          <w:rFonts w:hint="eastAsia"/>
          <w:color w:val="auto"/>
          <w:sz w:val="24"/>
        </w:rPr>
        <w:t>（1）</w:t>
      </w:r>
      <w:r>
        <w:rPr>
          <w:color w:val="auto"/>
          <w:sz w:val="24"/>
        </w:rPr>
        <w:t>提高事故缓冲能力</w:t>
      </w:r>
    </w:p>
    <w:p>
      <w:pPr>
        <w:adjustRightInd w:val="0"/>
        <w:snapToGrid w:val="0"/>
        <w:spacing w:line="360" w:lineRule="auto"/>
        <w:ind w:firstLine="480" w:firstLineChars="200"/>
        <w:rPr>
          <w:color w:val="auto"/>
          <w:sz w:val="24"/>
        </w:rPr>
      </w:pPr>
      <w:r>
        <w:rPr>
          <w:color w:val="auto"/>
          <w:sz w:val="24"/>
        </w:rPr>
        <w:t>为了保证事故状态下迅速恢复处理工程的正常运行，主要水工构筑物必须留有足够的缓冲余地，并配备相应的处理设备（如回流泵、回流管道、仪表及阀门等）。</w:t>
      </w:r>
    </w:p>
    <w:p>
      <w:pPr>
        <w:spacing w:line="360" w:lineRule="auto"/>
        <w:ind w:firstLine="480" w:firstLineChars="200"/>
        <w:jc w:val="left"/>
        <w:rPr>
          <w:color w:val="auto"/>
          <w:sz w:val="24"/>
        </w:rPr>
      </w:pPr>
      <w:r>
        <w:rPr>
          <w:rFonts w:hint="eastAsia"/>
          <w:color w:val="auto"/>
          <w:sz w:val="24"/>
        </w:rPr>
        <w:t>（2）</w:t>
      </w:r>
      <w:r>
        <w:rPr>
          <w:color w:val="auto"/>
          <w:sz w:val="24"/>
        </w:rPr>
        <w:t>安排专人对</w:t>
      </w:r>
      <w:r>
        <w:rPr>
          <w:rFonts w:hint="eastAsia"/>
          <w:color w:val="auto"/>
          <w:sz w:val="24"/>
        </w:rPr>
        <w:t>沉淀池、</w:t>
      </w:r>
      <w:r>
        <w:rPr>
          <w:rFonts w:hint="eastAsia"/>
          <w:color w:val="auto"/>
          <w:kern w:val="0"/>
          <w:sz w:val="24"/>
        </w:rPr>
        <w:t>三级化粪池</w:t>
      </w:r>
      <w:r>
        <w:rPr>
          <w:color w:val="auto"/>
          <w:sz w:val="24"/>
        </w:rPr>
        <w:t>管道、阀门等进行巡查、管理和维护，防止污水跑、冒、滴、漏</w:t>
      </w:r>
      <w:r>
        <w:rPr>
          <w:rFonts w:hint="eastAsia"/>
          <w:color w:val="auto"/>
          <w:sz w:val="24"/>
        </w:rPr>
        <w:t>。</w:t>
      </w:r>
      <w:r>
        <w:rPr>
          <w:color w:val="auto"/>
          <w:sz w:val="24"/>
        </w:rPr>
        <w:t>管网要设计合适的承压能力，防止因压力而爆裂，造成污水横流。确保</w:t>
      </w:r>
      <w:r>
        <w:rPr>
          <w:rFonts w:hint="eastAsia"/>
          <w:color w:val="auto"/>
          <w:sz w:val="24"/>
        </w:rPr>
        <w:t>废水</w:t>
      </w:r>
      <w:r>
        <w:rPr>
          <w:color w:val="auto"/>
          <w:sz w:val="24"/>
        </w:rPr>
        <w:t>处理设施的</w:t>
      </w:r>
      <w:r>
        <w:rPr>
          <w:rFonts w:hint="eastAsia"/>
          <w:color w:val="auto"/>
          <w:sz w:val="24"/>
        </w:rPr>
        <w:t>状态和</w:t>
      </w:r>
      <w:r>
        <w:rPr>
          <w:color w:val="auto"/>
          <w:sz w:val="24"/>
        </w:rPr>
        <w:t>处理效率，避免故障或事故发生。</w:t>
      </w:r>
    </w:p>
    <w:p>
      <w:pPr>
        <w:spacing w:line="360" w:lineRule="auto"/>
        <w:ind w:firstLine="480" w:firstLineChars="200"/>
        <w:jc w:val="left"/>
        <w:rPr>
          <w:color w:val="auto"/>
          <w:sz w:val="24"/>
        </w:rPr>
      </w:pPr>
      <w:r>
        <w:rPr>
          <w:rFonts w:hint="eastAsia"/>
          <w:color w:val="auto"/>
          <w:sz w:val="24"/>
        </w:rPr>
        <w:t>（3）</w:t>
      </w:r>
      <w:r>
        <w:rPr>
          <w:color w:val="auto"/>
          <w:sz w:val="24"/>
        </w:rPr>
        <w:t>一旦发现</w:t>
      </w:r>
      <w:r>
        <w:rPr>
          <w:rFonts w:hint="eastAsia"/>
          <w:color w:val="auto"/>
          <w:sz w:val="24"/>
        </w:rPr>
        <w:t>沉淀池</w:t>
      </w:r>
      <w:r>
        <w:rPr>
          <w:color w:val="auto"/>
          <w:sz w:val="24"/>
        </w:rPr>
        <w:t>和</w:t>
      </w:r>
      <w:r>
        <w:rPr>
          <w:rFonts w:hint="eastAsia"/>
          <w:color w:val="auto"/>
          <w:kern w:val="0"/>
          <w:sz w:val="24"/>
        </w:rPr>
        <w:t>三级化粪池</w:t>
      </w:r>
      <w:r>
        <w:rPr>
          <w:color w:val="auto"/>
          <w:sz w:val="24"/>
        </w:rPr>
        <w:t>出现异常，应迅速停止使用，关闭阀门，停止生产，禁止废水未经处理外排。随后应马上安排维修人员排查故障。待事故顺利</w:t>
      </w:r>
      <w:r>
        <w:rPr>
          <w:rFonts w:hint="eastAsia"/>
          <w:color w:val="auto"/>
          <w:sz w:val="24"/>
        </w:rPr>
        <w:t>解决后方可继续使用。</w:t>
      </w:r>
    </w:p>
    <w:p>
      <w:pPr>
        <w:spacing w:line="360" w:lineRule="auto"/>
        <w:ind w:firstLine="480" w:firstLineChars="200"/>
        <w:jc w:val="left"/>
        <w:rPr>
          <w:color w:val="auto"/>
          <w:sz w:val="24"/>
        </w:rPr>
      </w:pPr>
      <w:r>
        <w:rPr>
          <w:rFonts w:hint="eastAsia"/>
          <w:color w:val="auto"/>
          <w:sz w:val="24"/>
        </w:rPr>
        <w:t>（4）加强事故苗头监控</w:t>
      </w:r>
    </w:p>
    <w:p>
      <w:pPr>
        <w:spacing w:line="360" w:lineRule="auto"/>
        <w:ind w:firstLine="480" w:firstLineChars="200"/>
        <w:jc w:val="left"/>
        <w:rPr>
          <w:color w:val="auto"/>
          <w:sz w:val="24"/>
        </w:rPr>
      </w:pPr>
      <w:r>
        <w:rPr>
          <w:rFonts w:hint="eastAsia"/>
          <w:color w:val="auto"/>
          <w:sz w:val="24"/>
        </w:rPr>
        <w:t>主要操作人员上岗前严格进行理论和实际操作培训，使其可及时发现有可能引起的事故异常运行苗头。</w:t>
      </w:r>
    </w:p>
    <w:p>
      <w:pPr>
        <w:adjustRightInd w:val="0"/>
        <w:snapToGrid w:val="0"/>
        <w:spacing w:line="360" w:lineRule="auto"/>
        <w:ind w:firstLine="480" w:firstLineChars="200"/>
        <w:rPr>
          <w:color w:val="auto"/>
          <w:sz w:val="24"/>
        </w:rPr>
      </w:pPr>
      <w:r>
        <w:rPr>
          <w:rFonts w:hint="eastAsia"/>
          <w:color w:val="auto"/>
          <w:sz w:val="24"/>
        </w:rPr>
        <w:t>（5）</w:t>
      </w:r>
      <w:r>
        <w:rPr>
          <w:color w:val="auto"/>
          <w:sz w:val="24"/>
        </w:rPr>
        <w:t>消防废水的收集</w:t>
      </w:r>
    </w:p>
    <w:p>
      <w:pPr>
        <w:spacing w:line="360" w:lineRule="auto"/>
        <w:ind w:firstLine="480" w:firstLineChars="200"/>
        <w:rPr>
          <w:color w:val="auto"/>
          <w:sz w:val="24"/>
        </w:rPr>
      </w:pPr>
      <w:r>
        <w:rPr>
          <w:color w:val="auto"/>
          <w:sz w:val="24"/>
        </w:rPr>
        <w:t>为将消防废水收集、导流、拦截在企业厂区内，避免事故状态下消防尾水流入附近地表水体，企业需设置事故应急池。</w:t>
      </w:r>
    </w:p>
    <w:p>
      <w:pPr>
        <w:spacing w:line="360" w:lineRule="auto"/>
        <w:ind w:firstLine="480" w:firstLineChars="200"/>
        <w:jc w:val="left"/>
        <w:rPr>
          <w:color w:val="auto"/>
          <w:sz w:val="24"/>
        </w:rPr>
      </w:pPr>
      <w:r>
        <w:rPr>
          <w:color w:val="auto"/>
          <w:sz w:val="24"/>
        </w:rPr>
        <w:t>根据《中国石化建标[2006]43号《关于印发&lt;水体污染防控紧急措施设计导则&gt;的通知》、《消防给水及消火栓系统技术规范》（GB50974-2014）及《住房城乡建设部关于发布国家标准&lt;建筑设计防火规范&gt;局部修订的公告》（中华人民共和国住房和城乡建设部公告2018第35号）中对事故排水储存设施总有效容积计算公式：</w:t>
      </w:r>
    </w:p>
    <w:p>
      <w:pPr>
        <w:pStyle w:val="66"/>
        <w:spacing w:line="360" w:lineRule="auto"/>
        <w:jc w:val="center"/>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总</w:t>
      </w:r>
      <w:r>
        <w:rPr>
          <w:rFonts w:ascii="Times New Roman" w:hAnsi="Times New Roman" w:eastAsia="宋体"/>
          <w:color w:val="auto"/>
          <w:kern w:val="0"/>
        </w:rPr>
        <w:t>＝（V</w:t>
      </w:r>
      <w:r>
        <w:rPr>
          <w:rFonts w:ascii="Times New Roman" w:hAnsi="Times New Roman" w:eastAsia="宋体"/>
          <w:color w:val="auto"/>
          <w:kern w:val="0"/>
          <w:vertAlign w:val="subscript"/>
        </w:rPr>
        <w:t>1</w:t>
      </w:r>
      <w:r>
        <w:rPr>
          <w:rFonts w:ascii="Times New Roman" w:hAnsi="Times New Roman" w:eastAsia="宋体"/>
          <w:color w:val="auto"/>
          <w:kern w:val="0"/>
        </w:rPr>
        <w:t>+V</w:t>
      </w:r>
      <w:r>
        <w:rPr>
          <w:rFonts w:ascii="Times New Roman" w:hAnsi="Times New Roman" w:eastAsia="宋体"/>
          <w:color w:val="auto"/>
          <w:kern w:val="0"/>
          <w:vertAlign w:val="subscript"/>
        </w:rPr>
        <w:t>2</w:t>
      </w:r>
      <w:r>
        <w:rPr>
          <w:rFonts w:ascii="Times New Roman" w:hAnsi="Times New Roman" w:eastAsia="宋体"/>
          <w:color w:val="auto"/>
          <w:kern w:val="0"/>
        </w:rPr>
        <w:t>-V</w:t>
      </w:r>
      <w:r>
        <w:rPr>
          <w:rFonts w:ascii="Times New Roman" w:hAnsi="Times New Roman" w:eastAsia="宋体"/>
          <w:color w:val="auto"/>
          <w:kern w:val="0"/>
          <w:vertAlign w:val="subscript"/>
        </w:rPr>
        <w:t>3</w:t>
      </w:r>
      <w:r>
        <w:rPr>
          <w:rFonts w:ascii="Times New Roman" w:hAnsi="Times New Roman" w:eastAsia="宋体"/>
          <w:color w:val="auto"/>
          <w:kern w:val="0"/>
        </w:rPr>
        <w:t>）</w:t>
      </w:r>
      <w:r>
        <w:rPr>
          <w:rFonts w:ascii="Times New Roman" w:hAnsi="Times New Roman" w:eastAsia="宋体"/>
          <w:color w:val="auto"/>
          <w:kern w:val="0"/>
          <w:vertAlign w:val="subscript"/>
        </w:rPr>
        <w:t>max</w:t>
      </w:r>
      <w:r>
        <w:rPr>
          <w:rFonts w:ascii="Times New Roman" w:hAnsi="Times New Roman" w:eastAsia="宋体"/>
          <w:color w:val="auto"/>
          <w:kern w:val="0"/>
        </w:rPr>
        <w:t>+ V</w:t>
      </w:r>
      <w:r>
        <w:rPr>
          <w:rFonts w:ascii="Times New Roman" w:hAnsi="Times New Roman" w:eastAsia="宋体"/>
          <w:color w:val="auto"/>
          <w:kern w:val="0"/>
          <w:vertAlign w:val="subscript"/>
        </w:rPr>
        <w:t>4</w:t>
      </w:r>
      <w:r>
        <w:rPr>
          <w:rFonts w:ascii="Times New Roman" w:hAnsi="Times New Roman" w:eastAsia="宋体"/>
          <w:color w:val="auto"/>
          <w:kern w:val="0"/>
        </w:rPr>
        <w:t>+V</w:t>
      </w:r>
      <w:r>
        <w:rPr>
          <w:rFonts w:ascii="Times New Roman" w:hAnsi="Times New Roman" w:eastAsia="宋体"/>
          <w:color w:val="auto"/>
          <w:kern w:val="0"/>
          <w:vertAlign w:val="subscript"/>
        </w:rPr>
        <w:t>5</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式中：</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1</w:t>
      </w:r>
      <w:r>
        <w:rPr>
          <w:rFonts w:ascii="Times New Roman" w:hAnsi="Times New Roman" w:eastAsia="宋体"/>
          <w:color w:val="auto"/>
          <w:kern w:val="0"/>
        </w:rPr>
        <w:t>——收集系统范围内发生事故的一个罐组或一套装置的物料量。根据上文分析可知，项目可能泄露的危险物料有石油沥青、软化油、导热油、</w:t>
      </w:r>
      <w:r>
        <w:rPr>
          <w:rFonts w:hint="eastAsia" w:ascii="Times New Roman" w:hAnsi="Times New Roman" w:eastAsia="宋体"/>
          <w:color w:val="auto"/>
          <w:kern w:val="0"/>
        </w:rPr>
        <w:t>润滑油</w:t>
      </w:r>
      <w:r>
        <w:rPr>
          <w:rFonts w:ascii="Times New Roman" w:hAnsi="Times New Roman" w:eastAsia="宋体"/>
          <w:color w:val="auto"/>
          <w:kern w:val="0"/>
        </w:rPr>
        <w:t>、</w:t>
      </w:r>
      <w:r>
        <w:rPr>
          <w:rFonts w:hint="eastAsia" w:ascii="Times New Roman" w:hAnsi="Times New Roman" w:eastAsia="宋体"/>
          <w:color w:val="auto"/>
          <w:kern w:val="0"/>
        </w:rPr>
        <w:t>废矿物油</w:t>
      </w:r>
      <w:r>
        <w:rPr>
          <w:rFonts w:ascii="Times New Roman" w:hAnsi="Times New Roman" w:eastAsia="宋体"/>
          <w:color w:val="auto"/>
          <w:kern w:val="0"/>
        </w:rPr>
        <w:t>，</w:t>
      </w:r>
      <w:r>
        <w:rPr>
          <w:rFonts w:hint="eastAsia" w:ascii="Times New Roman" w:hAnsi="Times New Roman" w:eastAsia="宋体"/>
          <w:color w:val="auto"/>
          <w:kern w:val="0"/>
        </w:rPr>
        <w:t>其中</w:t>
      </w:r>
      <w:r>
        <w:rPr>
          <w:rFonts w:ascii="Times New Roman" w:hAnsi="Times New Roman" w:eastAsia="宋体"/>
          <w:color w:val="auto"/>
          <w:kern w:val="0"/>
        </w:rPr>
        <w:t>最大容量</w:t>
      </w:r>
      <w:r>
        <w:rPr>
          <w:rFonts w:hint="eastAsia" w:ascii="Times New Roman" w:hAnsi="Times New Roman" w:eastAsia="宋体"/>
          <w:color w:val="auto"/>
          <w:kern w:val="0"/>
        </w:rPr>
        <w:t>的石油沥青储罐</w:t>
      </w:r>
      <w:r>
        <w:rPr>
          <w:rFonts w:ascii="Times New Roman" w:hAnsi="Times New Roman" w:eastAsia="宋体"/>
          <w:color w:val="auto"/>
          <w:kern w:val="0"/>
        </w:rPr>
        <w:t>为</w:t>
      </w:r>
      <w:r>
        <w:rPr>
          <w:rFonts w:hint="eastAsia" w:ascii="Times New Roman" w:hAnsi="Times New Roman" w:eastAsia="宋体"/>
          <w:color w:val="auto"/>
          <w:kern w:val="0"/>
        </w:rPr>
        <w:t>80</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ascii="Times New Roman" w:hAnsi="Times New Roman" w:eastAsia="宋体"/>
          <w:color w:val="auto"/>
          <w:kern w:val="0"/>
        </w:rPr>
        <w:t>，所以V</w:t>
      </w:r>
      <w:r>
        <w:rPr>
          <w:rFonts w:ascii="Times New Roman" w:hAnsi="Times New Roman" w:eastAsia="宋体"/>
          <w:color w:val="auto"/>
          <w:kern w:val="0"/>
          <w:vertAlign w:val="subscript"/>
        </w:rPr>
        <w:t>1</w:t>
      </w:r>
      <w:r>
        <w:rPr>
          <w:rFonts w:ascii="Times New Roman" w:hAnsi="Times New Roman" w:eastAsia="宋体"/>
          <w:color w:val="auto"/>
          <w:kern w:val="0"/>
        </w:rPr>
        <w:t>=</w:t>
      </w:r>
      <w:r>
        <w:rPr>
          <w:rFonts w:hint="eastAsia" w:ascii="Times New Roman" w:hAnsi="Times New Roman" w:eastAsia="宋体"/>
          <w:color w:val="auto"/>
          <w:kern w:val="0"/>
        </w:rPr>
        <w:t>80</w:t>
      </w:r>
      <w:r>
        <w:rPr>
          <w:rFonts w:ascii="Times New Roman" w:hAnsi="Times New Roman" w:eastAsia="宋体"/>
          <w:color w:val="auto"/>
          <w:kern w:val="0"/>
        </w:rPr>
        <w:t>m³；</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2</w:t>
      </w:r>
      <w:r>
        <w:rPr>
          <w:rFonts w:ascii="Times New Roman" w:hAnsi="Times New Roman" w:eastAsia="宋体"/>
          <w:color w:val="auto"/>
          <w:kern w:val="0"/>
        </w:rPr>
        <w:t>——发生事故的储罐或装置的消防水量，m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jc w:val="center"/>
        <w:rPr>
          <w:rFonts w:ascii="Times New Roman" w:hAnsi="Times New Roman" w:eastAsia="宋体"/>
          <w:color w:val="auto"/>
          <w:kern w:val="0"/>
        </w:rPr>
      </w:pPr>
      <w:r>
        <w:rPr>
          <w:rFonts w:ascii="Times New Roman" w:hAnsi="Times New Roman" w:eastAsia="宋体"/>
          <w:color w:val="auto"/>
          <w:kern w:val="0"/>
          <w:position w:val="-14"/>
        </w:rPr>
        <w:object>
          <v:shape id="_x0000_i1034" o:spt="75" type="#_x0000_t75" style="height:20.75pt;width:66.8pt;" o:ole="t" filled="f" o:preferrelative="t" stroked="f" coordsize="21600,21600">
            <v:path/>
            <v:fill on="f" focussize="0,0"/>
            <v:stroke on="f"/>
            <v:imagedata r:id="rId102" o:title=""/>
            <o:lock v:ext="edit" aspectratio="t"/>
            <w10:wrap type="none"/>
            <w10:anchorlock/>
          </v:shape>
          <o:OLEObject Type="Embed" ProgID="Equation.3" ShapeID="_x0000_i1034" DrawAspect="Content" ObjectID="_1468075734" r:id="rId101">
            <o:LockedField>false</o:LockedField>
          </o:OLEObject>
        </w:object>
      </w:r>
    </w:p>
    <w:p>
      <w:pPr>
        <w:spacing w:line="360" w:lineRule="auto"/>
        <w:ind w:firstLine="480" w:firstLineChars="200"/>
        <w:jc w:val="left"/>
        <w:rPr>
          <w:color w:val="auto"/>
          <w:sz w:val="24"/>
        </w:rPr>
      </w:pPr>
      <w:r>
        <w:rPr>
          <w:color w:val="auto"/>
          <w:sz w:val="24"/>
        </w:rPr>
        <w:t>Q</w:t>
      </w:r>
      <w:r>
        <w:rPr>
          <w:color w:val="auto"/>
          <w:sz w:val="24"/>
          <w:vertAlign w:val="subscript"/>
        </w:rPr>
        <w:t>消</w:t>
      </w:r>
      <w:r>
        <w:rPr>
          <w:color w:val="auto"/>
          <w:sz w:val="24"/>
        </w:rPr>
        <w:t>——发生事故的储罐或装置的同时使用的消防设施给水流量，m</w:t>
      </w:r>
      <w:r>
        <w:rPr>
          <w:color w:val="auto"/>
          <w:sz w:val="24"/>
          <w:vertAlign w:val="superscript"/>
        </w:rPr>
        <w:t>3</w:t>
      </w:r>
      <w:r>
        <w:rPr>
          <w:color w:val="auto"/>
          <w:sz w:val="24"/>
        </w:rPr>
        <w:t>/h；</w:t>
      </w:r>
    </w:p>
    <w:p>
      <w:pPr>
        <w:spacing w:line="360" w:lineRule="auto"/>
        <w:ind w:firstLine="480" w:firstLineChars="200"/>
        <w:jc w:val="left"/>
        <w:rPr>
          <w:color w:val="auto"/>
          <w:sz w:val="24"/>
        </w:rPr>
      </w:pPr>
      <w:r>
        <w:rPr>
          <w:color w:val="auto"/>
          <w:sz w:val="24"/>
        </w:rPr>
        <w:t>t</w:t>
      </w:r>
      <w:r>
        <w:rPr>
          <w:color w:val="auto"/>
          <w:sz w:val="24"/>
          <w:vertAlign w:val="subscript"/>
        </w:rPr>
        <w:t>消</w:t>
      </w:r>
      <w:r>
        <w:rPr>
          <w:color w:val="auto"/>
          <w:sz w:val="24"/>
        </w:rPr>
        <w:t>——消防设施对应的设计消防历时，h；</w:t>
      </w:r>
    </w:p>
    <w:p>
      <w:pPr>
        <w:spacing w:line="360" w:lineRule="auto"/>
        <w:ind w:firstLine="480" w:firstLineChars="200"/>
        <w:jc w:val="left"/>
        <w:rPr>
          <w:color w:val="auto"/>
          <w:kern w:val="0"/>
        </w:rPr>
      </w:pPr>
      <w:r>
        <w:rPr>
          <w:color w:val="auto"/>
          <w:sz w:val="24"/>
        </w:rPr>
        <w:t>本项目不设消防储罐，消防水均来自于管道。项目整体位于室内，设有自动灭火系统，项目车间均属于丙类，所在建筑高度＜24m，根据《消防给水及消火栓系统技术规范》（GB50974-2014），确定其室内消防栓用水量为10L/s，火灾延续时间为3.0h，则发生火灾事故时装置区消防水量所用的消防水量为108m³。</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3</w:t>
      </w:r>
      <w:r>
        <w:rPr>
          <w:rFonts w:ascii="Times New Roman" w:hAnsi="Times New Roman" w:eastAsia="宋体"/>
          <w:color w:val="auto"/>
          <w:kern w:val="0"/>
        </w:rPr>
        <w:t>——发生事故时可以传输到其他储存或处理设施的物料量，m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autoSpaceDE w:val="0"/>
        <w:autoSpaceDN w:val="0"/>
        <w:spacing w:line="360" w:lineRule="auto"/>
        <w:ind w:firstLine="520" w:firstLineChars="217"/>
        <w:rPr>
          <w:color w:val="auto"/>
          <w:sz w:val="24"/>
        </w:rPr>
      </w:pPr>
      <w:r>
        <w:rPr>
          <w:color w:val="auto"/>
          <w:sz w:val="24"/>
        </w:rPr>
        <w:t>根据</w:t>
      </w:r>
      <w:r>
        <w:rPr>
          <w:rFonts w:hint="eastAsia"/>
          <w:color w:val="auto"/>
          <w:sz w:val="24"/>
        </w:rPr>
        <w:t>建设单位提供</w:t>
      </w:r>
      <w:r>
        <w:rPr>
          <w:color w:val="auto"/>
          <w:sz w:val="24"/>
        </w:rPr>
        <w:t>的资料，项目在湿式破碎生产车间设有2组</w:t>
      </w:r>
      <w:r>
        <w:rPr>
          <w:rFonts w:hint="eastAsia"/>
          <w:color w:val="auto"/>
          <w:sz w:val="24"/>
        </w:rPr>
        <w:t>沉淀池</w:t>
      </w:r>
      <w:r>
        <w:rPr>
          <w:color w:val="auto"/>
          <w:sz w:val="24"/>
        </w:rPr>
        <w:t>，每组有5个，用于</w:t>
      </w:r>
      <w:r>
        <w:rPr>
          <w:rFonts w:hint="eastAsia"/>
          <w:color w:val="auto"/>
          <w:sz w:val="24"/>
        </w:rPr>
        <w:t>对</w:t>
      </w:r>
      <w:r>
        <w:rPr>
          <w:color w:val="auto"/>
          <w:sz w:val="24"/>
        </w:rPr>
        <w:t>湿式破碎生产线</w:t>
      </w:r>
      <w:r>
        <w:rPr>
          <w:rFonts w:hint="eastAsia"/>
          <w:color w:val="auto"/>
          <w:sz w:val="24"/>
        </w:rPr>
        <w:t>产生的</w:t>
      </w:r>
      <w:r>
        <w:rPr>
          <w:color w:val="auto"/>
          <w:sz w:val="24"/>
        </w:rPr>
        <w:t>生产</w:t>
      </w:r>
      <w:r>
        <w:rPr>
          <w:rFonts w:hint="eastAsia"/>
          <w:color w:val="auto"/>
          <w:sz w:val="24"/>
        </w:rPr>
        <w:t>废</w:t>
      </w:r>
      <w:r>
        <w:rPr>
          <w:color w:val="auto"/>
          <w:sz w:val="24"/>
        </w:rPr>
        <w:t>水</w:t>
      </w:r>
      <w:r>
        <w:rPr>
          <w:rFonts w:hint="eastAsia"/>
          <w:color w:val="auto"/>
          <w:sz w:val="24"/>
        </w:rPr>
        <w:t>进行沉淀处理</w:t>
      </w:r>
      <w:r>
        <w:rPr>
          <w:color w:val="auto"/>
          <w:sz w:val="24"/>
        </w:rPr>
        <w:t>，</w:t>
      </w:r>
      <w:r>
        <w:rPr>
          <w:rFonts w:hint="eastAsia"/>
          <w:color w:val="auto"/>
          <w:sz w:val="24"/>
        </w:rPr>
        <w:t>同时对湿式破碎生产线的循环水起储存作用。一般情况下，湿式破碎生产线的保有水总量不会超过沉淀池的总容积。沉淀池的</w:t>
      </w:r>
      <w:r>
        <w:rPr>
          <w:color w:val="auto"/>
          <w:sz w:val="24"/>
        </w:rPr>
        <w:t>规格尺寸具体见下表。</w:t>
      </w:r>
    </w:p>
    <w:p>
      <w:pPr>
        <w:pStyle w:val="32"/>
        <w:spacing w:line="360" w:lineRule="auto"/>
        <w:jc w:val="center"/>
        <w:rPr>
          <w:b/>
          <w:bCs/>
          <w:color w:val="auto"/>
          <w:sz w:val="21"/>
          <w:szCs w:val="21"/>
        </w:rPr>
      </w:pPr>
    </w:p>
    <w:p>
      <w:pPr>
        <w:pStyle w:val="32"/>
        <w:spacing w:line="360" w:lineRule="auto"/>
        <w:jc w:val="center"/>
        <w:rPr>
          <w:b/>
          <w:bCs/>
          <w:color w:val="auto"/>
          <w:sz w:val="21"/>
          <w:szCs w:val="21"/>
        </w:rPr>
      </w:pPr>
    </w:p>
    <w:p>
      <w:pPr>
        <w:pStyle w:val="32"/>
        <w:spacing w:line="360" w:lineRule="auto"/>
        <w:jc w:val="center"/>
        <w:rPr>
          <w:b/>
          <w:bCs/>
          <w:color w:val="auto"/>
          <w:sz w:val="21"/>
          <w:szCs w:val="21"/>
        </w:rPr>
      </w:pPr>
    </w:p>
    <w:p>
      <w:pPr>
        <w:pStyle w:val="32"/>
        <w:spacing w:line="360" w:lineRule="auto"/>
        <w:jc w:val="center"/>
        <w:rPr>
          <w:b/>
          <w:bCs/>
          <w:color w:val="auto"/>
          <w:sz w:val="21"/>
          <w:szCs w:val="21"/>
        </w:rPr>
      </w:pPr>
      <w:r>
        <w:rPr>
          <w:b/>
          <w:bCs/>
          <w:color w:val="auto"/>
          <w:sz w:val="21"/>
          <w:szCs w:val="21"/>
        </w:rPr>
        <w:t>表</w:t>
      </w:r>
      <w:r>
        <w:rPr>
          <w:rFonts w:hint="eastAsia"/>
          <w:b/>
          <w:bCs/>
          <w:color w:val="auto"/>
          <w:sz w:val="21"/>
          <w:szCs w:val="21"/>
        </w:rPr>
        <w:t>7.7-1</w:t>
      </w:r>
      <w:r>
        <w:rPr>
          <w:b/>
          <w:bCs/>
          <w:color w:val="auto"/>
          <w:sz w:val="21"/>
          <w:szCs w:val="21"/>
        </w:rPr>
        <w:t xml:space="preserve">  湿式破碎生产线</w:t>
      </w:r>
      <w:r>
        <w:rPr>
          <w:rFonts w:hint="eastAsia"/>
          <w:b/>
          <w:bCs/>
          <w:color w:val="auto"/>
          <w:sz w:val="21"/>
          <w:szCs w:val="21"/>
        </w:rPr>
        <w:t>沉淀池</w:t>
      </w:r>
      <w:r>
        <w:rPr>
          <w:b/>
          <w:bCs/>
          <w:color w:val="auto"/>
          <w:sz w:val="21"/>
          <w:szCs w:val="21"/>
        </w:rPr>
        <w:t>规格尺寸</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3"/>
        <w:gridCol w:w="2289"/>
        <w:gridCol w:w="1713"/>
        <w:gridCol w:w="1588"/>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3" w:type="dxa"/>
            <w:vAlign w:val="center"/>
          </w:tcPr>
          <w:p>
            <w:pPr>
              <w:spacing w:line="300" w:lineRule="auto"/>
              <w:jc w:val="center"/>
              <w:rPr>
                <w:color w:val="auto"/>
                <w:szCs w:val="21"/>
              </w:rPr>
            </w:pPr>
            <w:r>
              <w:rPr>
                <w:color w:val="auto"/>
                <w:szCs w:val="21"/>
              </w:rPr>
              <w:t>项目</w:t>
            </w:r>
          </w:p>
        </w:tc>
        <w:tc>
          <w:tcPr>
            <w:tcW w:w="2289" w:type="dxa"/>
            <w:vAlign w:val="center"/>
          </w:tcPr>
          <w:p>
            <w:pPr>
              <w:widowControl/>
              <w:spacing w:line="300" w:lineRule="auto"/>
              <w:jc w:val="center"/>
              <w:textAlignment w:val="center"/>
              <w:rPr>
                <w:color w:val="auto"/>
                <w:szCs w:val="21"/>
              </w:rPr>
            </w:pPr>
            <w:r>
              <w:rPr>
                <w:color w:val="auto"/>
                <w:kern w:val="0"/>
                <w:szCs w:val="21"/>
                <w:lang w:bidi="ar"/>
              </w:rPr>
              <w:t>尺寸（宽*长*高）（m）</w:t>
            </w:r>
          </w:p>
        </w:tc>
        <w:tc>
          <w:tcPr>
            <w:tcW w:w="1713" w:type="dxa"/>
            <w:vAlign w:val="center"/>
          </w:tcPr>
          <w:p>
            <w:pPr>
              <w:widowControl/>
              <w:spacing w:line="300" w:lineRule="auto"/>
              <w:jc w:val="center"/>
              <w:textAlignment w:val="center"/>
              <w:rPr>
                <w:color w:val="auto"/>
                <w:szCs w:val="21"/>
              </w:rPr>
            </w:pPr>
            <w:r>
              <w:rPr>
                <w:color w:val="auto"/>
                <w:kern w:val="0"/>
                <w:szCs w:val="21"/>
                <w:lang w:bidi="ar"/>
              </w:rPr>
              <w:t>实际容量（m</w:t>
            </w:r>
            <w:r>
              <w:rPr>
                <w:color w:val="auto"/>
                <w:kern w:val="0"/>
                <w:szCs w:val="21"/>
                <w:vertAlign w:val="superscript"/>
                <w:lang w:bidi="ar"/>
              </w:rPr>
              <w:t>3</w:t>
            </w:r>
            <w:r>
              <w:rPr>
                <w:color w:val="auto"/>
                <w:kern w:val="0"/>
                <w:szCs w:val="21"/>
                <w:lang w:bidi="ar"/>
              </w:rPr>
              <w:t>）</w:t>
            </w:r>
          </w:p>
        </w:tc>
        <w:tc>
          <w:tcPr>
            <w:tcW w:w="1588" w:type="dxa"/>
            <w:vAlign w:val="center"/>
          </w:tcPr>
          <w:p>
            <w:pPr>
              <w:widowControl/>
              <w:spacing w:line="300" w:lineRule="auto"/>
              <w:jc w:val="center"/>
              <w:textAlignment w:val="center"/>
              <w:rPr>
                <w:color w:val="auto"/>
                <w:kern w:val="0"/>
                <w:szCs w:val="21"/>
                <w:lang w:bidi="ar"/>
              </w:rPr>
            </w:pPr>
            <w:r>
              <w:rPr>
                <w:color w:val="auto"/>
                <w:kern w:val="0"/>
                <w:szCs w:val="21"/>
                <w:lang w:bidi="ar"/>
              </w:rPr>
              <w:t>单组容量（m</w:t>
            </w:r>
            <w:r>
              <w:rPr>
                <w:color w:val="auto"/>
                <w:kern w:val="0"/>
                <w:szCs w:val="21"/>
                <w:vertAlign w:val="superscript"/>
                <w:lang w:bidi="ar"/>
              </w:rPr>
              <w:t>3</w:t>
            </w:r>
            <w:r>
              <w:rPr>
                <w:color w:val="auto"/>
                <w:kern w:val="0"/>
                <w:szCs w:val="21"/>
                <w:lang w:bidi="ar"/>
              </w:rPr>
              <w:t>）</w:t>
            </w:r>
          </w:p>
        </w:tc>
        <w:tc>
          <w:tcPr>
            <w:tcW w:w="1605" w:type="dxa"/>
            <w:vAlign w:val="center"/>
          </w:tcPr>
          <w:p>
            <w:pPr>
              <w:widowControl/>
              <w:spacing w:line="300" w:lineRule="auto"/>
              <w:jc w:val="center"/>
              <w:textAlignment w:val="center"/>
              <w:rPr>
                <w:color w:val="auto"/>
                <w:szCs w:val="21"/>
              </w:rPr>
            </w:pPr>
            <w:r>
              <w:rPr>
                <w:color w:val="auto"/>
                <w:kern w:val="0"/>
                <w:szCs w:val="21"/>
                <w:lang w:bidi="ar"/>
              </w:rPr>
              <w:t>总</w:t>
            </w:r>
            <w:r>
              <w:rPr>
                <w:rFonts w:hint="eastAsia"/>
                <w:color w:val="auto"/>
                <w:kern w:val="0"/>
                <w:szCs w:val="21"/>
                <w:lang w:bidi="ar"/>
              </w:rPr>
              <w:t>容积</w:t>
            </w:r>
            <w:r>
              <w:rPr>
                <w:color w:val="auto"/>
                <w:kern w:val="0"/>
                <w:szCs w:val="21"/>
                <w:lang w:bidi="ar"/>
              </w:rPr>
              <w:t>（m</w:t>
            </w:r>
            <w:r>
              <w:rPr>
                <w:color w:val="auto"/>
                <w:kern w:val="0"/>
                <w:szCs w:val="21"/>
                <w:vertAlign w:val="superscript"/>
                <w:lang w:bidi="ar"/>
              </w:rPr>
              <w:t>3</w:t>
            </w:r>
            <w:r>
              <w:rPr>
                <w:color w:val="auto"/>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3" w:type="dxa"/>
            <w:vAlign w:val="center"/>
          </w:tcPr>
          <w:p>
            <w:pPr>
              <w:widowControl/>
              <w:spacing w:line="300" w:lineRule="auto"/>
              <w:jc w:val="center"/>
              <w:textAlignment w:val="center"/>
              <w:rPr>
                <w:color w:val="auto"/>
                <w:szCs w:val="21"/>
              </w:rPr>
            </w:pPr>
            <w:r>
              <w:rPr>
                <w:rFonts w:hint="eastAsia"/>
                <w:color w:val="auto"/>
                <w:sz w:val="24"/>
              </w:rPr>
              <w:t>沉淀池</w:t>
            </w:r>
            <w:r>
              <w:rPr>
                <w:color w:val="auto"/>
                <w:kern w:val="0"/>
                <w:szCs w:val="21"/>
                <w:lang w:bidi="ar"/>
              </w:rPr>
              <w:t>1、2</w:t>
            </w:r>
          </w:p>
        </w:tc>
        <w:tc>
          <w:tcPr>
            <w:tcW w:w="2289" w:type="dxa"/>
            <w:vAlign w:val="center"/>
          </w:tcPr>
          <w:p>
            <w:pPr>
              <w:widowControl/>
              <w:spacing w:line="300" w:lineRule="auto"/>
              <w:jc w:val="center"/>
              <w:textAlignment w:val="center"/>
              <w:rPr>
                <w:color w:val="auto"/>
                <w:szCs w:val="21"/>
              </w:rPr>
            </w:pPr>
            <w:r>
              <w:rPr>
                <w:color w:val="auto"/>
                <w:kern w:val="0"/>
                <w:szCs w:val="21"/>
                <w:lang w:bidi="ar"/>
              </w:rPr>
              <w:t>2*5*1.3</w:t>
            </w:r>
          </w:p>
        </w:tc>
        <w:tc>
          <w:tcPr>
            <w:tcW w:w="1713" w:type="dxa"/>
            <w:vAlign w:val="center"/>
          </w:tcPr>
          <w:p>
            <w:pPr>
              <w:widowControl/>
              <w:spacing w:line="300" w:lineRule="auto"/>
              <w:jc w:val="center"/>
              <w:textAlignment w:val="center"/>
              <w:rPr>
                <w:color w:val="auto"/>
                <w:szCs w:val="21"/>
              </w:rPr>
            </w:pPr>
            <w:r>
              <w:rPr>
                <w:color w:val="auto"/>
                <w:kern w:val="0"/>
                <w:szCs w:val="21"/>
                <w:lang w:bidi="ar"/>
              </w:rPr>
              <w:t>13</w:t>
            </w:r>
          </w:p>
        </w:tc>
        <w:tc>
          <w:tcPr>
            <w:tcW w:w="1588" w:type="dxa"/>
            <w:vMerge w:val="restart"/>
            <w:vAlign w:val="center"/>
          </w:tcPr>
          <w:p>
            <w:pPr>
              <w:widowControl/>
              <w:spacing w:line="300" w:lineRule="auto"/>
              <w:jc w:val="center"/>
              <w:textAlignment w:val="center"/>
              <w:rPr>
                <w:color w:val="auto"/>
                <w:kern w:val="0"/>
                <w:szCs w:val="21"/>
                <w:lang w:bidi="ar"/>
              </w:rPr>
            </w:pPr>
            <w:r>
              <w:rPr>
                <w:color w:val="auto"/>
                <w:kern w:val="0"/>
                <w:szCs w:val="21"/>
                <w:lang w:bidi="ar"/>
              </w:rPr>
              <w:t>80.5</w:t>
            </w:r>
          </w:p>
        </w:tc>
        <w:tc>
          <w:tcPr>
            <w:tcW w:w="1605" w:type="dxa"/>
            <w:vMerge w:val="restart"/>
            <w:vAlign w:val="center"/>
          </w:tcPr>
          <w:p>
            <w:pPr>
              <w:widowControl/>
              <w:spacing w:line="300" w:lineRule="auto"/>
              <w:jc w:val="center"/>
              <w:textAlignment w:val="center"/>
              <w:rPr>
                <w:color w:val="auto"/>
                <w:szCs w:val="21"/>
              </w:rPr>
            </w:pPr>
            <w:r>
              <w:rPr>
                <w:color w:val="auto"/>
                <w:szCs w:val="21"/>
              </w:rPr>
              <w:t>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3" w:type="dxa"/>
            <w:vAlign w:val="center"/>
          </w:tcPr>
          <w:p>
            <w:pPr>
              <w:widowControl/>
              <w:spacing w:line="300" w:lineRule="auto"/>
              <w:jc w:val="center"/>
              <w:textAlignment w:val="center"/>
              <w:rPr>
                <w:color w:val="auto"/>
                <w:szCs w:val="21"/>
              </w:rPr>
            </w:pPr>
            <w:r>
              <w:rPr>
                <w:rFonts w:hint="eastAsia"/>
                <w:color w:val="auto"/>
                <w:sz w:val="24"/>
              </w:rPr>
              <w:t>沉淀池</w:t>
            </w:r>
            <w:r>
              <w:rPr>
                <w:color w:val="auto"/>
                <w:kern w:val="0"/>
                <w:szCs w:val="21"/>
                <w:lang w:bidi="ar"/>
              </w:rPr>
              <w:t>3、4</w:t>
            </w:r>
          </w:p>
        </w:tc>
        <w:tc>
          <w:tcPr>
            <w:tcW w:w="2289" w:type="dxa"/>
            <w:vAlign w:val="center"/>
          </w:tcPr>
          <w:p>
            <w:pPr>
              <w:widowControl/>
              <w:spacing w:line="300" w:lineRule="auto"/>
              <w:jc w:val="center"/>
              <w:textAlignment w:val="center"/>
              <w:rPr>
                <w:color w:val="auto"/>
                <w:szCs w:val="21"/>
              </w:rPr>
            </w:pPr>
            <w:r>
              <w:rPr>
                <w:color w:val="auto"/>
                <w:kern w:val="0"/>
                <w:szCs w:val="21"/>
                <w:lang w:bidi="ar"/>
              </w:rPr>
              <w:t>2.5*6*1.3</w:t>
            </w:r>
          </w:p>
        </w:tc>
        <w:tc>
          <w:tcPr>
            <w:tcW w:w="1713" w:type="dxa"/>
            <w:vAlign w:val="center"/>
          </w:tcPr>
          <w:p>
            <w:pPr>
              <w:widowControl/>
              <w:spacing w:line="300" w:lineRule="auto"/>
              <w:jc w:val="center"/>
              <w:textAlignment w:val="center"/>
              <w:rPr>
                <w:color w:val="auto"/>
                <w:szCs w:val="21"/>
              </w:rPr>
            </w:pPr>
            <w:r>
              <w:rPr>
                <w:color w:val="auto"/>
                <w:kern w:val="0"/>
                <w:szCs w:val="21"/>
                <w:lang w:bidi="ar"/>
              </w:rPr>
              <w:t>19.5</w:t>
            </w:r>
          </w:p>
        </w:tc>
        <w:tc>
          <w:tcPr>
            <w:tcW w:w="1588" w:type="dxa"/>
            <w:vMerge w:val="continue"/>
            <w:vAlign w:val="center"/>
          </w:tcPr>
          <w:p>
            <w:pPr>
              <w:spacing w:line="300" w:lineRule="auto"/>
              <w:jc w:val="center"/>
              <w:rPr>
                <w:color w:val="auto"/>
                <w:szCs w:val="21"/>
              </w:rPr>
            </w:pPr>
          </w:p>
        </w:tc>
        <w:tc>
          <w:tcPr>
            <w:tcW w:w="1605" w:type="dxa"/>
            <w:vMerge w:val="continue"/>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3" w:type="dxa"/>
            <w:vAlign w:val="center"/>
          </w:tcPr>
          <w:p>
            <w:pPr>
              <w:widowControl/>
              <w:spacing w:line="300" w:lineRule="auto"/>
              <w:jc w:val="center"/>
              <w:textAlignment w:val="center"/>
              <w:rPr>
                <w:color w:val="auto"/>
                <w:szCs w:val="21"/>
              </w:rPr>
            </w:pPr>
            <w:r>
              <w:rPr>
                <w:rFonts w:hint="eastAsia"/>
                <w:color w:val="auto"/>
                <w:sz w:val="24"/>
              </w:rPr>
              <w:t>沉淀池</w:t>
            </w:r>
            <w:r>
              <w:rPr>
                <w:color w:val="auto"/>
                <w:kern w:val="0"/>
                <w:szCs w:val="21"/>
                <w:lang w:bidi="ar"/>
              </w:rPr>
              <w:t>5</w:t>
            </w:r>
          </w:p>
        </w:tc>
        <w:tc>
          <w:tcPr>
            <w:tcW w:w="2289" w:type="dxa"/>
            <w:vAlign w:val="center"/>
          </w:tcPr>
          <w:p>
            <w:pPr>
              <w:widowControl/>
              <w:spacing w:line="300" w:lineRule="auto"/>
              <w:jc w:val="center"/>
              <w:textAlignment w:val="center"/>
              <w:rPr>
                <w:color w:val="auto"/>
                <w:szCs w:val="21"/>
              </w:rPr>
            </w:pPr>
            <w:r>
              <w:rPr>
                <w:color w:val="auto"/>
                <w:kern w:val="0"/>
                <w:szCs w:val="21"/>
                <w:lang w:bidi="ar"/>
              </w:rPr>
              <w:t>5*6*1.5</w:t>
            </w:r>
          </w:p>
        </w:tc>
        <w:tc>
          <w:tcPr>
            <w:tcW w:w="1713" w:type="dxa"/>
            <w:vAlign w:val="center"/>
          </w:tcPr>
          <w:p>
            <w:pPr>
              <w:widowControl/>
              <w:spacing w:line="300" w:lineRule="auto"/>
              <w:jc w:val="center"/>
              <w:textAlignment w:val="center"/>
              <w:rPr>
                <w:color w:val="auto"/>
                <w:szCs w:val="21"/>
              </w:rPr>
            </w:pPr>
            <w:r>
              <w:rPr>
                <w:color w:val="auto"/>
                <w:kern w:val="0"/>
                <w:szCs w:val="21"/>
                <w:lang w:bidi="ar"/>
              </w:rPr>
              <w:t>48</w:t>
            </w:r>
          </w:p>
        </w:tc>
        <w:tc>
          <w:tcPr>
            <w:tcW w:w="1588" w:type="dxa"/>
            <w:vMerge w:val="continue"/>
            <w:vAlign w:val="center"/>
          </w:tcPr>
          <w:p>
            <w:pPr>
              <w:spacing w:line="300" w:lineRule="auto"/>
              <w:jc w:val="center"/>
              <w:rPr>
                <w:color w:val="auto"/>
                <w:szCs w:val="21"/>
              </w:rPr>
            </w:pPr>
          </w:p>
        </w:tc>
        <w:tc>
          <w:tcPr>
            <w:tcW w:w="1605" w:type="dxa"/>
            <w:vMerge w:val="continue"/>
            <w:vAlign w:val="center"/>
          </w:tcPr>
          <w:p>
            <w:pPr>
              <w:spacing w:line="300" w:lineRule="auto"/>
              <w:jc w:val="center"/>
              <w:rPr>
                <w:color w:val="auto"/>
                <w:szCs w:val="21"/>
              </w:rPr>
            </w:pPr>
          </w:p>
        </w:tc>
      </w:tr>
    </w:tbl>
    <w:p>
      <w:pPr>
        <w:pStyle w:val="66"/>
        <w:spacing w:line="360" w:lineRule="auto"/>
        <w:rPr>
          <w:rFonts w:ascii="Times New Roman" w:hAnsi="Times New Roman" w:eastAsia="宋体"/>
          <w:color w:val="auto"/>
        </w:rPr>
      </w:pPr>
      <w:r>
        <w:rPr>
          <w:rFonts w:ascii="Times New Roman" w:hAnsi="Times New Roman" w:eastAsia="宋体"/>
          <w:color w:val="auto"/>
        </w:rPr>
        <w:t>湿式破碎生产车间设有8组</w:t>
      </w:r>
      <w:r>
        <w:rPr>
          <w:rFonts w:hint="eastAsia" w:ascii="Times New Roman" w:hAnsi="Times New Roman" w:eastAsia="宋体"/>
          <w:color w:val="auto"/>
        </w:rPr>
        <w:t>滤水</w:t>
      </w:r>
      <w:r>
        <w:rPr>
          <w:rFonts w:ascii="Times New Roman" w:hAnsi="Times New Roman" w:eastAsia="宋体"/>
          <w:color w:val="auto"/>
        </w:rPr>
        <w:t>池，每组3个，每个</w:t>
      </w:r>
      <w:r>
        <w:rPr>
          <w:rFonts w:hint="eastAsia" w:ascii="Times New Roman" w:hAnsi="Times New Roman" w:eastAsia="宋体"/>
          <w:color w:val="auto"/>
        </w:rPr>
        <w:t>滤水</w:t>
      </w:r>
      <w:r>
        <w:rPr>
          <w:rFonts w:ascii="Times New Roman" w:hAnsi="Times New Roman" w:eastAsia="宋体"/>
          <w:color w:val="auto"/>
        </w:rPr>
        <w:t>池尺寸为10m×6m×</w:t>
      </w:r>
      <w:r>
        <w:rPr>
          <w:rFonts w:hint="eastAsia" w:ascii="Times New Roman" w:hAnsi="Times New Roman" w:eastAsia="宋体"/>
          <w:color w:val="auto"/>
        </w:rPr>
        <w:t>3</w:t>
      </w:r>
      <w:r>
        <w:rPr>
          <w:rFonts w:ascii="Times New Roman" w:hAnsi="Times New Roman" w:eastAsia="宋体"/>
          <w:color w:val="auto"/>
        </w:rPr>
        <w:t>m</w:t>
      </w:r>
      <w:r>
        <w:rPr>
          <w:rFonts w:hint="eastAsia" w:ascii="Times New Roman" w:hAnsi="Times New Roman" w:eastAsia="宋体"/>
          <w:color w:val="auto"/>
        </w:rPr>
        <w:t>。</w:t>
      </w:r>
      <w:r>
        <w:rPr>
          <w:rFonts w:ascii="Times New Roman" w:hAnsi="Times New Roman" w:eastAsia="宋体"/>
          <w:color w:val="auto"/>
        </w:rPr>
        <w:t>用于</w:t>
      </w:r>
      <w:r>
        <w:rPr>
          <w:rFonts w:hint="eastAsia" w:ascii="Times New Roman" w:hAnsi="Times New Roman" w:eastAsia="宋体"/>
          <w:color w:val="auto"/>
        </w:rPr>
        <w:t>沥干湿的废树脂粉，同时可对生产废水进行初步的过滤处理。据建设单位提供资料，每组滤水</w:t>
      </w:r>
      <w:r>
        <w:rPr>
          <w:rFonts w:ascii="Times New Roman" w:hAnsi="Times New Roman" w:eastAsia="宋体"/>
          <w:color w:val="auto"/>
        </w:rPr>
        <w:t>池</w:t>
      </w:r>
      <w:r>
        <w:rPr>
          <w:rFonts w:hint="eastAsia" w:ascii="Times New Roman" w:hAnsi="Times New Roman" w:eastAsia="宋体"/>
          <w:color w:val="auto"/>
        </w:rPr>
        <w:t>中，一般有1个保持空置状态。则保持空置的容量为1440m</w:t>
      </w:r>
      <w:r>
        <w:rPr>
          <w:rFonts w:ascii="Times New Roman" w:hAnsi="Times New Roman" w:eastAsia="宋体"/>
          <w:color w:val="auto"/>
          <w:kern w:val="0"/>
          <w:vertAlign w:val="superscript"/>
        </w:rPr>
        <w:t>3</w:t>
      </w:r>
      <w:r>
        <w:rPr>
          <w:rFonts w:hint="eastAsia" w:ascii="Times New Roman" w:hAnsi="Times New Roman" w:eastAsia="宋体"/>
          <w:color w:val="auto"/>
          <w:kern w:val="0"/>
        </w:rPr>
        <w:t>。</w:t>
      </w:r>
    </w:p>
    <w:p>
      <w:pPr>
        <w:pStyle w:val="66"/>
        <w:spacing w:line="360" w:lineRule="auto"/>
        <w:rPr>
          <w:rFonts w:ascii="Times New Roman" w:hAnsi="Times New Roman" w:eastAsia="宋体"/>
          <w:color w:val="auto"/>
        </w:rPr>
      </w:pPr>
      <w:r>
        <w:rPr>
          <w:rFonts w:ascii="Times New Roman" w:hAnsi="Times New Roman" w:eastAsia="宋体"/>
          <w:color w:val="auto"/>
        </w:rPr>
        <w:t>卷材生产车间内设有1个循环水池，尺寸为2.5m×2.0m×1.7m（有效水深为1.5m），最大储水量为7.5m</w:t>
      </w:r>
      <w:r>
        <w:rPr>
          <w:rFonts w:ascii="Times New Roman" w:hAnsi="Times New Roman" w:eastAsia="宋体"/>
          <w:color w:val="auto"/>
          <w:vertAlign w:val="superscript"/>
        </w:rPr>
        <w:t>3</w:t>
      </w:r>
      <w:r>
        <w:rPr>
          <w:rFonts w:ascii="Times New Roman" w:hAnsi="Times New Roman" w:eastAsia="宋体"/>
          <w:color w:val="auto"/>
        </w:rPr>
        <w:t>。</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综上所述，本项目V</w:t>
      </w:r>
      <w:r>
        <w:rPr>
          <w:rFonts w:ascii="Times New Roman" w:hAnsi="Times New Roman" w:eastAsia="宋体"/>
          <w:color w:val="auto"/>
          <w:kern w:val="0"/>
          <w:vertAlign w:val="subscript"/>
        </w:rPr>
        <w:t>3</w:t>
      </w:r>
      <w:r>
        <w:rPr>
          <w:rFonts w:ascii="Times New Roman" w:hAnsi="Times New Roman" w:eastAsia="宋体"/>
          <w:color w:val="auto"/>
          <w:kern w:val="0"/>
        </w:rPr>
        <w:t>=</w:t>
      </w:r>
      <w:r>
        <w:rPr>
          <w:rFonts w:hint="eastAsia" w:ascii="Times New Roman" w:hAnsi="Times New Roman" w:eastAsia="宋体"/>
          <w:color w:val="auto"/>
          <w:kern w:val="0"/>
        </w:rPr>
        <w:t>（</w:t>
      </w:r>
      <w:r>
        <w:rPr>
          <w:rFonts w:ascii="Times New Roman" w:hAnsi="Times New Roman" w:eastAsia="宋体"/>
          <w:color w:val="auto"/>
          <w:kern w:val="0"/>
        </w:rPr>
        <w:t>161m</w:t>
      </w:r>
      <w:r>
        <w:rPr>
          <w:rFonts w:ascii="Times New Roman" w:hAnsi="Times New Roman" w:eastAsia="宋体"/>
          <w:color w:val="auto"/>
          <w:kern w:val="0"/>
          <w:vertAlign w:val="superscript"/>
        </w:rPr>
        <w:t>3</w:t>
      </w:r>
      <w:r>
        <w:rPr>
          <w:rFonts w:hint="eastAsia" w:ascii="Times New Roman" w:hAnsi="Times New Roman" w:eastAsia="宋体"/>
          <w:color w:val="auto"/>
          <w:kern w:val="0"/>
        </w:rPr>
        <w:t>-</w:t>
      </w:r>
      <w:r>
        <w:rPr>
          <w:rFonts w:ascii="Times New Roman" w:hAnsi="Times New Roman" w:eastAsia="宋体"/>
          <w:color w:val="auto"/>
          <w:kern w:val="0"/>
        </w:rPr>
        <w:t>161m</w:t>
      </w:r>
      <w:r>
        <w:rPr>
          <w:rFonts w:ascii="Times New Roman" w:hAnsi="Times New Roman" w:eastAsia="宋体"/>
          <w:color w:val="auto"/>
          <w:kern w:val="0"/>
          <w:vertAlign w:val="superscript"/>
        </w:rPr>
        <w:t>3</w:t>
      </w:r>
      <w:r>
        <w:rPr>
          <w:rFonts w:hint="eastAsia" w:ascii="Times New Roman" w:hAnsi="Times New Roman" w:eastAsia="宋体"/>
          <w:color w:val="auto"/>
          <w:kern w:val="0"/>
        </w:rPr>
        <w:t>）</w:t>
      </w:r>
      <w:r>
        <w:rPr>
          <w:rFonts w:ascii="Times New Roman" w:hAnsi="Times New Roman" w:eastAsia="宋体"/>
          <w:color w:val="auto"/>
          <w:kern w:val="0"/>
        </w:rPr>
        <w:t>+</w:t>
      </w:r>
      <w:r>
        <w:rPr>
          <w:rFonts w:hint="eastAsia" w:ascii="Times New Roman" w:hAnsi="Times New Roman" w:eastAsia="宋体"/>
          <w:color w:val="auto"/>
        </w:rPr>
        <w:t>1440</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ascii="Times New Roman" w:hAnsi="Times New Roman" w:eastAsia="宋体"/>
          <w:color w:val="auto"/>
          <w:kern w:val="0"/>
        </w:rPr>
        <w:t>+</w:t>
      </w:r>
      <w:r>
        <w:rPr>
          <w:rFonts w:hint="eastAsia" w:ascii="Times New Roman" w:hAnsi="Times New Roman" w:eastAsia="宋体"/>
          <w:color w:val="auto"/>
          <w:kern w:val="0"/>
        </w:rPr>
        <w:t>（7.5</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hint="eastAsia" w:ascii="Times New Roman" w:hAnsi="Times New Roman" w:eastAsia="宋体"/>
          <w:color w:val="auto"/>
          <w:kern w:val="0"/>
        </w:rPr>
        <w:t>-7.5</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hint="eastAsia" w:ascii="Times New Roman" w:hAnsi="Times New Roman" w:eastAsia="宋体"/>
          <w:color w:val="auto"/>
          <w:kern w:val="0"/>
        </w:rPr>
        <w:t>）</w:t>
      </w:r>
      <w:r>
        <w:rPr>
          <w:rFonts w:ascii="Times New Roman" w:hAnsi="Times New Roman" w:eastAsia="宋体"/>
          <w:color w:val="auto"/>
          <w:kern w:val="0"/>
        </w:rPr>
        <w:t>=</w:t>
      </w:r>
      <w:r>
        <w:rPr>
          <w:rFonts w:hint="eastAsia" w:ascii="Times New Roman" w:hAnsi="Times New Roman" w:eastAsia="宋体"/>
          <w:color w:val="auto"/>
          <w:kern w:val="0"/>
        </w:rPr>
        <w:t>1440</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4</w:t>
      </w:r>
      <w:r>
        <w:rPr>
          <w:rFonts w:ascii="Times New Roman" w:hAnsi="Times New Roman" w:eastAsia="宋体"/>
          <w:color w:val="auto"/>
          <w:kern w:val="0"/>
        </w:rPr>
        <w:t>——发生事故时仍必须进入该收集系统的生产废水量，m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rPr>
          <w:rFonts w:ascii="Times New Roman" w:hAnsi="Times New Roman" w:eastAsia="宋体"/>
          <w:color w:val="auto"/>
          <w:kern w:val="0"/>
        </w:rPr>
      </w:pPr>
      <w:r>
        <w:rPr>
          <w:rFonts w:hint="eastAsia" w:ascii="Times New Roman" w:hAnsi="Times New Roman" w:eastAsia="宋体"/>
          <w:color w:val="auto"/>
          <w:kern w:val="0"/>
        </w:rPr>
        <w:t>当沥青罐发生事故时，</w:t>
      </w:r>
      <w:r>
        <w:rPr>
          <w:rFonts w:ascii="Times New Roman" w:hAnsi="Times New Roman" w:eastAsia="宋体"/>
          <w:color w:val="auto"/>
          <w:kern w:val="0"/>
        </w:rPr>
        <w:t>本项目</w:t>
      </w:r>
      <w:r>
        <w:rPr>
          <w:rFonts w:hint="eastAsia" w:ascii="Times New Roman" w:hAnsi="Times New Roman" w:eastAsia="宋体"/>
          <w:color w:val="auto"/>
          <w:kern w:val="0"/>
        </w:rPr>
        <w:t>无必须进入该系统的生产废水，故</w:t>
      </w:r>
      <w:r>
        <w:rPr>
          <w:rFonts w:ascii="Times New Roman" w:hAnsi="Times New Roman" w:eastAsia="宋体"/>
          <w:color w:val="auto"/>
          <w:kern w:val="0"/>
        </w:rPr>
        <w:t>V</w:t>
      </w:r>
      <w:r>
        <w:rPr>
          <w:rFonts w:ascii="Times New Roman" w:hAnsi="Times New Roman" w:eastAsia="宋体"/>
          <w:color w:val="auto"/>
          <w:kern w:val="0"/>
          <w:vertAlign w:val="subscript"/>
        </w:rPr>
        <w:t>4</w:t>
      </w:r>
      <w:r>
        <w:rPr>
          <w:rFonts w:ascii="Times New Roman" w:hAnsi="Times New Roman" w:eastAsia="宋体"/>
          <w:color w:val="auto"/>
          <w:kern w:val="0"/>
        </w:rPr>
        <w:t>=0m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5</w:t>
      </w:r>
      <w:r>
        <w:rPr>
          <w:rFonts w:ascii="Times New Roman" w:hAnsi="Times New Roman" w:eastAsia="宋体"/>
          <w:color w:val="auto"/>
          <w:kern w:val="0"/>
        </w:rPr>
        <w:t>——发生事故时可能进入该收集系统的降雨量，m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V</w:t>
      </w:r>
      <w:r>
        <w:rPr>
          <w:rFonts w:ascii="Times New Roman" w:hAnsi="Times New Roman" w:eastAsia="宋体"/>
          <w:color w:val="auto"/>
          <w:kern w:val="0"/>
          <w:vertAlign w:val="subscript"/>
        </w:rPr>
        <w:t>5</w:t>
      </w:r>
      <w:r>
        <w:rPr>
          <w:rFonts w:ascii="Times New Roman" w:hAnsi="Times New Roman" w:eastAsia="宋体"/>
          <w:color w:val="auto"/>
          <w:kern w:val="0"/>
        </w:rPr>
        <w:t>=10qF=0；</w:t>
      </w:r>
    </w:p>
    <w:p>
      <w:pPr>
        <w:pStyle w:val="66"/>
        <w:spacing w:line="360" w:lineRule="auto"/>
        <w:rPr>
          <w:rFonts w:ascii="Times New Roman" w:hAnsi="Times New Roman" w:eastAsia="宋体"/>
          <w:color w:val="auto"/>
          <w:kern w:val="0"/>
        </w:rPr>
      </w:pPr>
      <w:r>
        <w:rPr>
          <w:rFonts w:ascii="Times New Roman" w:hAnsi="Times New Roman" w:eastAsia="宋体"/>
          <w:color w:val="auto"/>
        </w:rPr>
        <w:t>q——降雨强度，mm；按平均日降雨量；</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F——必须进入事故废水收集系统的雨水汇水面积，m</w:t>
      </w:r>
      <w:r>
        <w:rPr>
          <w:rFonts w:ascii="Times New Roman" w:hAnsi="Times New Roman" w:eastAsia="宋体"/>
          <w:color w:val="auto"/>
          <w:kern w:val="0"/>
          <w:vertAlign w:val="superscript"/>
        </w:rPr>
        <w:t>2</w:t>
      </w:r>
      <w:r>
        <w:rPr>
          <w:rFonts w:ascii="Times New Roman" w:hAnsi="Times New Roman" w:eastAsia="宋体"/>
          <w:color w:val="auto"/>
          <w:kern w:val="0"/>
        </w:rPr>
        <w:t>；</w:t>
      </w:r>
    </w:p>
    <w:p>
      <w:pPr>
        <w:pStyle w:val="66"/>
        <w:spacing w:line="360" w:lineRule="auto"/>
        <w:rPr>
          <w:rFonts w:ascii="Times New Roman" w:hAnsi="Times New Roman" w:eastAsia="宋体"/>
          <w:color w:val="auto"/>
          <w:vertAlign w:val="superscript"/>
        </w:rPr>
      </w:pPr>
      <w:r>
        <w:rPr>
          <w:rFonts w:ascii="Times New Roman" w:hAnsi="Times New Roman" w:eastAsia="宋体"/>
          <w:color w:val="auto"/>
          <w:kern w:val="0"/>
        </w:rPr>
        <w:t>本项目有环境事故风险的场所均为室内，事故废水收集系统的雨水汇水面积为0㎡。</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综上所述，本项目的V</w:t>
      </w:r>
      <w:r>
        <w:rPr>
          <w:rFonts w:ascii="Times New Roman" w:hAnsi="Times New Roman" w:eastAsia="宋体"/>
          <w:color w:val="auto"/>
          <w:kern w:val="0"/>
          <w:vertAlign w:val="subscript"/>
        </w:rPr>
        <w:t>总</w:t>
      </w:r>
      <w:r>
        <w:rPr>
          <w:rFonts w:ascii="Times New Roman" w:hAnsi="Times New Roman" w:eastAsia="宋体"/>
          <w:color w:val="auto"/>
          <w:kern w:val="0"/>
        </w:rPr>
        <w:t>＝（V</w:t>
      </w:r>
      <w:r>
        <w:rPr>
          <w:rFonts w:ascii="Times New Roman" w:hAnsi="Times New Roman" w:eastAsia="宋体"/>
          <w:color w:val="auto"/>
          <w:kern w:val="0"/>
          <w:vertAlign w:val="subscript"/>
        </w:rPr>
        <w:t>1</w:t>
      </w:r>
      <w:r>
        <w:rPr>
          <w:rFonts w:ascii="Times New Roman" w:hAnsi="Times New Roman" w:eastAsia="宋体"/>
          <w:color w:val="auto"/>
          <w:kern w:val="0"/>
        </w:rPr>
        <w:t>+V</w:t>
      </w:r>
      <w:r>
        <w:rPr>
          <w:rFonts w:ascii="Times New Roman" w:hAnsi="Times New Roman" w:eastAsia="宋体"/>
          <w:color w:val="auto"/>
          <w:kern w:val="0"/>
          <w:vertAlign w:val="subscript"/>
        </w:rPr>
        <w:t>2</w:t>
      </w:r>
      <w:r>
        <w:rPr>
          <w:rFonts w:ascii="Times New Roman" w:hAnsi="Times New Roman" w:eastAsia="宋体"/>
          <w:color w:val="auto"/>
          <w:kern w:val="0"/>
        </w:rPr>
        <w:t>-V</w:t>
      </w:r>
      <w:r>
        <w:rPr>
          <w:rFonts w:ascii="Times New Roman" w:hAnsi="Times New Roman" w:eastAsia="宋体"/>
          <w:color w:val="auto"/>
          <w:kern w:val="0"/>
          <w:vertAlign w:val="subscript"/>
        </w:rPr>
        <w:t>3</w:t>
      </w:r>
      <w:r>
        <w:rPr>
          <w:rFonts w:ascii="Times New Roman" w:hAnsi="Times New Roman" w:eastAsia="宋体"/>
          <w:color w:val="auto"/>
          <w:kern w:val="0"/>
        </w:rPr>
        <w:t>）+V</w:t>
      </w:r>
      <w:r>
        <w:rPr>
          <w:rFonts w:ascii="Times New Roman" w:hAnsi="Times New Roman" w:eastAsia="宋体"/>
          <w:color w:val="auto"/>
          <w:kern w:val="0"/>
          <w:vertAlign w:val="subscript"/>
        </w:rPr>
        <w:t>4</w:t>
      </w:r>
      <w:r>
        <w:rPr>
          <w:rFonts w:ascii="Times New Roman" w:hAnsi="Times New Roman" w:eastAsia="宋体"/>
          <w:color w:val="auto"/>
          <w:kern w:val="0"/>
        </w:rPr>
        <w:t>+ V</w:t>
      </w:r>
      <w:r>
        <w:rPr>
          <w:rFonts w:ascii="Times New Roman" w:hAnsi="Times New Roman" w:eastAsia="宋体"/>
          <w:color w:val="auto"/>
          <w:kern w:val="0"/>
          <w:vertAlign w:val="subscript"/>
        </w:rPr>
        <w:t>5</w:t>
      </w:r>
      <w:r>
        <w:rPr>
          <w:rFonts w:ascii="Times New Roman" w:hAnsi="Times New Roman" w:eastAsia="宋体"/>
          <w:color w:val="auto"/>
          <w:kern w:val="0"/>
        </w:rPr>
        <w:t>=（</w:t>
      </w:r>
      <w:r>
        <w:rPr>
          <w:rFonts w:hint="eastAsia" w:ascii="Times New Roman" w:hAnsi="Times New Roman" w:eastAsia="宋体"/>
          <w:color w:val="auto"/>
          <w:kern w:val="0"/>
        </w:rPr>
        <w:t>80</w:t>
      </w:r>
      <w:r>
        <w:rPr>
          <w:rFonts w:ascii="Times New Roman" w:hAnsi="Times New Roman" w:eastAsia="宋体"/>
          <w:color w:val="auto"/>
          <w:kern w:val="0"/>
        </w:rPr>
        <w:t>+108-</w:t>
      </w:r>
      <w:r>
        <w:rPr>
          <w:rFonts w:hint="eastAsia" w:ascii="Times New Roman" w:hAnsi="Times New Roman" w:eastAsia="宋体"/>
          <w:color w:val="auto"/>
          <w:kern w:val="0"/>
        </w:rPr>
        <w:t>1440</w:t>
      </w:r>
      <w:r>
        <w:rPr>
          <w:rFonts w:ascii="Times New Roman" w:hAnsi="Times New Roman" w:eastAsia="宋体"/>
          <w:color w:val="auto"/>
          <w:kern w:val="0"/>
        </w:rPr>
        <w:t>）+0+0=</w:t>
      </w:r>
      <w:r>
        <w:rPr>
          <w:rFonts w:hint="eastAsia" w:ascii="Times New Roman" w:hAnsi="Times New Roman" w:eastAsia="宋体"/>
          <w:color w:val="auto"/>
          <w:kern w:val="0"/>
        </w:rPr>
        <w:t xml:space="preserve"> </w:t>
      </w:r>
      <w:r>
        <w:rPr>
          <w:rFonts w:ascii="Times New Roman" w:hAnsi="Times New Roman" w:eastAsia="宋体"/>
          <w:color w:val="auto"/>
          <w:kern w:val="0"/>
        </w:rPr>
        <w:t>-</w:t>
      </w:r>
      <w:r>
        <w:rPr>
          <w:rFonts w:hint="eastAsia" w:ascii="Times New Roman" w:hAnsi="Times New Roman" w:eastAsia="宋体"/>
          <w:color w:val="auto"/>
          <w:kern w:val="0"/>
        </w:rPr>
        <w:t>1252</w:t>
      </w:r>
      <w:r>
        <w:rPr>
          <w:rFonts w:ascii="Times New Roman" w:hAnsi="Times New Roman" w:eastAsia="宋体"/>
          <w:color w:val="auto"/>
          <w:kern w:val="0"/>
        </w:rPr>
        <w:t>m</w:t>
      </w:r>
      <w:r>
        <w:rPr>
          <w:rFonts w:ascii="Times New Roman" w:hAnsi="Times New Roman" w:eastAsia="宋体"/>
          <w:color w:val="auto"/>
          <w:kern w:val="0"/>
          <w:vertAlign w:val="superscript"/>
        </w:rPr>
        <w:t>3</w:t>
      </w:r>
      <w:r>
        <w:rPr>
          <w:rFonts w:ascii="Times New Roman" w:hAnsi="Times New Roman" w:eastAsia="宋体"/>
          <w:color w:val="auto"/>
          <w:kern w:val="0"/>
        </w:rPr>
        <w:t>。</w:t>
      </w:r>
    </w:p>
    <w:p>
      <w:pPr>
        <w:pStyle w:val="66"/>
        <w:spacing w:line="360" w:lineRule="auto"/>
        <w:rPr>
          <w:rFonts w:ascii="Times New Roman" w:hAnsi="Times New Roman" w:eastAsia="宋体"/>
          <w:color w:val="auto"/>
          <w:kern w:val="0"/>
        </w:rPr>
      </w:pPr>
      <w:r>
        <w:rPr>
          <w:rFonts w:ascii="Times New Roman" w:hAnsi="Times New Roman" w:eastAsia="宋体"/>
          <w:color w:val="auto"/>
          <w:kern w:val="0"/>
        </w:rPr>
        <w:t>由上述计算可知，本项目的</w:t>
      </w:r>
      <w:r>
        <w:rPr>
          <w:rFonts w:hint="eastAsia" w:ascii="Times New Roman" w:hAnsi="Times New Roman" w:eastAsia="宋体"/>
          <w:color w:val="auto"/>
          <w:kern w:val="0"/>
        </w:rPr>
        <w:t>空置</w:t>
      </w:r>
      <w:r>
        <w:rPr>
          <w:rFonts w:ascii="Times New Roman" w:hAnsi="Times New Roman" w:eastAsia="宋体"/>
          <w:color w:val="auto"/>
          <w:kern w:val="0"/>
        </w:rPr>
        <w:t>池体总容积</w:t>
      </w:r>
      <w:r>
        <w:rPr>
          <w:rFonts w:hint="eastAsia" w:ascii="Times New Roman" w:hAnsi="Times New Roman" w:eastAsia="宋体"/>
          <w:color w:val="auto"/>
          <w:kern w:val="0"/>
        </w:rPr>
        <w:t>远</w:t>
      </w:r>
      <w:r>
        <w:rPr>
          <w:rFonts w:ascii="Times New Roman" w:hAnsi="Times New Roman" w:eastAsia="宋体"/>
          <w:color w:val="auto"/>
          <w:kern w:val="0"/>
        </w:rPr>
        <w:t>大于</w:t>
      </w:r>
      <w:r>
        <w:rPr>
          <w:rFonts w:ascii="Times New Roman" w:hAnsi="Times New Roman" w:eastAsia="宋体"/>
          <w:color w:val="auto"/>
        </w:rPr>
        <w:t>事故排水总量</w:t>
      </w:r>
      <w:r>
        <w:rPr>
          <w:rFonts w:hint="eastAsia" w:ascii="Times New Roman" w:hAnsi="Times New Roman" w:eastAsia="宋体"/>
          <w:color w:val="auto"/>
        </w:rPr>
        <w:t>和泄漏物料量的总和</w:t>
      </w:r>
      <w:r>
        <w:rPr>
          <w:rFonts w:ascii="Times New Roman" w:hAnsi="Times New Roman" w:eastAsia="宋体"/>
          <w:color w:val="auto"/>
        </w:rPr>
        <w:t>。若发生风险事故，可</w:t>
      </w:r>
      <w:r>
        <w:rPr>
          <w:rFonts w:hint="eastAsia" w:ascii="Times New Roman" w:hAnsi="Times New Roman" w:eastAsia="宋体"/>
          <w:color w:val="auto"/>
        </w:rPr>
        <w:t>将空置的滤水池</w:t>
      </w:r>
      <w:r>
        <w:rPr>
          <w:color w:val="auto"/>
        </w:rPr>
        <w:t>作为消防废水收集池是可行的</w:t>
      </w:r>
      <w:r>
        <w:rPr>
          <w:rFonts w:hint="eastAsia" w:eastAsia="宋体"/>
          <w:color w:val="auto"/>
        </w:rPr>
        <w:t>。项目空置的滤水池</w:t>
      </w:r>
      <w:r>
        <w:rPr>
          <w:color w:val="auto"/>
        </w:rPr>
        <w:t>的容积完全有能力收集本项目事故状态下的</w:t>
      </w:r>
      <w:r>
        <w:rPr>
          <w:rFonts w:ascii="Times New Roman" w:hAnsi="Times New Roman" w:eastAsia="宋体"/>
          <w:color w:val="auto"/>
        </w:rPr>
        <w:t>泄漏的物料</w:t>
      </w:r>
      <w:r>
        <w:rPr>
          <w:rFonts w:hint="eastAsia" w:ascii="Times New Roman" w:hAnsi="Times New Roman" w:eastAsia="宋体"/>
          <w:color w:val="auto"/>
        </w:rPr>
        <w:t>和</w:t>
      </w:r>
      <w:r>
        <w:rPr>
          <w:rFonts w:ascii="Times New Roman" w:hAnsi="Times New Roman" w:eastAsia="宋体"/>
          <w:color w:val="auto"/>
        </w:rPr>
        <w:t>消防废水，</w:t>
      </w:r>
      <w:r>
        <w:rPr>
          <w:rFonts w:hint="eastAsia" w:ascii="Times New Roman" w:hAnsi="Times New Roman" w:eastAsia="宋体"/>
          <w:color w:val="auto"/>
        </w:rPr>
        <w:t>可以有效</w:t>
      </w:r>
      <w:r>
        <w:rPr>
          <w:rFonts w:ascii="Times New Roman" w:hAnsi="Times New Roman" w:eastAsia="宋体"/>
          <w:color w:val="auto"/>
          <w:kern w:val="0"/>
        </w:rPr>
        <w:t>防止消防废水和泄漏的物料外排至项目外部，</w:t>
      </w:r>
      <w:r>
        <w:rPr>
          <w:rFonts w:ascii="Times New Roman" w:hAnsi="Times New Roman" w:eastAsia="宋体"/>
          <w:color w:val="auto"/>
        </w:rPr>
        <w:t>可以满足本项目事故状态下废水</w:t>
      </w:r>
      <w:r>
        <w:rPr>
          <w:rFonts w:hint="eastAsia" w:ascii="Times New Roman" w:hAnsi="Times New Roman" w:eastAsia="宋体"/>
          <w:color w:val="auto"/>
        </w:rPr>
        <w:t>、泄漏物料</w:t>
      </w:r>
      <w:r>
        <w:rPr>
          <w:rFonts w:ascii="Times New Roman" w:hAnsi="Times New Roman" w:eastAsia="宋体"/>
          <w:color w:val="auto"/>
        </w:rPr>
        <w:t>的收集要求。</w:t>
      </w:r>
    </w:p>
    <w:p>
      <w:pPr>
        <w:spacing w:line="360" w:lineRule="auto"/>
        <w:outlineLvl w:val="1"/>
        <w:rPr>
          <w:b/>
          <w:color w:val="auto"/>
          <w:sz w:val="32"/>
          <w:szCs w:val="32"/>
        </w:rPr>
      </w:pPr>
      <w:bookmarkStart w:id="2645" w:name="_Toc6293"/>
      <w:bookmarkStart w:id="2646" w:name="_Toc24903"/>
      <w:bookmarkStart w:id="2647" w:name="_Toc10751_WPSOffice_Level1"/>
      <w:bookmarkStart w:id="2648" w:name="_Toc4316_WPSOffice_Level1"/>
      <w:bookmarkStart w:id="2649" w:name="_Toc17061_WPSOffice_Level1"/>
      <w:bookmarkStart w:id="2650" w:name="_Toc20397_WPSOffice_Level1"/>
      <w:bookmarkStart w:id="2651" w:name="_Toc3905766"/>
      <w:bookmarkStart w:id="2652" w:name="_Toc21648"/>
      <w:bookmarkStart w:id="2653" w:name="_Toc6387_WPSOffice_Level1"/>
      <w:bookmarkStart w:id="2654" w:name="_Toc18764_WPSOffice_Level1"/>
      <w:bookmarkStart w:id="2655" w:name="_Toc9847_WPSOffice_Level1"/>
      <w:bookmarkStart w:id="2656" w:name="_Toc26729"/>
      <w:bookmarkStart w:id="2657" w:name="_Toc10107"/>
      <w:bookmarkStart w:id="2658" w:name="_Toc29759454"/>
      <w:bookmarkStart w:id="2659" w:name="_Toc12578_WPSOffice_Level2"/>
      <w:r>
        <w:rPr>
          <w:rFonts w:hint="eastAsia"/>
          <w:b/>
          <w:color w:val="auto"/>
          <w:sz w:val="32"/>
          <w:szCs w:val="32"/>
        </w:rPr>
        <w:t>7.8  风险应急预案</w:t>
      </w:r>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p>
    <w:p>
      <w:pPr>
        <w:spacing w:line="360" w:lineRule="auto"/>
        <w:ind w:firstLine="480" w:firstLineChars="200"/>
        <w:rPr>
          <w:color w:val="auto"/>
          <w:sz w:val="24"/>
        </w:rPr>
      </w:pPr>
      <w:bookmarkStart w:id="2660" w:name="_Toc7212_WPSOffice_Level2"/>
      <w:bookmarkStart w:id="2661" w:name="_Toc29759455"/>
      <w:bookmarkStart w:id="2662" w:name="_Toc27671_WPSOffice_Level1"/>
      <w:bookmarkStart w:id="2663" w:name="_Toc2497_WPSOffice_Level1"/>
      <w:bookmarkStart w:id="2664" w:name="_Toc13543"/>
      <w:bookmarkStart w:id="2665" w:name="_Toc140_WPSOffice_Level1"/>
      <w:bookmarkStart w:id="2666" w:name="_Toc15814_WPSOffice_Level1"/>
      <w:bookmarkStart w:id="2667" w:name="_Toc1685_WPSOffice_Level1"/>
      <w:bookmarkStart w:id="2668" w:name="_Toc12663_WPSOffice_Level1"/>
      <w:bookmarkStart w:id="2669" w:name="_Toc9703"/>
      <w:bookmarkStart w:id="2670" w:name="_Toc7684_WPSOffice_Level1"/>
      <w:bookmarkStart w:id="2671" w:name="_Toc16084"/>
      <w:bookmarkStart w:id="2672" w:name="_Toc3905767"/>
      <w:r>
        <w:rPr>
          <w:color w:val="auto"/>
          <w:sz w:val="24"/>
        </w:rPr>
        <w:t>本项目存在潜在的</w:t>
      </w:r>
      <w:r>
        <w:rPr>
          <w:rFonts w:hint="eastAsia"/>
          <w:color w:val="auto"/>
          <w:sz w:val="24"/>
        </w:rPr>
        <w:t>泄漏、</w:t>
      </w:r>
      <w:r>
        <w:rPr>
          <w:color w:val="auto"/>
          <w:sz w:val="24"/>
        </w:rPr>
        <w:t>火灾、爆炸</w:t>
      </w:r>
      <w:r>
        <w:rPr>
          <w:rFonts w:hint="eastAsia"/>
          <w:color w:val="auto"/>
          <w:sz w:val="24"/>
        </w:rPr>
        <w:t>、废气事故排放、废水事故排放</w:t>
      </w:r>
      <w:r>
        <w:rPr>
          <w:color w:val="auto"/>
          <w:sz w:val="24"/>
        </w:rPr>
        <w:t>风险，在采取了较完善的风险防范措施后，风险事故的概率会降低，但不会为零。一旦发生风险事故，必须有相应的应急计划，来尽量控制和减轻事故的危害。</w:t>
      </w:r>
    </w:p>
    <w:p>
      <w:pPr>
        <w:spacing w:line="360" w:lineRule="auto"/>
        <w:ind w:firstLine="480"/>
        <w:rPr>
          <w:color w:val="auto"/>
          <w:sz w:val="24"/>
        </w:rPr>
      </w:pPr>
      <w:r>
        <w:rPr>
          <w:color w:val="auto"/>
          <w:sz w:val="24"/>
        </w:rPr>
        <w:t>本项目建成后，企业应自行或者委托有关单位更新本公司的环境风险应急预案，将本项目的环境风险应急措施等内容纳入应急预案中，并在环保行政主管部门进行备案。根据《建设项目环境风险评价技术导则》（HJ/T 169－2018），本项目环境风险应急预案主要内容及要求见</w:t>
      </w:r>
      <w:r>
        <w:rPr>
          <w:rFonts w:hint="eastAsia"/>
          <w:color w:val="auto"/>
          <w:sz w:val="24"/>
        </w:rPr>
        <w:t>下表</w:t>
      </w:r>
      <w:r>
        <w:rPr>
          <w:color w:val="auto"/>
          <w:sz w:val="24"/>
        </w:rPr>
        <w:t>。</w:t>
      </w:r>
    </w:p>
    <w:p>
      <w:pPr>
        <w:spacing w:line="360" w:lineRule="auto"/>
        <w:ind w:firstLine="480"/>
        <w:jc w:val="center"/>
        <w:rPr>
          <w:b/>
          <w:color w:val="auto"/>
          <w:szCs w:val="21"/>
        </w:rPr>
      </w:pPr>
      <w:r>
        <w:rPr>
          <w:b/>
          <w:color w:val="auto"/>
          <w:szCs w:val="21"/>
        </w:rPr>
        <w:t>表</w:t>
      </w:r>
      <w:r>
        <w:rPr>
          <w:rFonts w:hint="eastAsia"/>
          <w:b/>
          <w:color w:val="auto"/>
          <w:szCs w:val="21"/>
        </w:rPr>
        <w:t>7.8</w:t>
      </w:r>
      <w:r>
        <w:rPr>
          <w:b/>
          <w:color w:val="auto"/>
          <w:szCs w:val="21"/>
        </w:rPr>
        <w:t xml:space="preserve">-1 </w:t>
      </w:r>
      <w:r>
        <w:rPr>
          <w:rFonts w:hint="eastAsia"/>
          <w:b/>
          <w:color w:val="auto"/>
          <w:szCs w:val="21"/>
        </w:rPr>
        <w:t xml:space="preserve"> </w:t>
      </w:r>
      <w:r>
        <w:rPr>
          <w:b/>
          <w:color w:val="auto"/>
          <w:szCs w:val="21"/>
        </w:rPr>
        <w:t>环境风险应急预案主要内容及要求</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528"/>
        <w:gridCol w:w="5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序号</w:t>
            </w:r>
          </w:p>
        </w:tc>
        <w:tc>
          <w:tcPr>
            <w:tcW w:w="2528" w:type="dxa"/>
            <w:vAlign w:val="center"/>
          </w:tcPr>
          <w:p>
            <w:pPr>
              <w:jc w:val="center"/>
              <w:rPr>
                <w:color w:val="auto"/>
                <w:szCs w:val="21"/>
              </w:rPr>
            </w:pPr>
            <w:r>
              <w:rPr>
                <w:color w:val="auto"/>
                <w:szCs w:val="21"/>
              </w:rPr>
              <w:t>项目</w:t>
            </w:r>
          </w:p>
        </w:tc>
        <w:tc>
          <w:tcPr>
            <w:tcW w:w="5711" w:type="dxa"/>
            <w:vAlign w:val="center"/>
          </w:tcPr>
          <w:p>
            <w:pPr>
              <w:jc w:val="center"/>
              <w:rPr>
                <w:color w:val="auto"/>
                <w:szCs w:val="21"/>
              </w:rPr>
            </w:pPr>
            <w:r>
              <w:rPr>
                <w:color w:val="auto"/>
                <w:szCs w:val="21"/>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1</w:t>
            </w:r>
          </w:p>
        </w:tc>
        <w:tc>
          <w:tcPr>
            <w:tcW w:w="2528" w:type="dxa"/>
            <w:vAlign w:val="center"/>
          </w:tcPr>
          <w:p>
            <w:pPr>
              <w:jc w:val="center"/>
              <w:rPr>
                <w:color w:val="auto"/>
                <w:szCs w:val="21"/>
              </w:rPr>
            </w:pPr>
            <w:r>
              <w:rPr>
                <w:color w:val="auto"/>
                <w:szCs w:val="21"/>
              </w:rPr>
              <w:t>应急计划区</w:t>
            </w:r>
          </w:p>
        </w:tc>
        <w:tc>
          <w:tcPr>
            <w:tcW w:w="5711" w:type="dxa"/>
            <w:vAlign w:val="center"/>
          </w:tcPr>
          <w:p>
            <w:pPr>
              <w:jc w:val="center"/>
              <w:rPr>
                <w:color w:val="auto"/>
                <w:szCs w:val="21"/>
              </w:rPr>
            </w:pPr>
            <w:r>
              <w:rPr>
                <w:color w:val="auto"/>
                <w:szCs w:val="21"/>
              </w:rPr>
              <w:t>危险目标：卷材生产区、湿式破碎生产区、原料堆放区、周边环境保护目标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2</w:t>
            </w:r>
          </w:p>
        </w:tc>
        <w:tc>
          <w:tcPr>
            <w:tcW w:w="2528" w:type="dxa"/>
            <w:vAlign w:val="center"/>
          </w:tcPr>
          <w:p>
            <w:pPr>
              <w:jc w:val="center"/>
              <w:rPr>
                <w:color w:val="auto"/>
                <w:szCs w:val="21"/>
              </w:rPr>
            </w:pPr>
            <w:r>
              <w:rPr>
                <w:color w:val="auto"/>
                <w:szCs w:val="21"/>
              </w:rPr>
              <w:t>应急组织机构、人员</w:t>
            </w:r>
          </w:p>
        </w:tc>
        <w:tc>
          <w:tcPr>
            <w:tcW w:w="5711" w:type="dxa"/>
            <w:vAlign w:val="center"/>
          </w:tcPr>
          <w:p>
            <w:pPr>
              <w:jc w:val="center"/>
              <w:rPr>
                <w:color w:val="auto"/>
                <w:szCs w:val="21"/>
              </w:rPr>
            </w:pPr>
            <w:r>
              <w:rPr>
                <w:color w:val="auto"/>
                <w:szCs w:val="21"/>
              </w:rPr>
              <w:t>工厂、地区应急组织机构、人员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3</w:t>
            </w:r>
          </w:p>
        </w:tc>
        <w:tc>
          <w:tcPr>
            <w:tcW w:w="2528" w:type="dxa"/>
            <w:vAlign w:val="center"/>
          </w:tcPr>
          <w:p>
            <w:pPr>
              <w:jc w:val="center"/>
              <w:rPr>
                <w:color w:val="auto"/>
                <w:szCs w:val="21"/>
              </w:rPr>
            </w:pPr>
            <w:r>
              <w:rPr>
                <w:color w:val="auto"/>
                <w:szCs w:val="21"/>
              </w:rPr>
              <w:t>预案分级响应条件</w:t>
            </w:r>
          </w:p>
        </w:tc>
        <w:tc>
          <w:tcPr>
            <w:tcW w:w="5711" w:type="dxa"/>
            <w:vAlign w:val="center"/>
          </w:tcPr>
          <w:p>
            <w:pPr>
              <w:jc w:val="center"/>
              <w:rPr>
                <w:color w:val="auto"/>
                <w:szCs w:val="21"/>
              </w:rPr>
            </w:pPr>
            <w:r>
              <w:rPr>
                <w:color w:val="auto"/>
                <w:szCs w:val="21"/>
              </w:rPr>
              <w:t>规定预案的级别及分级响应程序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4</w:t>
            </w:r>
          </w:p>
        </w:tc>
        <w:tc>
          <w:tcPr>
            <w:tcW w:w="2528" w:type="dxa"/>
            <w:vAlign w:val="center"/>
          </w:tcPr>
          <w:p>
            <w:pPr>
              <w:jc w:val="center"/>
              <w:rPr>
                <w:color w:val="auto"/>
                <w:szCs w:val="21"/>
              </w:rPr>
            </w:pPr>
            <w:r>
              <w:rPr>
                <w:color w:val="auto"/>
                <w:szCs w:val="21"/>
              </w:rPr>
              <w:t>应急救援保障</w:t>
            </w:r>
          </w:p>
        </w:tc>
        <w:tc>
          <w:tcPr>
            <w:tcW w:w="5711" w:type="dxa"/>
            <w:vAlign w:val="center"/>
          </w:tcPr>
          <w:p>
            <w:pPr>
              <w:jc w:val="center"/>
              <w:rPr>
                <w:color w:val="auto"/>
                <w:szCs w:val="21"/>
              </w:rPr>
            </w:pPr>
            <w:r>
              <w:rPr>
                <w:color w:val="auto"/>
                <w:szCs w:val="21"/>
              </w:rPr>
              <w:t>应急设施、设备与器材等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5</w:t>
            </w:r>
          </w:p>
        </w:tc>
        <w:tc>
          <w:tcPr>
            <w:tcW w:w="2528" w:type="dxa"/>
            <w:vAlign w:val="center"/>
          </w:tcPr>
          <w:p>
            <w:pPr>
              <w:jc w:val="center"/>
              <w:rPr>
                <w:color w:val="auto"/>
                <w:szCs w:val="21"/>
              </w:rPr>
            </w:pPr>
            <w:r>
              <w:rPr>
                <w:color w:val="auto"/>
                <w:szCs w:val="21"/>
              </w:rPr>
              <w:t>报警、通讯联络方式</w:t>
            </w:r>
          </w:p>
        </w:tc>
        <w:tc>
          <w:tcPr>
            <w:tcW w:w="5711" w:type="dxa"/>
            <w:vAlign w:val="center"/>
          </w:tcPr>
          <w:p>
            <w:pPr>
              <w:jc w:val="center"/>
              <w:rPr>
                <w:color w:val="auto"/>
                <w:szCs w:val="21"/>
              </w:rPr>
            </w:pPr>
            <w:r>
              <w:rPr>
                <w:color w:val="auto"/>
                <w:szCs w:val="21"/>
              </w:rPr>
              <w:t>规定应急状态下的报警通讯方式、通知方式和交通保障、管制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6</w:t>
            </w:r>
          </w:p>
        </w:tc>
        <w:tc>
          <w:tcPr>
            <w:tcW w:w="2528" w:type="dxa"/>
            <w:vAlign w:val="center"/>
          </w:tcPr>
          <w:p>
            <w:pPr>
              <w:jc w:val="center"/>
              <w:rPr>
                <w:color w:val="auto"/>
                <w:szCs w:val="21"/>
              </w:rPr>
            </w:pPr>
            <w:r>
              <w:rPr>
                <w:color w:val="auto"/>
                <w:szCs w:val="21"/>
              </w:rPr>
              <w:t>应急环境监测、抢险、救援及控制措施</w:t>
            </w:r>
          </w:p>
        </w:tc>
        <w:tc>
          <w:tcPr>
            <w:tcW w:w="5711" w:type="dxa"/>
            <w:vAlign w:val="center"/>
          </w:tcPr>
          <w:p>
            <w:pPr>
              <w:jc w:val="center"/>
              <w:rPr>
                <w:color w:val="auto"/>
                <w:szCs w:val="21"/>
              </w:rPr>
            </w:pPr>
            <w:r>
              <w:rPr>
                <w:color w:val="auto"/>
                <w:szCs w:val="21"/>
              </w:rPr>
              <w:t>由专业队伍负责对事故现场进行侦察监测，对事故性质、参数与后果进行评估，为指挥部门提供决策依据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7</w:t>
            </w:r>
          </w:p>
        </w:tc>
        <w:tc>
          <w:tcPr>
            <w:tcW w:w="2528" w:type="dxa"/>
            <w:vAlign w:val="center"/>
          </w:tcPr>
          <w:p>
            <w:pPr>
              <w:jc w:val="center"/>
              <w:rPr>
                <w:color w:val="auto"/>
                <w:szCs w:val="21"/>
              </w:rPr>
            </w:pPr>
            <w:r>
              <w:rPr>
                <w:color w:val="auto"/>
                <w:szCs w:val="21"/>
              </w:rPr>
              <w:t>应急检测、防护措施、清楚泄漏措施和器材</w:t>
            </w:r>
          </w:p>
        </w:tc>
        <w:tc>
          <w:tcPr>
            <w:tcW w:w="5711" w:type="dxa"/>
            <w:vAlign w:val="center"/>
          </w:tcPr>
          <w:p>
            <w:pPr>
              <w:jc w:val="center"/>
              <w:rPr>
                <w:color w:val="auto"/>
                <w:szCs w:val="21"/>
              </w:rPr>
            </w:pPr>
            <w:r>
              <w:rPr>
                <w:color w:val="auto"/>
                <w:szCs w:val="21"/>
              </w:rPr>
              <w:t>事故现场、邻近区域、控制防火区域，控制和清除污染措施及相应设备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8</w:t>
            </w:r>
          </w:p>
        </w:tc>
        <w:tc>
          <w:tcPr>
            <w:tcW w:w="2528" w:type="dxa"/>
            <w:vAlign w:val="center"/>
          </w:tcPr>
          <w:p>
            <w:pPr>
              <w:jc w:val="center"/>
              <w:rPr>
                <w:color w:val="auto"/>
                <w:szCs w:val="21"/>
              </w:rPr>
            </w:pPr>
            <w:r>
              <w:rPr>
                <w:color w:val="auto"/>
                <w:szCs w:val="21"/>
              </w:rPr>
              <w:t>人员紧急撤离、疏散，应急剂量控制、撤离组织计划</w:t>
            </w:r>
          </w:p>
        </w:tc>
        <w:tc>
          <w:tcPr>
            <w:tcW w:w="5711" w:type="dxa"/>
            <w:vAlign w:val="center"/>
          </w:tcPr>
          <w:p>
            <w:pPr>
              <w:jc w:val="center"/>
              <w:rPr>
                <w:color w:val="auto"/>
                <w:szCs w:val="21"/>
              </w:rPr>
            </w:pPr>
            <w:r>
              <w:rPr>
                <w:color w:val="auto"/>
                <w:szCs w:val="21"/>
              </w:rPr>
              <w:t>事故现场、工厂邻近区、受事故影响的区域人员及公众对毒物应急剂量控制规定，撤离组织计划及救护，医疗救护与公众健康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9</w:t>
            </w:r>
          </w:p>
        </w:tc>
        <w:tc>
          <w:tcPr>
            <w:tcW w:w="2528" w:type="dxa"/>
            <w:vAlign w:val="center"/>
          </w:tcPr>
          <w:p>
            <w:pPr>
              <w:jc w:val="center"/>
              <w:rPr>
                <w:color w:val="auto"/>
                <w:szCs w:val="21"/>
              </w:rPr>
            </w:pPr>
            <w:r>
              <w:rPr>
                <w:color w:val="auto"/>
                <w:szCs w:val="21"/>
              </w:rPr>
              <w:t>事故应急救援关闭程序与恢复措施</w:t>
            </w:r>
          </w:p>
        </w:tc>
        <w:tc>
          <w:tcPr>
            <w:tcW w:w="5711" w:type="dxa"/>
            <w:vAlign w:val="center"/>
          </w:tcPr>
          <w:p>
            <w:pPr>
              <w:jc w:val="center"/>
              <w:rPr>
                <w:color w:val="auto"/>
                <w:szCs w:val="21"/>
              </w:rPr>
            </w:pPr>
            <w:r>
              <w:rPr>
                <w:color w:val="auto"/>
                <w:szCs w:val="21"/>
              </w:rPr>
              <w:t>规定应急状态终止程序</w:t>
            </w:r>
          </w:p>
          <w:p>
            <w:pPr>
              <w:jc w:val="center"/>
              <w:rPr>
                <w:color w:val="auto"/>
                <w:szCs w:val="21"/>
              </w:rPr>
            </w:pPr>
            <w:r>
              <w:rPr>
                <w:color w:val="auto"/>
                <w:szCs w:val="21"/>
              </w:rPr>
              <w:t>事故现场善后处理，恢复措施</w:t>
            </w:r>
          </w:p>
          <w:p>
            <w:pPr>
              <w:jc w:val="center"/>
              <w:rPr>
                <w:color w:val="auto"/>
                <w:szCs w:val="21"/>
              </w:rPr>
            </w:pPr>
            <w:r>
              <w:rPr>
                <w:color w:val="auto"/>
                <w:szCs w:val="21"/>
              </w:rPr>
              <w:t>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10</w:t>
            </w:r>
          </w:p>
        </w:tc>
        <w:tc>
          <w:tcPr>
            <w:tcW w:w="2528" w:type="dxa"/>
            <w:vAlign w:val="center"/>
          </w:tcPr>
          <w:p>
            <w:pPr>
              <w:jc w:val="center"/>
              <w:rPr>
                <w:color w:val="auto"/>
                <w:szCs w:val="21"/>
              </w:rPr>
            </w:pPr>
            <w:r>
              <w:rPr>
                <w:color w:val="auto"/>
                <w:szCs w:val="21"/>
              </w:rPr>
              <w:t>应急培训计划</w:t>
            </w:r>
          </w:p>
        </w:tc>
        <w:tc>
          <w:tcPr>
            <w:tcW w:w="5711" w:type="dxa"/>
            <w:vAlign w:val="center"/>
          </w:tcPr>
          <w:p>
            <w:pPr>
              <w:jc w:val="center"/>
              <w:rPr>
                <w:color w:val="auto"/>
                <w:szCs w:val="21"/>
              </w:rPr>
            </w:pPr>
            <w:r>
              <w:rPr>
                <w:color w:val="auto"/>
                <w:szCs w:val="21"/>
              </w:rPr>
              <w:t>应急计划制定后，平时安排人员培训与演练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vAlign w:val="center"/>
          </w:tcPr>
          <w:p>
            <w:pPr>
              <w:jc w:val="center"/>
              <w:rPr>
                <w:color w:val="auto"/>
                <w:szCs w:val="21"/>
              </w:rPr>
            </w:pPr>
            <w:r>
              <w:rPr>
                <w:color w:val="auto"/>
                <w:szCs w:val="21"/>
              </w:rPr>
              <w:t>11</w:t>
            </w:r>
          </w:p>
        </w:tc>
        <w:tc>
          <w:tcPr>
            <w:tcW w:w="2528" w:type="dxa"/>
            <w:vAlign w:val="center"/>
          </w:tcPr>
          <w:p>
            <w:pPr>
              <w:jc w:val="center"/>
              <w:rPr>
                <w:color w:val="auto"/>
                <w:szCs w:val="21"/>
              </w:rPr>
            </w:pPr>
            <w:r>
              <w:rPr>
                <w:color w:val="auto"/>
                <w:szCs w:val="21"/>
              </w:rPr>
              <w:t>公众教育和信息</w:t>
            </w:r>
          </w:p>
        </w:tc>
        <w:tc>
          <w:tcPr>
            <w:tcW w:w="5711" w:type="dxa"/>
            <w:vAlign w:val="center"/>
          </w:tcPr>
          <w:p>
            <w:pPr>
              <w:jc w:val="center"/>
              <w:rPr>
                <w:color w:val="auto"/>
                <w:szCs w:val="21"/>
              </w:rPr>
            </w:pPr>
            <w:r>
              <w:rPr>
                <w:color w:val="auto"/>
                <w:szCs w:val="21"/>
              </w:rPr>
              <w:t>对工厂邻近地区开展公众教育、培训和发布有关信息</w:t>
            </w:r>
          </w:p>
        </w:tc>
      </w:tr>
    </w:tbl>
    <w:p>
      <w:pPr>
        <w:spacing w:line="360" w:lineRule="auto"/>
        <w:outlineLvl w:val="1"/>
        <w:rPr>
          <w:b/>
          <w:color w:val="auto"/>
          <w:sz w:val="32"/>
          <w:szCs w:val="32"/>
        </w:rPr>
      </w:pPr>
      <w:bookmarkStart w:id="2673" w:name="_Toc18548"/>
      <w:bookmarkStart w:id="2674" w:name="_Toc14912"/>
      <w:r>
        <w:rPr>
          <w:rFonts w:hint="eastAsia"/>
          <w:b/>
          <w:color w:val="auto"/>
          <w:sz w:val="32"/>
          <w:szCs w:val="32"/>
        </w:rPr>
        <w:t>7.9  小结</w:t>
      </w:r>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p>
    <w:p>
      <w:pPr>
        <w:spacing w:line="360" w:lineRule="auto"/>
        <w:ind w:firstLine="480" w:firstLineChars="200"/>
        <w:rPr>
          <w:bCs/>
          <w:color w:val="auto"/>
          <w:sz w:val="24"/>
        </w:rPr>
      </w:pPr>
      <w:r>
        <w:rPr>
          <w:bCs/>
          <w:color w:val="auto"/>
          <w:sz w:val="24"/>
        </w:rPr>
        <w:t>项目使用原辅料列入《建设项目环境风险评价技术导则》（HJ169-2018）中附录B的风险物质有</w:t>
      </w:r>
      <w:r>
        <w:rPr>
          <w:bCs/>
          <w:color w:val="auto"/>
          <w:kern w:val="0"/>
          <w:sz w:val="24"/>
          <w:lang w:bidi="ar"/>
        </w:rPr>
        <w:t>石油沥青、软化油、</w:t>
      </w:r>
      <w:r>
        <w:rPr>
          <w:bCs/>
          <w:color w:val="auto"/>
          <w:sz w:val="24"/>
        </w:rPr>
        <w:t>导热油、</w:t>
      </w:r>
      <w:r>
        <w:rPr>
          <w:rFonts w:hint="eastAsia"/>
          <w:bCs/>
          <w:color w:val="auto"/>
          <w:sz w:val="24"/>
        </w:rPr>
        <w:t>润滑油</w:t>
      </w:r>
      <w:r>
        <w:rPr>
          <w:bCs/>
          <w:color w:val="auto"/>
          <w:sz w:val="24"/>
        </w:rPr>
        <w:t>、</w:t>
      </w:r>
      <w:r>
        <w:rPr>
          <w:rFonts w:hint="eastAsia"/>
          <w:bCs/>
          <w:color w:val="auto"/>
          <w:kern w:val="0"/>
          <w:sz w:val="24"/>
          <w:lang w:bidi="ar"/>
        </w:rPr>
        <w:t>废矿物油</w:t>
      </w:r>
      <w:r>
        <w:rPr>
          <w:bCs/>
          <w:color w:val="auto"/>
          <w:sz w:val="24"/>
        </w:rPr>
        <w:t>等油类物质，但其存储量不大。经核算，本项目风险等级为Ⅰ级，仅需进行简单分析。</w:t>
      </w:r>
    </w:p>
    <w:p>
      <w:pPr>
        <w:spacing w:line="360" w:lineRule="auto"/>
        <w:ind w:firstLine="480" w:firstLineChars="200"/>
        <w:rPr>
          <w:bCs/>
          <w:color w:val="auto"/>
          <w:sz w:val="24"/>
        </w:rPr>
      </w:pPr>
      <w:r>
        <w:rPr>
          <w:bCs/>
          <w:color w:val="auto"/>
          <w:sz w:val="24"/>
        </w:rPr>
        <w:t>根据项目风险分析，类比同地区同类型项目，发现本项目发生环境风险事故的可能性不大，发生事故后外排危险物质、污染物和消防废水的可能性极小，且可通过风险控制和管理措施后可避免大部分的风险事故发生。落实本报告提出的意见和风险防范措施后，项目总体环境风险可接受。</w:t>
      </w:r>
    </w:p>
    <w:p>
      <w:pPr>
        <w:spacing w:line="360" w:lineRule="auto"/>
        <w:ind w:firstLine="480" w:firstLineChars="200"/>
        <w:rPr>
          <w:color w:val="auto"/>
          <w:sz w:val="24"/>
        </w:rPr>
      </w:pPr>
      <w:r>
        <w:rPr>
          <w:rFonts w:hint="eastAsia"/>
          <w:color w:val="auto"/>
          <w:sz w:val="24"/>
        </w:rPr>
        <w:t>建设项目环境风险简单分析内容表见下表。</w:t>
      </w:r>
    </w:p>
    <w:p>
      <w:pPr>
        <w:spacing w:line="360" w:lineRule="auto"/>
        <w:jc w:val="center"/>
        <w:rPr>
          <w:b/>
          <w:color w:val="auto"/>
        </w:rPr>
      </w:pPr>
      <w:r>
        <w:rPr>
          <w:rFonts w:hint="eastAsia"/>
          <w:b/>
          <w:color w:val="auto"/>
        </w:rPr>
        <w:t>表7</w:t>
      </w:r>
      <w:r>
        <w:rPr>
          <w:b/>
          <w:color w:val="auto"/>
        </w:rPr>
        <w:t>.9-1</w:t>
      </w:r>
      <w:r>
        <w:rPr>
          <w:rFonts w:hint="eastAsia"/>
          <w:b/>
          <w:color w:val="auto"/>
        </w:rPr>
        <w:t xml:space="preserve"> </w:t>
      </w:r>
      <w:r>
        <w:rPr>
          <w:b/>
          <w:color w:val="auto"/>
        </w:rPr>
        <w:t xml:space="preserve"> </w:t>
      </w:r>
      <w:r>
        <w:rPr>
          <w:rFonts w:hint="eastAsia"/>
          <w:b/>
          <w:color w:val="auto"/>
        </w:rPr>
        <w:t>建设项目环境风险简单分析内容表</w:t>
      </w:r>
    </w:p>
    <w:tbl>
      <w:tblPr>
        <w:tblStyle w:val="23"/>
        <w:tblW w:w="8993" w:type="dxa"/>
        <w:tblInd w:w="0" w:type="dxa"/>
        <w:tblLayout w:type="fixed"/>
        <w:tblCellMar>
          <w:top w:w="56" w:type="dxa"/>
          <w:left w:w="108" w:type="dxa"/>
          <w:bottom w:w="0" w:type="dxa"/>
          <w:right w:w="2" w:type="dxa"/>
        </w:tblCellMar>
      </w:tblPr>
      <w:tblGrid>
        <w:gridCol w:w="1418"/>
        <w:gridCol w:w="2039"/>
        <w:gridCol w:w="1797"/>
        <w:gridCol w:w="1798"/>
        <w:gridCol w:w="1941"/>
      </w:tblGrid>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tcPr>
          <w:p>
            <w:pPr>
              <w:ind w:left="38"/>
              <w:rPr>
                <w:color w:val="auto"/>
                <w:szCs w:val="21"/>
              </w:rPr>
            </w:pPr>
            <w:r>
              <w:rPr>
                <w:color w:val="auto"/>
                <w:szCs w:val="21"/>
              </w:rPr>
              <w:t xml:space="preserve">建设项目名称 </w:t>
            </w:r>
          </w:p>
        </w:tc>
        <w:tc>
          <w:tcPr>
            <w:tcW w:w="7575" w:type="dxa"/>
            <w:gridSpan w:val="4"/>
            <w:tcBorders>
              <w:top w:val="single" w:color="000000" w:sz="4" w:space="0"/>
              <w:left w:val="single" w:color="000000" w:sz="4" w:space="0"/>
              <w:bottom w:val="single" w:color="000000" w:sz="4" w:space="0"/>
              <w:right w:val="single" w:color="000000" w:sz="4" w:space="0"/>
            </w:tcBorders>
            <w:shd w:val="clear" w:color="auto" w:fill="auto"/>
          </w:tcPr>
          <w:p>
            <w:pPr>
              <w:autoSpaceDE w:val="0"/>
              <w:autoSpaceDN w:val="0"/>
              <w:adjustRightInd w:val="0"/>
              <w:jc w:val="left"/>
              <w:rPr>
                <w:color w:val="auto"/>
                <w:szCs w:val="21"/>
              </w:rPr>
            </w:pPr>
            <w:r>
              <w:rPr>
                <w:bCs/>
                <w:color w:val="auto"/>
                <w:szCs w:val="21"/>
              </w:rPr>
              <w:t>清远市清城区信兴金属回收加工有限公司工业固体废弃物综合利用</w:t>
            </w:r>
            <w:r>
              <w:rPr>
                <w:rFonts w:hint="eastAsia"/>
                <w:bCs/>
                <w:color w:val="auto"/>
                <w:szCs w:val="21"/>
                <w:lang w:eastAsia="zh-CN"/>
              </w:rPr>
              <w:t>迁改</w:t>
            </w:r>
            <w:r>
              <w:rPr>
                <w:rFonts w:hint="eastAsia"/>
                <w:bCs/>
                <w:color w:val="auto"/>
                <w:szCs w:val="21"/>
              </w:rPr>
              <w:t>扩建</w:t>
            </w:r>
            <w:r>
              <w:rPr>
                <w:bCs/>
                <w:color w:val="auto"/>
                <w:szCs w:val="21"/>
              </w:rPr>
              <w:t>项目</w:t>
            </w:r>
          </w:p>
        </w:tc>
      </w:tr>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tcPr>
          <w:p>
            <w:pPr>
              <w:ind w:left="248"/>
              <w:rPr>
                <w:color w:val="auto"/>
                <w:szCs w:val="21"/>
              </w:rPr>
            </w:pPr>
            <w:r>
              <w:rPr>
                <w:color w:val="auto"/>
                <w:szCs w:val="21"/>
              </w:rPr>
              <w:t xml:space="preserve">建设地点 </w:t>
            </w:r>
          </w:p>
        </w:tc>
        <w:tc>
          <w:tcPr>
            <w:tcW w:w="7575" w:type="dxa"/>
            <w:gridSpan w:val="4"/>
            <w:tcBorders>
              <w:top w:val="single" w:color="000000" w:sz="4" w:space="0"/>
              <w:left w:val="single" w:color="000000" w:sz="4" w:space="0"/>
              <w:bottom w:val="single" w:color="000000" w:sz="4" w:space="0"/>
              <w:right w:val="single" w:color="000000" w:sz="4" w:space="0"/>
            </w:tcBorders>
            <w:shd w:val="clear" w:color="auto" w:fill="auto"/>
          </w:tcPr>
          <w:p>
            <w:pPr>
              <w:ind w:left="2"/>
              <w:jc w:val="center"/>
              <w:rPr>
                <w:color w:val="auto"/>
                <w:szCs w:val="21"/>
              </w:rPr>
            </w:pPr>
            <w:r>
              <w:rPr>
                <w:bCs/>
                <w:snapToGrid w:val="0"/>
                <w:color w:val="auto"/>
                <w:szCs w:val="21"/>
              </w:rPr>
              <w:t>清远市清城区石角镇界牌北江工业园内厂房B</w:t>
            </w:r>
          </w:p>
        </w:tc>
      </w:tr>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tcPr>
          <w:p>
            <w:pPr>
              <w:ind w:left="248"/>
              <w:rPr>
                <w:color w:val="auto"/>
                <w:szCs w:val="21"/>
              </w:rPr>
            </w:pPr>
            <w:r>
              <w:rPr>
                <w:color w:val="auto"/>
                <w:szCs w:val="21"/>
              </w:rPr>
              <w:t xml:space="preserve">地理坐标 </w:t>
            </w:r>
          </w:p>
        </w:tc>
        <w:tc>
          <w:tcPr>
            <w:tcW w:w="2039" w:type="dxa"/>
            <w:tcBorders>
              <w:top w:val="single" w:color="000000" w:sz="4" w:space="0"/>
              <w:left w:val="single" w:color="000000" w:sz="4" w:space="0"/>
              <w:bottom w:val="single" w:color="000000" w:sz="4" w:space="0"/>
              <w:right w:val="single" w:color="000000" w:sz="4" w:space="0"/>
            </w:tcBorders>
            <w:shd w:val="clear" w:color="auto" w:fill="auto"/>
          </w:tcPr>
          <w:p>
            <w:pPr>
              <w:ind w:right="108"/>
              <w:jc w:val="center"/>
              <w:rPr>
                <w:color w:val="auto"/>
                <w:szCs w:val="21"/>
              </w:rPr>
            </w:pPr>
            <w:r>
              <w:rPr>
                <w:color w:val="auto"/>
                <w:szCs w:val="21"/>
              </w:rPr>
              <w:t xml:space="preserve">经度 </w:t>
            </w:r>
          </w:p>
        </w:tc>
        <w:tc>
          <w:tcPr>
            <w:tcW w:w="1797" w:type="dxa"/>
            <w:tcBorders>
              <w:top w:val="single" w:color="000000" w:sz="4" w:space="0"/>
              <w:left w:val="single" w:color="000000" w:sz="4" w:space="0"/>
              <w:bottom w:val="single" w:color="000000" w:sz="4" w:space="0"/>
              <w:right w:val="single" w:color="000000" w:sz="4" w:space="0"/>
            </w:tcBorders>
            <w:shd w:val="clear" w:color="auto" w:fill="auto"/>
          </w:tcPr>
          <w:p>
            <w:pPr>
              <w:ind w:right="107"/>
              <w:jc w:val="center"/>
              <w:rPr>
                <w:color w:val="auto"/>
                <w:szCs w:val="21"/>
              </w:rPr>
            </w:pPr>
            <w:r>
              <w:rPr>
                <w:bCs/>
                <w:color w:val="auto"/>
                <w:szCs w:val="21"/>
              </w:rPr>
              <w:t>112.950939°</w:t>
            </w:r>
          </w:p>
        </w:tc>
        <w:tc>
          <w:tcPr>
            <w:tcW w:w="1798" w:type="dxa"/>
            <w:tcBorders>
              <w:top w:val="single" w:color="000000" w:sz="4" w:space="0"/>
              <w:left w:val="single" w:color="000000" w:sz="4" w:space="0"/>
              <w:bottom w:val="single" w:color="000000" w:sz="4" w:space="0"/>
              <w:right w:val="single" w:color="000000" w:sz="4" w:space="0"/>
            </w:tcBorders>
            <w:shd w:val="clear" w:color="auto" w:fill="auto"/>
          </w:tcPr>
          <w:p>
            <w:pPr>
              <w:ind w:right="107"/>
              <w:jc w:val="center"/>
              <w:rPr>
                <w:color w:val="auto"/>
                <w:szCs w:val="21"/>
              </w:rPr>
            </w:pPr>
            <w:r>
              <w:rPr>
                <w:color w:val="auto"/>
                <w:szCs w:val="21"/>
              </w:rPr>
              <w:t xml:space="preserve">纬度 </w:t>
            </w:r>
          </w:p>
        </w:tc>
        <w:tc>
          <w:tcPr>
            <w:tcW w:w="1941" w:type="dxa"/>
            <w:tcBorders>
              <w:top w:val="single" w:color="000000" w:sz="4" w:space="0"/>
              <w:left w:val="single" w:color="000000" w:sz="4" w:space="0"/>
              <w:bottom w:val="single" w:color="000000" w:sz="4" w:space="0"/>
              <w:right w:val="single" w:color="000000" w:sz="4" w:space="0"/>
            </w:tcBorders>
            <w:shd w:val="clear" w:color="auto" w:fill="auto"/>
          </w:tcPr>
          <w:p>
            <w:pPr>
              <w:ind w:right="104"/>
              <w:jc w:val="center"/>
              <w:rPr>
                <w:color w:val="auto"/>
                <w:szCs w:val="21"/>
              </w:rPr>
            </w:pPr>
            <w:r>
              <w:rPr>
                <w:bCs/>
                <w:color w:val="auto"/>
                <w:szCs w:val="21"/>
              </w:rPr>
              <w:t>23.502176°</w:t>
            </w:r>
          </w:p>
        </w:tc>
      </w:tr>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r>
              <w:rPr>
                <w:color w:val="auto"/>
                <w:szCs w:val="21"/>
              </w:rPr>
              <w:t xml:space="preserve">主要危险物质及分布 </w:t>
            </w:r>
          </w:p>
        </w:tc>
        <w:tc>
          <w:tcPr>
            <w:tcW w:w="7575" w:type="dxa"/>
            <w:gridSpan w:val="4"/>
            <w:tcBorders>
              <w:top w:val="single" w:color="000000" w:sz="4" w:space="0"/>
              <w:left w:val="single" w:color="000000" w:sz="4" w:space="0"/>
              <w:bottom w:val="single" w:color="000000" w:sz="4" w:space="0"/>
              <w:right w:val="single" w:color="000000" w:sz="4" w:space="0"/>
            </w:tcBorders>
            <w:shd w:val="clear" w:color="auto" w:fill="auto"/>
          </w:tcPr>
          <w:p>
            <w:pPr>
              <w:rPr>
                <w:color w:val="auto"/>
                <w:szCs w:val="21"/>
              </w:rPr>
            </w:pPr>
            <w:r>
              <w:rPr>
                <w:color w:val="auto"/>
                <w:szCs w:val="21"/>
              </w:rPr>
              <w:t>本项目危险物质主要有：</w:t>
            </w:r>
          </w:p>
          <w:p>
            <w:pPr>
              <w:rPr>
                <w:color w:val="auto"/>
                <w:szCs w:val="21"/>
              </w:rPr>
            </w:pPr>
            <w:r>
              <w:rPr>
                <w:color w:val="auto"/>
                <w:szCs w:val="21"/>
              </w:rPr>
              <w:t>1、</w:t>
            </w:r>
            <w:r>
              <w:rPr>
                <w:bCs/>
                <w:color w:val="auto"/>
                <w:kern w:val="0"/>
                <w:szCs w:val="21"/>
                <w:lang w:bidi="ar"/>
              </w:rPr>
              <w:t>石油沥青</w:t>
            </w:r>
            <w:r>
              <w:rPr>
                <w:color w:val="auto"/>
                <w:szCs w:val="21"/>
              </w:rPr>
              <w:t>，储存于卷材生产区的</w:t>
            </w:r>
            <w:r>
              <w:rPr>
                <w:color w:val="auto"/>
                <w:kern w:val="0"/>
                <w:szCs w:val="21"/>
              </w:rPr>
              <w:t>沥青储罐，最大</w:t>
            </w:r>
            <w:r>
              <w:rPr>
                <w:color w:val="auto"/>
                <w:szCs w:val="21"/>
              </w:rPr>
              <w:t>贮存量</w:t>
            </w:r>
            <w:r>
              <w:rPr>
                <w:bCs/>
                <w:color w:val="auto"/>
                <w:kern w:val="0"/>
                <w:szCs w:val="21"/>
                <w:lang w:bidi="ar"/>
              </w:rPr>
              <w:t>100t</w:t>
            </w:r>
            <w:r>
              <w:rPr>
                <w:color w:val="auto"/>
                <w:szCs w:val="21"/>
              </w:rPr>
              <w:t>；</w:t>
            </w:r>
          </w:p>
          <w:p>
            <w:pPr>
              <w:rPr>
                <w:color w:val="auto"/>
                <w:szCs w:val="21"/>
              </w:rPr>
            </w:pPr>
            <w:r>
              <w:rPr>
                <w:color w:val="auto"/>
                <w:szCs w:val="21"/>
              </w:rPr>
              <w:t>2、</w:t>
            </w:r>
            <w:r>
              <w:rPr>
                <w:bCs/>
                <w:color w:val="auto"/>
                <w:kern w:val="0"/>
                <w:szCs w:val="21"/>
                <w:lang w:bidi="ar"/>
              </w:rPr>
              <w:t>软化油，</w:t>
            </w:r>
            <w:r>
              <w:rPr>
                <w:color w:val="auto"/>
                <w:szCs w:val="21"/>
              </w:rPr>
              <w:t>储存于卷材生产区的</w:t>
            </w:r>
            <w:r>
              <w:rPr>
                <w:color w:val="auto"/>
                <w:kern w:val="0"/>
                <w:szCs w:val="21"/>
              </w:rPr>
              <w:t>软化油储罐，最大</w:t>
            </w:r>
            <w:r>
              <w:rPr>
                <w:color w:val="auto"/>
                <w:szCs w:val="21"/>
              </w:rPr>
              <w:t>贮存量</w:t>
            </w:r>
            <w:r>
              <w:rPr>
                <w:bCs/>
                <w:color w:val="auto"/>
                <w:kern w:val="0"/>
                <w:szCs w:val="21"/>
                <w:lang w:bidi="ar"/>
              </w:rPr>
              <w:t>9.5t</w:t>
            </w:r>
            <w:r>
              <w:rPr>
                <w:color w:val="auto"/>
                <w:szCs w:val="21"/>
              </w:rPr>
              <w:t>；</w:t>
            </w:r>
          </w:p>
          <w:p>
            <w:pPr>
              <w:rPr>
                <w:bCs/>
                <w:color w:val="auto"/>
                <w:kern w:val="0"/>
                <w:szCs w:val="21"/>
                <w:lang w:bidi="ar"/>
              </w:rPr>
            </w:pPr>
            <w:r>
              <w:rPr>
                <w:bCs/>
                <w:color w:val="auto"/>
                <w:kern w:val="0"/>
                <w:szCs w:val="21"/>
                <w:lang w:bidi="ar"/>
              </w:rPr>
              <w:t>3、</w:t>
            </w:r>
            <w:r>
              <w:rPr>
                <w:bCs/>
                <w:color w:val="auto"/>
                <w:szCs w:val="21"/>
              </w:rPr>
              <w:t>导热油，密封存放</w:t>
            </w:r>
            <w:r>
              <w:rPr>
                <w:color w:val="auto"/>
                <w:szCs w:val="21"/>
              </w:rPr>
              <w:t>于</w:t>
            </w:r>
            <w:r>
              <w:rPr>
                <w:color w:val="auto"/>
                <w:kern w:val="0"/>
                <w:szCs w:val="21"/>
              </w:rPr>
              <w:t>原料堆放区，最大</w:t>
            </w:r>
            <w:r>
              <w:rPr>
                <w:color w:val="auto"/>
                <w:szCs w:val="21"/>
              </w:rPr>
              <w:t>贮存量</w:t>
            </w:r>
            <w:r>
              <w:rPr>
                <w:bCs/>
                <w:color w:val="auto"/>
                <w:kern w:val="0"/>
                <w:szCs w:val="21"/>
                <w:lang w:bidi="ar"/>
              </w:rPr>
              <w:t>0.5t</w:t>
            </w:r>
            <w:r>
              <w:rPr>
                <w:color w:val="auto"/>
                <w:szCs w:val="21"/>
              </w:rPr>
              <w:t>；</w:t>
            </w:r>
          </w:p>
          <w:p>
            <w:pPr>
              <w:rPr>
                <w:bCs/>
                <w:color w:val="auto"/>
                <w:kern w:val="0"/>
                <w:szCs w:val="21"/>
                <w:lang w:bidi="ar"/>
              </w:rPr>
            </w:pPr>
            <w:r>
              <w:rPr>
                <w:bCs/>
                <w:color w:val="auto"/>
                <w:kern w:val="0"/>
                <w:szCs w:val="21"/>
                <w:lang w:bidi="ar"/>
              </w:rPr>
              <w:t>4、</w:t>
            </w:r>
            <w:r>
              <w:rPr>
                <w:rFonts w:hint="eastAsia"/>
                <w:bCs/>
                <w:color w:val="auto"/>
                <w:szCs w:val="21"/>
              </w:rPr>
              <w:t>润滑油</w:t>
            </w:r>
            <w:r>
              <w:rPr>
                <w:bCs/>
                <w:color w:val="auto"/>
                <w:szCs w:val="21"/>
              </w:rPr>
              <w:t>，密封存放</w:t>
            </w:r>
            <w:r>
              <w:rPr>
                <w:color w:val="auto"/>
                <w:szCs w:val="21"/>
              </w:rPr>
              <w:t>于</w:t>
            </w:r>
            <w:r>
              <w:rPr>
                <w:color w:val="auto"/>
                <w:kern w:val="0"/>
                <w:szCs w:val="21"/>
              </w:rPr>
              <w:t>原料堆放区，最大</w:t>
            </w:r>
            <w:r>
              <w:rPr>
                <w:color w:val="auto"/>
                <w:szCs w:val="21"/>
              </w:rPr>
              <w:t>贮存量</w:t>
            </w:r>
            <w:r>
              <w:rPr>
                <w:bCs/>
                <w:color w:val="auto"/>
                <w:kern w:val="0"/>
                <w:szCs w:val="21"/>
                <w:lang w:bidi="ar"/>
              </w:rPr>
              <w:t>0.04t</w:t>
            </w:r>
            <w:r>
              <w:rPr>
                <w:color w:val="auto"/>
                <w:szCs w:val="21"/>
              </w:rPr>
              <w:t>；</w:t>
            </w:r>
          </w:p>
          <w:p>
            <w:pPr>
              <w:rPr>
                <w:color w:val="auto"/>
                <w:szCs w:val="21"/>
              </w:rPr>
            </w:pPr>
            <w:r>
              <w:rPr>
                <w:bCs/>
                <w:color w:val="auto"/>
                <w:kern w:val="0"/>
                <w:szCs w:val="21"/>
                <w:lang w:bidi="ar"/>
              </w:rPr>
              <w:t>5、</w:t>
            </w:r>
            <w:r>
              <w:rPr>
                <w:rFonts w:hint="eastAsia"/>
                <w:bCs/>
                <w:color w:val="auto"/>
                <w:kern w:val="0"/>
                <w:szCs w:val="21"/>
                <w:lang w:bidi="ar"/>
              </w:rPr>
              <w:t>废矿物油</w:t>
            </w:r>
            <w:r>
              <w:rPr>
                <w:bCs/>
                <w:color w:val="auto"/>
                <w:kern w:val="0"/>
                <w:szCs w:val="21"/>
                <w:lang w:bidi="ar"/>
              </w:rPr>
              <w:t>，</w:t>
            </w:r>
            <w:r>
              <w:rPr>
                <w:bCs/>
                <w:color w:val="auto"/>
                <w:szCs w:val="21"/>
              </w:rPr>
              <w:t>密封存放</w:t>
            </w:r>
            <w:r>
              <w:rPr>
                <w:color w:val="auto"/>
                <w:szCs w:val="21"/>
              </w:rPr>
              <w:t>于</w:t>
            </w:r>
            <w:r>
              <w:rPr>
                <w:color w:val="auto"/>
                <w:kern w:val="0"/>
                <w:szCs w:val="21"/>
              </w:rPr>
              <w:t>危废暂存间，最大</w:t>
            </w:r>
            <w:r>
              <w:rPr>
                <w:color w:val="auto"/>
                <w:szCs w:val="21"/>
              </w:rPr>
              <w:t>贮存量</w:t>
            </w:r>
            <w:r>
              <w:rPr>
                <w:rFonts w:hint="eastAsia"/>
                <w:color w:val="auto"/>
                <w:szCs w:val="21"/>
              </w:rPr>
              <w:t>1</w:t>
            </w:r>
            <w:r>
              <w:rPr>
                <w:bCs/>
                <w:color w:val="auto"/>
                <w:kern w:val="0"/>
                <w:szCs w:val="21"/>
                <w:lang w:bidi="ar"/>
              </w:rPr>
              <w:t>.08t</w:t>
            </w:r>
            <w:r>
              <w:rPr>
                <w:color w:val="auto"/>
                <w:szCs w:val="21"/>
              </w:rPr>
              <w:t>；</w:t>
            </w:r>
          </w:p>
        </w:tc>
      </w:tr>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r>
              <w:rPr>
                <w:color w:val="auto"/>
                <w:szCs w:val="21"/>
              </w:rPr>
              <w:t>环境影响途径及危害后果</w:t>
            </w:r>
          </w:p>
          <w:p>
            <w:pPr>
              <w:ind w:right="40"/>
              <w:jc w:val="center"/>
              <w:rPr>
                <w:color w:val="auto"/>
                <w:szCs w:val="21"/>
              </w:rPr>
            </w:pPr>
            <w:r>
              <w:rPr>
                <w:color w:val="auto"/>
                <w:szCs w:val="21"/>
              </w:rPr>
              <w:t xml:space="preserve">（大气、地表水、地下水等） </w:t>
            </w:r>
          </w:p>
        </w:tc>
        <w:tc>
          <w:tcPr>
            <w:tcW w:w="7575" w:type="dxa"/>
            <w:gridSpan w:val="4"/>
            <w:tcBorders>
              <w:top w:val="single" w:color="000000" w:sz="4" w:space="0"/>
              <w:left w:val="single" w:color="000000" w:sz="4" w:space="0"/>
              <w:bottom w:val="single" w:color="000000" w:sz="4" w:space="0"/>
              <w:right w:val="single" w:color="000000" w:sz="4" w:space="0"/>
            </w:tcBorders>
            <w:shd w:val="clear" w:color="auto" w:fill="auto"/>
          </w:tcPr>
          <w:p>
            <w:pPr>
              <w:ind w:left="420" w:hanging="420" w:hangingChars="200"/>
              <w:jc w:val="left"/>
              <w:rPr>
                <w:color w:val="auto"/>
                <w:szCs w:val="21"/>
              </w:rPr>
            </w:pPr>
            <w:r>
              <w:rPr>
                <w:color w:val="auto"/>
                <w:szCs w:val="21"/>
              </w:rPr>
              <w:t>1、环境空气扩散；造成周边大气环境污染，通过干、湿沉降，进而污染到土壤、地表水等；</w:t>
            </w:r>
          </w:p>
          <w:p>
            <w:pPr>
              <w:ind w:left="420" w:hanging="420" w:hangingChars="200"/>
              <w:jc w:val="left"/>
              <w:rPr>
                <w:color w:val="auto"/>
                <w:szCs w:val="21"/>
              </w:rPr>
            </w:pPr>
            <w:r>
              <w:rPr>
                <w:color w:val="auto"/>
                <w:szCs w:val="21"/>
              </w:rPr>
              <w:t>2、水体扩散；直接污染纳污水体，污染物通过沉淀、物质循环等作用，影响到河流底泥、地下水等；</w:t>
            </w:r>
          </w:p>
          <w:p>
            <w:pPr>
              <w:spacing w:after="12"/>
              <w:ind w:left="420" w:hanging="420" w:hangingChars="200"/>
              <w:rPr>
                <w:color w:val="auto"/>
                <w:szCs w:val="21"/>
              </w:rPr>
            </w:pPr>
            <w:r>
              <w:rPr>
                <w:color w:val="auto"/>
                <w:szCs w:val="21"/>
              </w:rPr>
              <w:t>3、土壤扩散；污染土壤环境。土壤中的有毒有害物质通过下渗等作用，进而污染地下水。</w:t>
            </w:r>
          </w:p>
        </w:tc>
      </w:tr>
      <w:tr>
        <w:tblPrEx>
          <w:tblCellMar>
            <w:top w:w="56" w:type="dxa"/>
            <w:left w:w="108" w:type="dxa"/>
            <w:bottom w:w="0" w:type="dxa"/>
            <w:right w:w="2" w:type="dxa"/>
          </w:tblCellMar>
        </w:tblPrEx>
        <w:trPr>
          <w:trHeight w:val="397" w:hRule="atLeast"/>
        </w:trPr>
        <w:tc>
          <w:tcPr>
            <w:tcW w:w="141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r>
              <w:rPr>
                <w:color w:val="auto"/>
                <w:szCs w:val="21"/>
              </w:rPr>
              <w:t xml:space="preserve">风险防范措施要求 </w:t>
            </w:r>
          </w:p>
        </w:tc>
        <w:tc>
          <w:tcPr>
            <w:tcW w:w="7575" w:type="dxa"/>
            <w:gridSpan w:val="4"/>
            <w:tcBorders>
              <w:top w:val="single" w:color="000000" w:sz="4" w:space="0"/>
              <w:left w:val="single" w:color="000000" w:sz="4" w:space="0"/>
              <w:bottom w:val="single" w:color="000000" w:sz="4" w:space="0"/>
              <w:right w:val="single" w:color="000000" w:sz="4" w:space="0"/>
            </w:tcBorders>
            <w:shd w:val="clear" w:color="auto" w:fill="auto"/>
          </w:tcPr>
          <w:p>
            <w:pPr>
              <w:widowControl/>
              <w:spacing w:after="8"/>
              <w:jc w:val="left"/>
              <w:rPr>
                <w:color w:val="auto"/>
                <w:szCs w:val="21"/>
              </w:rPr>
            </w:pPr>
            <w:r>
              <w:rPr>
                <w:color w:val="auto"/>
                <w:szCs w:val="21"/>
              </w:rPr>
              <w:t>1、物料泄漏事故防范措施</w:t>
            </w:r>
          </w:p>
          <w:p>
            <w:pPr>
              <w:ind w:firstLine="420" w:firstLineChars="200"/>
              <w:rPr>
                <w:color w:val="auto"/>
                <w:szCs w:val="21"/>
              </w:rPr>
            </w:pPr>
            <w:r>
              <w:rPr>
                <w:color w:val="auto"/>
                <w:szCs w:val="21"/>
              </w:rPr>
              <w:t>（1）加强原辅料管理，做好出入登记，并入库检查。每次入库时，检查外包装是否有破损情况，密封是否严密，避免化学品泄漏或挥发。</w:t>
            </w:r>
          </w:p>
          <w:p>
            <w:pPr>
              <w:ind w:firstLine="420" w:firstLineChars="200"/>
              <w:rPr>
                <w:color w:val="auto"/>
                <w:szCs w:val="21"/>
              </w:rPr>
            </w:pPr>
            <w:r>
              <w:rPr>
                <w:color w:val="auto"/>
                <w:szCs w:val="21"/>
              </w:rPr>
              <w:t>（2）对生产过程中产生的危险废物，分类收集，分别包装临时储存，定期交有相应类别处理资质的单位处理。</w:t>
            </w:r>
          </w:p>
          <w:p>
            <w:pPr>
              <w:ind w:firstLine="420" w:firstLineChars="200"/>
              <w:rPr>
                <w:color w:val="auto"/>
                <w:szCs w:val="21"/>
              </w:rPr>
            </w:pPr>
            <w:r>
              <w:rPr>
                <w:color w:val="auto"/>
                <w:szCs w:val="21"/>
              </w:rPr>
              <w:t>（3）风险物质应设置专人管理，完善和落实安全管理制度和岗位责任制；定期对原料仓安全进行检查，加强仓库内探测、报警、消防和通风等安全设施的检查和维护，并做好记录。</w:t>
            </w:r>
          </w:p>
          <w:p>
            <w:pPr>
              <w:ind w:firstLine="420" w:firstLineChars="200"/>
              <w:rPr>
                <w:color w:val="auto"/>
                <w:szCs w:val="21"/>
              </w:rPr>
            </w:pPr>
            <w:r>
              <w:rPr>
                <w:color w:val="auto"/>
                <w:szCs w:val="21"/>
              </w:rPr>
              <w:t>（4）在原辅料及危险废物装卸时，严格按章操作，必须轻装轻卸，严禁震动撞击、重压、倾倒和磨擦。</w:t>
            </w:r>
          </w:p>
          <w:p>
            <w:pPr>
              <w:ind w:firstLine="420" w:firstLineChars="200"/>
              <w:rPr>
                <w:color w:val="auto"/>
                <w:szCs w:val="21"/>
              </w:rPr>
            </w:pPr>
            <w:r>
              <w:rPr>
                <w:color w:val="auto"/>
                <w:szCs w:val="21"/>
              </w:rPr>
              <w:t>（5）按要求配备足够的泄漏事故应急器材，如沙袋、吸附材料、盛装桶、个人防护用品等，并定期检查存量和有效性，以防万一。</w:t>
            </w:r>
          </w:p>
          <w:p>
            <w:pPr>
              <w:ind w:firstLine="420" w:firstLineChars="200"/>
              <w:rPr>
                <w:color w:val="auto"/>
                <w:szCs w:val="21"/>
              </w:rPr>
            </w:pPr>
            <w:r>
              <w:rPr>
                <w:color w:val="auto"/>
                <w:szCs w:val="21"/>
              </w:rPr>
              <w:t>（6）在防渗漏工作方面，项目及工业园区地面均已做好地面硬化处理，必要的位置设有围堰，工业园区亦铺设有固定的雨污管网。雨水及意外泄漏的渗漏液不会直接下渗，对土壤和地下水造成污染，亦不会经地表随意漫流。若发生泄漏事故，项目可马上使用沙袋围堵、吸附棉吸收等方式阻止污染物进一步扩散。</w:t>
            </w:r>
          </w:p>
          <w:p>
            <w:pPr>
              <w:pStyle w:val="2"/>
              <w:ind w:left="0" w:leftChars="0" w:firstLine="0" w:firstLineChars="0"/>
              <w:rPr>
                <w:rFonts w:ascii="Times New Roman"/>
                <w:color w:val="auto"/>
                <w:sz w:val="21"/>
                <w:szCs w:val="21"/>
              </w:rPr>
            </w:pPr>
            <w:r>
              <w:rPr>
                <w:rFonts w:ascii="Times New Roman"/>
                <w:color w:val="auto"/>
                <w:sz w:val="21"/>
                <w:szCs w:val="21"/>
              </w:rPr>
              <w:t>2、火灾的风险及防范措施</w:t>
            </w:r>
          </w:p>
          <w:p>
            <w:pPr>
              <w:ind w:firstLine="420" w:firstLineChars="200"/>
              <w:rPr>
                <w:color w:val="auto"/>
                <w:szCs w:val="21"/>
              </w:rPr>
            </w:pPr>
            <w:r>
              <w:rPr>
                <w:color w:val="auto"/>
                <w:szCs w:val="21"/>
              </w:rPr>
              <w:t>（1）加强对生产设备和厂内电源、电线、开关等的检修和维护，并标示安全警示标识。</w:t>
            </w:r>
          </w:p>
          <w:p>
            <w:pPr>
              <w:ind w:firstLine="420" w:firstLineChars="200"/>
              <w:rPr>
                <w:color w:val="auto"/>
                <w:szCs w:val="21"/>
              </w:rPr>
            </w:pPr>
            <w:r>
              <w:rPr>
                <w:color w:val="auto"/>
                <w:szCs w:val="21"/>
              </w:rPr>
              <w:t>（2）按照《建筑设计防火规范》合理布局，布置严格按照防火防爆技术要求进行，使可燃的物料远离热源、火种、防止日光暴晒。物料的储存要按照物质性能分类分区，性质相抵触、灭火方法不同的原料物品应分类贮存，风险物质做好标识和标签。</w:t>
            </w:r>
          </w:p>
          <w:p>
            <w:pPr>
              <w:ind w:firstLine="420" w:firstLineChars="200"/>
              <w:rPr>
                <w:color w:val="auto"/>
                <w:szCs w:val="21"/>
              </w:rPr>
            </w:pPr>
            <w:r>
              <w:rPr>
                <w:color w:val="auto"/>
                <w:szCs w:val="21"/>
              </w:rPr>
              <w:t>（3）在工艺设计中，应作安全连锁和事故紧急停车措施。一些必要部位设置压力表、安全阀、爆破板以及报警系统。在仪表选用上，防爆区内的仪表为本质安全型或隔爆型。各类压力容器的设计，严格按照《压力容器安全技术监察规程》进行。同时加强设备的密封及设备与管理、管道与管道的连接密封，减少易燃易爆物质的泄漏可能性。订购压力设备时，必须采购使用国家认可的有资质厂家生产的正规设备。</w:t>
            </w:r>
          </w:p>
          <w:p>
            <w:pPr>
              <w:ind w:firstLine="420" w:firstLineChars="200"/>
              <w:rPr>
                <w:color w:val="auto"/>
                <w:szCs w:val="21"/>
              </w:rPr>
            </w:pPr>
            <w:r>
              <w:rPr>
                <w:color w:val="auto"/>
                <w:szCs w:val="21"/>
              </w:rPr>
              <w:t>（4）生产中加强管理，制定严格的操作制度，做到随时检查，发现问题及时处理。</w:t>
            </w:r>
          </w:p>
          <w:p>
            <w:pPr>
              <w:ind w:firstLine="420" w:firstLineChars="200"/>
              <w:jc w:val="left"/>
              <w:rPr>
                <w:color w:val="auto"/>
                <w:szCs w:val="21"/>
              </w:rPr>
            </w:pPr>
            <w:r>
              <w:rPr>
                <w:color w:val="auto"/>
                <w:szCs w:val="21"/>
              </w:rPr>
              <w:t>（5）建立健全全厂消防系统，设计安全出口，设消防栓，配备灭火器并完善可行的消防及火灾报警系统。日常需定期进行消防教育和演练。</w:t>
            </w:r>
          </w:p>
          <w:p>
            <w:pPr>
              <w:rPr>
                <w:color w:val="auto"/>
                <w:szCs w:val="21"/>
              </w:rPr>
            </w:pPr>
            <w:r>
              <w:rPr>
                <w:color w:val="auto"/>
                <w:szCs w:val="21"/>
              </w:rPr>
              <w:t>3、废气事故排放风险及防范措施</w:t>
            </w:r>
          </w:p>
          <w:p>
            <w:pPr>
              <w:ind w:firstLine="420" w:firstLineChars="200"/>
              <w:jc w:val="left"/>
              <w:rPr>
                <w:color w:val="auto"/>
                <w:szCs w:val="21"/>
              </w:rPr>
            </w:pPr>
            <w:r>
              <w:rPr>
                <w:color w:val="auto"/>
                <w:szCs w:val="21"/>
              </w:rPr>
              <w:t>（1）对操作人员进行岗位培训，严格按操作规程进行操作，严禁违章作业。</w:t>
            </w:r>
          </w:p>
          <w:p>
            <w:pPr>
              <w:ind w:firstLine="420" w:firstLineChars="200"/>
              <w:jc w:val="left"/>
              <w:rPr>
                <w:color w:val="auto"/>
                <w:szCs w:val="21"/>
              </w:rPr>
            </w:pPr>
            <w:r>
              <w:rPr>
                <w:color w:val="auto"/>
                <w:szCs w:val="21"/>
              </w:rPr>
              <w:t>（2）设立废气治理设备的管理台账，并严格落实运行。安排专人对废气处理设施设施进行巡查、管理和维护，定期更换活性炭，确保废气处理设施的收集、处理效率，避免故障或事故发生。</w:t>
            </w:r>
          </w:p>
          <w:p>
            <w:pPr>
              <w:ind w:firstLine="420" w:firstLineChars="200"/>
              <w:jc w:val="left"/>
              <w:rPr>
                <w:color w:val="auto"/>
                <w:szCs w:val="21"/>
              </w:rPr>
            </w:pPr>
            <w:r>
              <w:rPr>
                <w:color w:val="auto"/>
                <w:szCs w:val="21"/>
              </w:rPr>
              <w:t>（3）一旦发现废气处理设施出现异常，应迅速停止使用，关闭阀门，停止生产，禁止废气、废水未经处理外排。随后应马上安排维修人员排查故障。待事故顺利解决后方可继续生产。</w:t>
            </w:r>
          </w:p>
          <w:p>
            <w:pPr>
              <w:pStyle w:val="2"/>
              <w:ind w:left="0" w:leftChars="0" w:firstLine="0" w:firstLineChars="0"/>
              <w:rPr>
                <w:rFonts w:ascii="Times New Roman"/>
                <w:color w:val="auto"/>
                <w:sz w:val="21"/>
                <w:szCs w:val="21"/>
              </w:rPr>
            </w:pPr>
            <w:r>
              <w:rPr>
                <w:rFonts w:ascii="Times New Roman"/>
                <w:color w:val="auto"/>
                <w:sz w:val="21"/>
                <w:szCs w:val="21"/>
              </w:rPr>
              <w:t>4、废水事故排放预防措施</w:t>
            </w:r>
          </w:p>
          <w:p>
            <w:pPr>
              <w:pStyle w:val="2"/>
              <w:spacing w:after="0"/>
              <w:ind w:left="0" w:leftChars="0"/>
              <w:rPr>
                <w:rFonts w:ascii="Times New Roman"/>
                <w:color w:val="auto"/>
                <w:sz w:val="21"/>
                <w:szCs w:val="21"/>
              </w:rPr>
            </w:pPr>
            <w:r>
              <w:rPr>
                <w:rFonts w:ascii="Times New Roman"/>
                <w:color w:val="auto"/>
                <w:sz w:val="21"/>
                <w:szCs w:val="21"/>
              </w:rPr>
              <w:t>（1）提高事故缓冲能力</w:t>
            </w:r>
          </w:p>
          <w:p>
            <w:pPr>
              <w:pStyle w:val="2"/>
              <w:spacing w:after="0"/>
              <w:ind w:left="0" w:leftChars="0"/>
              <w:rPr>
                <w:rFonts w:ascii="Times New Roman"/>
                <w:color w:val="auto"/>
                <w:sz w:val="21"/>
                <w:szCs w:val="21"/>
              </w:rPr>
            </w:pPr>
            <w:r>
              <w:rPr>
                <w:rFonts w:ascii="Times New Roman"/>
                <w:color w:val="auto"/>
                <w:sz w:val="21"/>
                <w:szCs w:val="21"/>
              </w:rPr>
              <w:t>为了保证事故状态下迅速恢复处理工程的正常运行，主要水工构筑物必须留有足够的缓冲余地，并配备相应的处理设备（如回流泵、回流管道、仪表及阀门等）。</w:t>
            </w:r>
          </w:p>
          <w:p>
            <w:pPr>
              <w:ind w:firstLine="420" w:firstLineChars="200"/>
              <w:jc w:val="left"/>
              <w:rPr>
                <w:color w:val="auto"/>
                <w:szCs w:val="21"/>
              </w:rPr>
            </w:pPr>
            <w:r>
              <w:rPr>
                <w:color w:val="auto"/>
                <w:szCs w:val="21"/>
              </w:rPr>
              <w:t>（2）安排专人对沉淀池、</w:t>
            </w:r>
            <w:r>
              <w:rPr>
                <w:color w:val="auto"/>
                <w:kern w:val="0"/>
                <w:szCs w:val="21"/>
              </w:rPr>
              <w:t>三级化粪池</w:t>
            </w:r>
            <w:r>
              <w:rPr>
                <w:color w:val="auto"/>
                <w:szCs w:val="21"/>
              </w:rPr>
              <w:t>管道、阀门等进行巡查、管理和维护，防止污水跑、冒、滴、漏。管网要设计合适的承压能力，防止因压力而爆裂，造成污水横流。确保废水处理设施的状态和处理效率，避免故障或事故发生。</w:t>
            </w:r>
          </w:p>
          <w:p>
            <w:pPr>
              <w:ind w:firstLine="420" w:firstLineChars="200"/>
              <w:jc w:val="left"/>
              <w:rPr>
                <w:color w:val="auto"/>
                <w:szCs w:val="21"/>
              </w:rPr>
            </w:pPr>
            <w:r>
              <w:rPr>
                <w:color w:val="auto"/>
                <w:szCs w:val="21"/>
              </w:rPr>
              <w:t>（3）一旦发现沉淀池和</w:t>
            </w:r>
            <w:r>
              <w:rPr>
                <w:color w:val="auto"/>
                <w:kern w:val="0"/>
                <w:szCs w:val="21"/>
              </w:rPr>
              <w:t>三级化粪池</w:t>
            </w:r>
            <w:r>
              <w:rPr>
                <w:color w:val="auto"/>
                <w:szCs w:val="21"/>
              </w:rPr>
              <w:t>出现异常，应迅速停止使用，关闭阀门，停止生产，禁止废水未经处理外排。随后应马上安排维修人员排查故障。待事故顺利解决后方可继续使用。</w:t>
            </w:r>
          </w:p>
          <w:p>
            <w:pPr>
              <w:ind w:firstLine="420" w:firstLineChars="200"/>
              <w:jc w:val="left"/>
              <w:rPr>
                <w:color w:val="auto"/>
                <w:szCs w:val="21"/>
              </w:rPr>
            </w:pPr>
            <w:r>
              <w:rPr>
                <w:color w:val="auto"/>
                <w:szCs w:val="21"/>
              </w:rPr>
              <w:t>（4）加强事故苗头监控</w:t>
            </w:r>
          </w:p>
          <w:p>
            <w:pPr>
              <w:ind w:firstLine="420" w:firstLineChars="200"/>
              <w:jc w:val="left"/>
              <w:rPr>
                <w:color w:val="auto"/>
                <w:szCs w:val="21"/>
              </w:rPr>
            </w:pPr>
            <w:r>
              <w:rPr>
                <w:color w:val="auto"/>
                <w:szCs w:val="21"/>
              </w:rPr>
              <w:t>主要操作人员上岗前严格进行理论和实际操作培训，使其可及时发现有可能引起的事故异常运行苗头。</w:t>
            </w:r>
          </w:p>
          <w:p>
            <w:pPr>
              <w:ind w:firstLine="420" w:firstLineChars="200"/>
              <w:jc w:val="left"/>
              <w:rPr>
                <w:color w:val="auto"/>
                <w:szCs w:val="21"/>
              </w:rPr>
            </w:pPr>
            <w:r>
              <w:rPr>
                <w:color w:val="auto"/>
                <w:szCs w:val="21"/>
              </w:rPr>
              <w:t>（5）消防废水的收集</w:t>
            </w:r>
          </w:p>
          <w:p>
            <w:pPr>
              <w:ind w:firstLine="420" w:firstLineChars="200"/>
              <w:jc w:val="left"/>
              <w:rPr>
                <w:color w:val="auto"/>
                <w:szCs w:val="21"/>
              </w:rPr>
            </w:pPr>
            <w:r>
              <w:rPr>
                <w:color w:val="auto"/>
                <w:szCs w:val="21"/>
              </w:rPr>
              <w:t>为将消防废水收集、导流、拦截在企业厂区内，避免事故状态下消防尾水流入附近地表水体，企业需设置事故应急池。</w:t>
            </w:r>
          </w:p>
        </w:tc>
      </w:tr>
      <w:tr>
        <w:tblPrEx>
          <w:tblCellMar>
            <w:top w:w="56" w:type="dxa"/>
            <w:left w:w="108" w:type="dxa"/>
            <w:bottom w:w="0" w:type="dxa"/>
            <w:right w:w="2" w:type="dxa"/>
          </w:tblCellMar>
        </w:tblPrEx>
        <w:trPr>
          <w:trHeight w:val="397" w:hRule="atLeast"/>
        </w:trPr>
        <w:tc>
          <w:tcPr>
            <w:tcW w:w="8993" w:type="dxa"/>
            <w:gridSpan w:val="5"/>
            <w:tcBorders>
              <w:top w:val="single" w:color="000000" w:sz="4" w:space="0"/>
              <w:left w:val="single" w:color="000000" w:sz="4" w:space="0"/>
              <w:bottom w:val="single" w:color="000000" w:sz="4" w:space="0"/>
              <w:right w:val="single" w:color="000000" w:sz="4" w:space="0"/>
            </w:tcBorders>
            <w:shd w:val="clear" w:color="auto" w:fill="auto"/>
          </w:tcPr>
          <w:p>
            <w:pPr>
              <w:spacing w:after="33"/>
              <w:rPr>
                <w:color w:val="auto"/>
                <w:szCs w:val="21"/>
              </w:rPr>
            </w:pPr>
            <w:r>
              <w:rPr>
                <w:color w:val="auto"/>
                <w:szCs w:val="21"/>
              </w:rPr>
              <w:t xml:space="preserve">填表说明（列出项目相关信息及评价说明）： </w:t>
            </w:r>
          </w:p>
          <w:p>
            <w:pPr>
              <w:ind w:firstLine="480"/>
              <w:rPr>
                <w:color w:val="auto"/>
                <w:szCs w:val="21"/>
              </w:rPr>
            </w:pPr>
            <w:r>
              <w:rPr>
                <w:color w:val="auto"/>
                <w:szCs w:val="21"/>
              </w:rPr>
              <w:t xml:space="preserve">本项目环境风险主要来源于项目各风险物质的泄漏、废水废气的事故性排放及火灾、爆炸及其伴生/次生污染物排放对环境造成的危害。为了防范环境风险，建设单位加强环境风险管理，在厂区内做好防火措施，加强各池体、储罐、管道和环保设备的检查和维护，建立应急行动规章，可有效将环境风险降到较低水平。 </w:t>
            </w:r>
          </w:p>
        </w:tc>
      </w:tr>
    </w:tbl>
    <w:p>
      <w:pPr>
        <w:spacing w:line="360" w:lineRule="auto"/>
        <w:outlineLvl w:val="1"/>
        <w:rPr>
          <w:b/>
          <w:color w:val="auto"/>
          <w:sz w:val="32"/>
          <w:szCs w:val="32"/>
        </w:rPr>
      </w:pPr>
      <w:bookmarkStart w:id="2675" w:name="_Toc8197"/>
      <w:bookmarkStart w:id="2676" w:name="_Toc14094"/>
      <w:r>
        <w:rPr>
          <w:rFonts w:hint="eastAsia"/>
          <w:b/>
          <w:color w:val="auto"/>
          <w:sz w:val="32"/>
          <w:szCs w:val="32"/>
        </w:rPr>
        <w:t>7.10  环境风险评价自查表</w:t>
      </w:r>
      <w:bookmarkEnd w:id="2675"/>
      <w:bookmarkEnd w:id="2676"/>
    </w:p>
    <w:p>
      <w:pPr>
        <w:spacing w:line="360" w:lineRule="auto"/>
        <w:ind w:firstLine="480" w:firstLineChars="200"/>
        <w:rPr>
          <w:color w:val="auto"/>
          <w:sz w:val="24"/>
        </w:rPr>
      </w:pPr>
      <w:r>
        <w:rPr>
          <w:color w:val="auto"/>
          <w:sz w:val="24"/>
        </w:rPr>
        <w:t>根据《建设项目环境风险评价技术导则》（HJ 169－2018），环境风险评价完成后，应对环境风险主要内容与结论进行自查。详见下表。</w:t>
      </w:r>
    </w:p>
    <w:p>
      <w:pPr>
        <w:spacing w:line="360" w:lineRule="auto"/>
        <w:jc w:val="center"/>
        <w:rPr>
          <w:b/>
          <w:bCs/>
          <w:color w:val="auto"/>
          <w:kern w:val="0"/>
          <w:szCs w:val="21"/>
        </w:rPr>
      </w:pPr>
      <w:r>
        <w:rPr>
          <w:b/>
          <w:bCs/>
          <w:color w:val="auto"/>
          <w:kern w:val="0"/>
          <w:szCs w:val="21"/>
        </w:rPr>
        <w:t>表</w:t>
      </w:r>
      <w:r>
        <w:rPr>
          <w:rFonts w:hint="eastAsia"/>
          <w:b/>
          <w:bCs/>
          <w:color w:val="auto"/>
          <w:kern w:val="0"/>
          <w:szCs w:val="21"/>
        </w:rPr>
        <w:t xml:space="preserve">7.10-1 </w:t>
      </w:r>
      <w:r>
        <w:rPr>
          <w:b/>
          <w:bCs/>
          <w:color w:val="auto"/>
          <w:kern w:val="0"/>
          <w:szCs w:val="21"/>
        </w:rPr>
        <w:t xml:space="preserve"> 环境风险评价自查表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173"/>
        <w:gridCol w:w="915"/>
        <w:gridCol w:w="368"/>
        <w:gridCol w:w="379"/>
        <w:gridCol w:w="442"/>
        <w:gridCol w:w="499"/>
        <w:gridCol w:w="549"/>
        <w:gridCol w:w="748"/>
        <w:gridCol w:w="10"/>
        <w:gridCol w:w="917"/>
        <w:gridCol w:w="12"/>
        <w:gridCol w:w="549"/>
        <w:gridCol w:w="13"/>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tcBorders>
              <w:tl2br w:val="nil"/>
              <w:tr2bl w:val="nil"/>
            </w:tcBorders>
            <w:vAlign w:val="center"/>
          </w:tcPr>
          <w:p>
            <w:pPr>
              <w:jc w:val="center"/>
              <w:rPr>
                <w:color w:val="auto"/>
                <w:sz w:val="18"/>
                <w:szCs w:val="18"/>
              </w:rPr>
            </w:pPr>
            <w:r>
              <w:rPr>
                <w:color w:val="auto"/>
                <w:sz w:val="18"/>
                <w:szCs w:val="18"/>
              </w:rPr>
              <w:t>工作内容</w:t>
            </w:r>
          </w:p>
        </w:tc>
        <w:tc>
          <w:tcPr>
            <w:tcW w:w="6874" w:type="dxa"/>
            <w:gridSpan w:val="13"/>
            <w:tcBorders>
              <w:tl2br w:val="nil"/>
              <w:tr2bl w:val="nil"/>
            </w:tcBorders>
            <w:vAlign w:val="center"/>
          </w:tcPr>
          <w:p>
            <w:pPr>
              <w:jc w:val="center"/>
              <w:rPr>
                <w:color w:val="auto"/>
                <w:sz w:val="18"/>
                <w:szCs w:val="18"/>
              </w:rPr>
            </w:pPr>
            <w:r>
              <w:rPr>
                <w:color w:val="auto"/>
                <w:sz w:val="18"/>
                <w:szCs w:val="18"/>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901" w:type="dxa"/>
            <w:vMerge w:val="restart"/>
            <w:tcBorders>
              <w:tl2br w:val="nil"/>
              <w:tr2bl w:val="nil"/>
            </w:tcBorders>
            <w:vAlign w:val="center"/>
          </w:tcPr>
          <w:p>
            <w:pPr>
              <w:jc w:val="center"/>
              <w:rPr>
                <w:color w:val="auto"/>
                <w:sz w:val="18"/>
                <w:szCs w:val="18"/>
              </w:rPr>
            </w:pPr>
            <w:r>
              <w:rPr>
                <w:color w:val="auto"/>
                <w:sz w:val="18"/>
                <w:szCs w:val="18"/>
              </w:rPr>
              <w:t>风险调查</w:t>
            </w:r>
          </w:p>
        </w:tc>
        <w:tc>
          <w:tcPr>
            <w:tcW w:w="1173" w:type="dxa"/>
            <w:vMerge w:val="restart"/>
            <w:tcBorders>
              <w:tl2br w:val="nil"/>
              <w:tr2bl w:val="nil"/>
            </w:tcBorders>
            <w:vAlign w:val="center"/>
          </w:tcPr>
          <w:p>
            <w:pPr>
              <w:jc w:val="center"/>
              <w:rPr>
                <w:color w:val="auto"/>
                <w:sz w:val="18"/>
                <w:szCs w:val="18"/>
              </w:rPr>
            </w:pPr>
            <w:r>
              <w:rPr>
                <w:color w:val="auto"/>
                <w:sz w:val="18"/>
                <w:szCs w:val="18"/>
              </w:rPr>
              <w:t>危险物质</w:t>
            </w:r>
          </w:p>
        </w:tc>
        <w:tc>
          <w:tcPr>
            <w:tcW w:w="915" w:type="dxa"/>
            <w:tcBorders>
              <w:tl2br w:val="nil"/>
              <w:tr2bl w:val="nil"/>
            </w:tcBorders>
            <w:vAlign w:val="center"/>
          </w:tcPr>
          <w:p>
            <w:pPr>
              <w:jc w:val="center"/>
              <w:rPr>
                <w:color w:val="auto"/>
                <w:sz w:val="18"/>
                <w:szCs w:val="18"/>
              </w:rPr>
            </w:pPr>
            <w:r>
              <w:rPr>
                <w:color w:val="auto"/>
                <w:sz w:val="18"/>
                <w:szCs w:val="18"/>
              </w:rPr>
              <w:t>名称</w:t>
            </w:r>
          </w:p>
        </w:tc>
        <w:tc>
          <w:tcPr>
            <w:tcW w:w="5959" w:type="dxa"/>
            <w:gridSpan w:val="12"/>
            <w:tcBorders>
              <w:tl2br w:val="nil"/>
              <w:tr2bl w:val="nil"/>
            </w:tcBorders>
            <w:vAlign w:val="center"/>
          </w:tcPr>
          <w:p>
            <w:pPr>
              <w:jc w:val="center"/>
              <w:rPr>
                <w:color w:val="auto"/>
                <w:sz w:val="18"/>
                <w:szCs w:val="18"/>
              </w:rPr>
            </w:pPr>
            <w:r>
              <w:rPr>
                <w:bCs/>
                <w:color w:val="auto"/>
                <w:kern w:val="0"/>
                <w:sz w:val="18"/>
                <w:szCs w:val="18"/>
                <w:lang w:bidi="ar"/>
              </w:rPr>
              <w:t>石油沥青、软化油、</w:t>
            </w:r>
            <w:r>
              <w:rPr>
                <w:bCs/>
                <w:color w:val="auto"/>
                <w:sz w:val="18"/>
                <w:szCs w:val="18"/>
              </w:rPr>
              <w:t>导热油、</w:t>
            </w:r>
            <w:r>
              <w:rPr>
                <w:rFonts w:hint="eastAsia"/>
                <w:bCs/>
                <w:color w:val="auto"/>
                <w:sz w:val="18"/>
                <w:szCs w:val="18"/>
              </w:rPr>
              <w:t>润滑油</w:t>
            </w:r>
            <w:r>
              <w:rPr>
                <w:bCs/>
                <w:color w:val="auto"/>
                <w:sz w:val="18"/>
                <w:szCs w:val="18"/>
              </w:rPr>
              <w:t>、</w:t>
            </w:r>
            <w:r>
              <w:rPr>
                <w:rFonts w:hint="eastAsia"/>
                <w:bCs/>
                <w:color w:val="auto"/>
                <w:kern w:val="0"/>
                <w:sz w:val="18"/>
                <w:szCs w:val="18"/>
                <w:lang w:bidi="ar"/>
              </w:rPr>
              <w:t>废矿物油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tcBorders>
              <w:tl2br w:val="nil"/>
              <w:tr2bl w:val="nil"/>
            </w:tcBorders>
            <w:vAlign w:val="center"/>
          </w:tcPr>
          <w:p>
            <w:pPr>
              <w:jc w:val="center"/>
              <w:rPr>
                <w:color w:val="auto"/>
                <w:sz w:val="18"/>
                <w:szCs w:val="18"/>
              </w:rPr>
            </w:pPr>
            <w:r>
              <w:rPr>
                <w:color w:val="auto"/>
                <w:sz w:val="18"/>
                <w:szCs w:val="18"/>
              </w:rPr>
              <w:t>存在总量/t</w:t>
            </w:r>
          </w:p>
        </w:tc>
        <w:tc>
          <w:tcPr>
            <w:tcW w:w="5959" w:type="dxa"/>
            <w:gridSpan w:val="12"/>
            <w:tcBorders>
              <w:tl2br w:val="nil"/>
              <w:tr2bl w:val="nil"/>
            </w:tcBorders>
            <w:vAlign w:val="center"/>
          </w:tcPr>
          <w:p>
            <w:pPr>
              <w:jc w:val="center"/>
              <w:rPr>
                <w:color w:val="auto"/>
                <w:sz w:val="18"/>
                <w:szCs w:val="18"/>
              </w:rPr>
            </w:pPr>
            <w:r>
              <w:rPr>
                <w:rFonts w:hint="eastAsia"/>
                <w:color w:val="auto"/>
                <w:sz w:val="18"/>
                <w:szCs w:val="18"/>
              </w:rPr>
              <w:t>111.12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901" w:type="dxa"/>
            <w:vMerge w:val="continue"/>
            <w:tcBorders>
              <w:tl2br w:val="nil"/>
              <w:tr2bl w:val="nil"/>
            </w:tcBorders>
            <w:vAlign w:val="center"/>
          </w:tcPr>
          <w:p>
            <w:pPr>
              <w:jc w:val="center"/>
              <w:rPr>
                <w:color w:val="auto"/>
                <w:sz w:val="18"/>
                <w:szCs w:val="18"/>
              </w:rPr>
            </w:pPr>
          </w:p>
        </w:tc>
        <w:tc>
          <w:tcPr>
            <w:tcW w:w="1173" w:type="dxa"/>
            <w:vMerge w:val="restart"/>
            <w:tcBorders>
              <w:tl2br w:val="nil"/>
              <w:tr2bl w:val="nil"/>
            </w:tcBorders>
            <w:vAlign w:val="center"/>
          </w:tcPr>
          <w:p>
            <w:pPr>
              <w:jc w:val="center"/>
              <w:rPr>
                <w:color w:val="auto"/>
                <w:sz w:val="18"/>
                <w:szCs w:val="18"/>
              </w:rPr>
            </w:pPr>
            <w:r>
              <w:rPr>
                <w:color w:val="auto"/>
                <w:sz w:val="18"/>
                <w:szCs w:val="18"/>
              </w:rPr>
              <w:t>环境敏感性</w:t>
            </w:r>
          </w:p>
        </w:tc>
        <w:tc>
          <w:tcPr>
            <w:tcW w:w="915" w:type="dxa"/>
            <w:vMerge w:val="restart"/>
            <w:tcBorders>
              <w:tl2br w:val="nil"/>
              <w:tr2bl w:val="nil"/>
            </w:tcBorders>
            <w:vAlign w:val="center"/>
          </w:tcPr>
          <w:p>
            <w:pPr>
              <w:jc w:val="center"/>
              <w:rPr>
                <w:color w:val="auto"/>
                <w:sz w:val="18"/>
                <w:szCs w:val="18"/>
              </w:rPr>
            </w:pPr>
            <w:r>
              <w:rPr>
                <w:color w:val="auto"/>
                <w:sz w:val="18"/>
                <w:szCs w:val="18"/>
              </w:rPr>
              <w:t>大气</w:t>
            </w:r>
          </w:p>
        </w:tc>
        <w:tc>
          <w:tcPr>
            <w:tcW w:w="2985" w:type="dxa"/>
            <w:gridSpan w:val="6"/>
            <w:tcBorders>
              <w:tl2br w:val="nil"/>
              <w:tr2bl w:val="nil"/>
            </w:tcBorders>
            <w:vAlign w:val="center"/>
          </w:tcPr>
          <w:p>
            <w:pPr>
              <w:jc w:val="center"/>
              <w:rPr>
                <w:color w:val="auto"/>
                <w:sz w:val="18"/>
                <w:szCs w:val="18"/>
              </w:rPr>
            </w:pPr>
            <w:r>
              <w:rPr>
                <w:color w:val="auto"/>
                <w:sz w:val="18"/>
                <w:szCs w:val="18"/>
              </w:rPr>
              <w:t>500m范围内人口数</w:t>
            </w:r>
            <w:r>
              <w:rPr>
                <w:color w:val="auto"/>
                <w:sz w:val="18"/>
                <w:szCs w:val="18"/>
                <w:u w:val="single"/>
              </w:rPr>
              <w:t xml:space="preserve">  </w:t>
            </w:r>
            <w:r>
              <w:rPr>
                <w:rFonts w:hint="eastAsia"/>
                <w:color w:val="auto"/>
                <w:sz w:val="18"/>
                <w:szCs w:val="18"/>
                <w:u w:val="single"/>
              </w:rPr>
              <w:t>0</w:t>
            </w:r>
            <w:r>
              <w:rPr>
                <w:color w:val="auto"/>
                <w:sz w:val="18"/>
                <w:szCs w:val="18"/>
                <w:u w:val="single"/>
              </w:rPr>
              <w:t xml:space="preserve">  </w:t>
            </w:r>
            <w:r>
              <w:rPr>
                <w:color w:val="auto"/>
                <w:sz w:val="18"/>
                <w:szCs w:val="18"/>
              </w:rPr>
              <w:t>人</w:t>
            </w:r>
          </w:p>
        </w:tc>
        <w:tc>
          <w:tcPr>
            <w:tcW w:w="2974" w:type="dxa"/>
            <w:gridSpan w:val="6"/>
            <w:tcBorders>
              <w:tl2br w:val="nil"/>
              <w:tr2bl w:val="nil"/>
            </w:tcBorders>
            <w:vAlign w:val="center"/>
          </w:tcPr>
          <w:p>
            <w:pPr>
              <w:jc w:val="center"/>
              <w:rPr>
                <w:color w:val="auto"/>
                <w:sz w:val="18"/>
                <w:szCs w:val="18"/>
              </w:rPr>
            </w:pPr>
            <w:r>
              <w:rPr>
                <w:color w:val="auto"/>
                <w:sz w:val="18"/>
                <w:szCs w:val="18"/>
              </w:rPr>
              <w:t>5km范围内人口数</w:t>
            </w:r>
            <w:r>
              <w:rPr>
                <w:color w:val="auto"/>
                <w:sz w:val="18"/>
                <w:szCs w:val="18"/>
                <w:u w:val="single"/>
              </w:rPr>
              <w:t xml:space="preserve">  </w:t>
            </w:r>
            <w:r>
              <w:rPr>
                <w:rFonts w:hint="eastAsia"/>
                <w:color w:val="auto"/>
                <w:sz w:val="18"/>
                <w:szCs w:val="18"/>
                <w:u w:val="single"/>
              </w:rPr>
              <w:t>12650</w:t>
            </w:r>
            <w:r>
              <w:rPr>
                <w:color w:val="auto"/>
                <w:sz w:val="18"/>
                <w:szCs w:val="18"/>
                <w:u w:val="single"/>
              </w:rPr>
              <w:t xml:space="preserve">  </w:t>
            </w:r>
            <w:r>
              <w:rPr>
                <w:color w:val="auto"/>
                <w:sz w:val="18"/>
                <w:szCs w:val="18"/>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vMerge w:val="continue"/>
            <w:tcBorders>
              <w:tl2br w:val="nil"/>
              <w:tr2bl w:val="nil"/>
            </w:tcBorders>
            <w:vAlign w:val="center"/>
          </w:tcPr>
          <w:p>
            <w:pPr>
              <w:jc w:val="center"/>
              <w:rPr>
                <w:color w:val="auto"/>
                <w:sz w:val="18"/>
                <w:szCs w:val="18"/>
              </w:rPr>
            </w:pPr>
          </w:p>
        </w:tc>
        <w:tc>
          <w:tcPr>
            <w:tcW w:w="4473" w:type="dxa"/>
            <w:gridSpan w:val="10"/>
            <w:tcBorders>
              <w:tl2br w:val="nil"/>
              <w:tr2bl w:val="nil"/>
            </w:tcBorders>
            <w:vAlign w:val="center"/>
          </w:tcPr>
          <w:p>
            <w:pPr>
              <w:jc w:val="center"/>
              <w:rPr>
                <w:color w:val="auto"/>
                <w:sz w:val="18"/>
                <w:szCs w:val="18"/>
              </w:rPr>
            </w:pPr>
            <w:r>
              <w:rPr>
                <w:color w:val="auto"/>
                <w:sz w:val="18"/>
                <w:szCs w:val="18"/>
              </w:rPr>
              <w:t>每公里管段周边200m范围内人口数（最大）</w:t>
            </w:r>
          </w:p>
        </w:tc>
        <w:tc>
          <w:tcPr>
            <w:tcW w:w="1486" w:type="dxa"/>
            <w:gridSpan w:val="2"/>
            <w:tcBorders>
              <w:tl2br w:val="nil"/>
              <w:tr2bl w:val="nil"/>
            </w:tcBorders>
            <w:vAlign w:val="center"/>
          </w:tcPr>
          <w:p>
            <w:pPr>
              <w:jc w:val="center"/>
              <w:rPr>
                <w:color w:val="auto"/>
                <w:sz w:val="18"/>
                <w:szCs w:val="18"/>
              </w:rPr>
            </w:pPr>
            <w:r>
              <w:rPr>
                <w:color w:val="auto"/>
                <w:sz w:val="18"/>
                <w:szCs w:val="18"/>
              </w:rPr>
              <w:t>_______人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vMerge w:val="restart"/>
            <w:tcBorders>
              <w:tl2br w:val="nil"/>
              <w:tr2bl w:val="nil"/>
            </w:tcBorders>
            <w:vAlign w:val="center"/>
          </w:tcPr>
          <w:p>
            <w:pPr>
              <w:jc w:val="center"/>
              <w:rPr>
                <w:color w:val="auto"/>
                <w:sz w:val="18"/>
                <w:szCs w:val="18"/>
              </w:rPr>
            </w:pPr>
            <w:r>
              <w:rPr>
                <w:color w:val="auto"/>
                <w:sz w:val="18"/>
                <w:szCs w:val="18"/>
              </w:rPr>
              <w:t>地表水</w:t>
            </w:r>
          </w:p>
        </w:tc>
        <w:tc>
          <w:tcPr>
            <w:tcW w:w="1688" w:type="dxa"/>
            <w:gridSpan w:val="4"/>
            <w:tcBorders>
              <w:tl2br w:val="nil"/>
              <w:tr2bl w:val="nil"/>
            </w:tcBorders>
            <w:vAlign w:val="center"/>
          </w:tcPr>
          <w:p>
            <w:pPr>
              <w:jc w:val="center"/>
              <w:rPr>
                <w:color w:val="auto"/>
                <w:sz w:val="18"/>
                <w:szCs w:val="18"/>
              </w:rPr>
            </w:pPr>
            <w:r>
              <w:rPr>
                <w:color w:val="auto"/>
                <w:sz w:val="18"/>
                <w:szCs w:val="18"/>
              </w:rPr>
              <w:t>地表水功能敏感性</w:t>
            </w:r>
          </w:p>
        </w:tc>
        <w:tc>
          <w:tcPr>
            <w:tcW w:w="1297" w:type="dxa"/>
            <w:gridSpan w:val="2"/>
            <w:tcBorders>
              <w:tl2br w:val="nil"/>
              <w:tr2bl w:val="nil"/>
            </w:tcBorders>
            <w:vAlign w:val="center"/>
          </w:tcPr>
          <w:p>
            <w:pPr>
              <w:jc w:val="center"/>
              <w:rPr>
                <w:color w:val="auto"/>
                <w:sz w:val="18"/>
                <w:szCs w:val="18"/>
              </w:rPr>
            </w:pPr>
            <w:r>
              <w:rPr>
                <w:color w:val="auto"/>
                <w:sz w:val="18"/>
                <w:szCs w:val="18"/>
              </w:rPr>
              <w:t>F1□</w:t>
            </w:r>
          </w:p>
        </w:tc>
        <w:tc>
          <w:tcPr>
            <w:tcW w:w="1488" w:type="dxa"/>
            <w:gridSpan w:val="4"/>
            <w:tcBorders>
              <w:tl2br w:val="nil"/>
              <w:tr2bl w:val="nil"/>
            </w:tcBorders>
            <w:vAlign w:val="center"/>
          </w:tcPr>
          <w:p>
            <w:pPr>
              <w:jc w:val="center"/>
              <w:rPr>
                <w:color w:val="auto"/>
                <w:sz w:val="18"/>
                <w:szCs w:val="18"/>
              </w:rPr>
            </w:pPr>
            <w:r>
              <w:rPr>
                <w:color w:val="auto"/>
                <w:sz w:val="18"/>
                <w:szCs w:val="18"/>
              </w:rPr>
              <w:t>F2□</w:t>
            </w:r>
          </w:p>
        </w:tc>
        <w:tc>
          <w:tcPr>
            <w:tcW w:w="1486" w:type="dxa"/>
            <w:gridSpan w:val="2"/>
            <w:tcBorders>
              <w:tl2br w:val="nil"/>
              <w:tr2bl w:val="nil"/>
            </w:tcBorders>
            <w:vAlign w:val="center"/>
          </w:tcPr>
          <w:p>
            <w:pPr>
              <w:jc w:val="center"/>
              <w:rPr>
                <w:color w:val="auto"/>
                <w:sz w:val="18"/>
                <w:szCs w:val="18"/>
              </w:rPr>
            </w:pPr>
            <w:r>
              <w:rPr>
                <w:color w:val="auto"/>
                <w:sz w:val="18"/>
                <w:szCs w:val="18"/>
              </w:rPr>
              <w:t>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vMerge w:val="continue"/>
            <w:tcBorders>
              <w:tl2br w:val="nil"/>
              <w:tr2bl w:val="nil"/>
            </w:tcBorders>
            <w:vAlign w:val="center"/>
          </w:tcPr>
          <w:p>
            <w:pPr>
              <w:jc w:val="center"/>
              <w:rPr>
                <w:color w:val="auto"/>
                <w:sz w:val="18"/>
                <w:szCs w:val="18"/>
              </w:rPr>
            </w:pPr>
          </w:p>
        </w:tc>
        <w:tc>
          <w:tcPr>
            <w:tcW w:w="1688" w:type="dxa"/>
            <w:gridSpan w:val="4"/>
            <w:tcBorders>
              <w:tl2br w:val="nil"/>
              <w:tr2bl w:val="nil"/>
            </w:tcBorders>
            <w:vAlign w:val="center"/>
          </w:tcPr>
          <w:p>
            <w:pPr>
              <w:jc w:val="center"/>
              <w:rPr>
                <w:color w:val="auto"/>
                <w:sz w:val="18"/>
                <w:szCs w:val="18"/>
              </w:rPr>
            </w:pPr>
            <w:r>
              <w:rPr>
                <w:color w:val="auto"/>
                <w:sz w:val="18"/>
                <w:szCs w:val="18"/>
              </w:rPr>
              <w:t>环境敏感目标分级</w:t>
            </w:r>
          </w:p>
        </w:tc>
        <w:tc>
          <w:tcPr>
            <w:tcW w:w="1297" w:type="dxa"/>
            <w:gridSpan w:val="2"/>
            <w:tcBorders>
              <w:tl2br w:val="nil"/>
              <w:tr2bl w:val="nil"/>
            </w:tcBorders>
            <w:vAlign w:val="center"/>
          </w:tcPr>
          <w:p>
            <w:pPr>
              <w:jc w:val="center"/>
              <w:rPr>
                <w:color w:val="auto"/>
                <w:sz w:val="18"/>
                <w:szCs w:val="18"/>
              </w:rPr>
            </w:pPr>
            <w:r>
              <w:rPr>
                <w:color w:val="auto"/>
                <w:sz w:val="18"/>
                <w:szCs w:val="18"/>
              </w:rPr>
              <w:t>S1□</w:t>
            </w:r>
          </w:p>
        </w:tc>
        <w:tc>
          <w:tcPr>
            <w:tcW w:w="1488" w:type="dxa"/>
            <w:gridSpan w:val="4"/>
            <w:tcBorders>
              <w:tl2br w:val="nil"/>
              <w:tr2bl w:val="nil"/>
            </w:tcBorders>
            <w:vAlign w:val="center"/>
          </w:tcPr>
          <w:p>
            <w:pPr>
              <w:jc w:val="center"/>
              <w:rPr>
                <w:color w:val="auto"/>
                <w:sz w:val="18"/>
                <w:szCs w:val="18"/>
              </w:rPr>
            </w:pPr>
            <w:r>
              <w:rPr>
                <w:color w:val="auto"/>
                <w:sz w:val="18"/>
                <w:szCs w:val="18"/>
              </w:rPr>
              <w:t>S2□</w:t>
            </w:r>
          </w:p>
        </w:tc>
        <w:tc>
          <w:tcPr>
            <w:tcW w:w="1486" w:type="dxa"/>
            <w:gridSpan w:val="2"/>
            <w:tcBorders>
              <w:tl2br w:val="nil"/>
              <w:tr2bl w:val="nil"/>
            </w:tcBorders>
            <w:vAlign w:val="center"/>
          </w:tcPr>
          <w:p>
            <w:pPr>
              <w:jc w:val="center"/>
              <w:rPr>
                <w:color w:val="auto"/>
                <w:sz w:val="18"/>
                <w:szCs w:val="18"/>
              </w:rPr>
            </w:pPr>
            <w:r>
              <w:rPr>
                <w:color w:val="auto"/>
                <w:sz w:val="18"/>
                <w:szCs w:val="18"/>
              </w:rPr>
              <w:t>S3□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vMerge w:val="restart"/>
            <w:tcBorders>
              <w:tl2br w:val="nil"/>
              <w:tr2bl w:val="nil"/>
            </w:tcBorders>
            <w:vAlign w:val="center"/>
          </w:tcPr>
          <w:p>
            <w:pPr>
              <w:jc w:val="center"/>
              <w:rPr>
                <w:color w:val="auto"/>
                <w:sz w:val="18"/>
                <w:szCs w:val="18"/>
              </w:rPr>
            </w:pPr>
            <w:r>
              <w:rPr>
                <w:color w:val="auto"/>
                <w:sz w:val="18"/>
                <w:szCs w:val="18"/>
              </w:rPr>
              <w:t>地下水</w:t>
            </w:r>
          </w:p>
        </w:tc>
        <w:tc>
          <w:tcPr>
            <w:tcW w:w="1688" w:type="dxa"/>
            <w:gridSpan w:val="4"/>
            <w:tcBorders>
              <w:tl2br w:val="nil"/>
              <w:tr2bl w:val="nil"/>
            </w:tcBorders>
            <w:vAlign w:val="center"/>
          </w:tcPr>
          <w:p>
            <w:pPr>
              <w:jc w:val="center"/>
              <w:rPr>
                <w:color w:val="auto"/>
                <w:sz w:val="18"/>
                <w:szCs w:val="18"/>
              </w:rPr>
            </w:pPr>
            <w:r>
              <w:rPr>
                <w:color w:val="auto"/>
                <w:sz w:val="18"/>
                <w:szCs w:val="18"/>
              </w:rPr>
              <w:t>地下水功能敏感性</w:t>
            </w:r>
          </w:p>
        </w:tc>
        <w:tc>
          <w:tcPr>
            <w:tcW w:w="1297" w:type="dxa"/>
            <w:gridSpan w:val="2"/>
            <w:tcBorders>
              <w:tl2br w:val="nil"/>
              <w:tr2bl w:val="nil"/>
            </w:tcBorders>
            <w:vAlign w:val="center"/>
          </w:tcPr>
          <w:p>
            <w:pPr>
              <w:jc w:val="center"/>
              <w:rPr>
                <w:color w:val="auto"/>
                <w:sz w:val="18"/>
                <w:szCs w:val="18"/>
              </w:rPr>
            </w:pPr>
            <w:r>
              <w:rPr>
                <w:color w:val="auto"/>
                <w:sz w:val="18"/>
                <w:szCs w:val="18"/>
              </w:rPr>
              <w:t>G1□</w:t>
            </w:r>
          </w:p>
        </w:tc>
        <w:tc>
          <w:tcPr>
            <w:tcW w:w="1488" w:type="dxa"/>
            <w:gridSpan w:val="4"/>
            <w:tcBorders>
              <w:tl2br w:val="nil"/>
              <w:tr2bl w:val="nil"/>
            </w:tcBorders>
            <w:vAlign w:val="center"/>
          </w:tcPr>
          <w:p>
            <w:pPr>
              <w:jc w:val="center"/>
              <w:rPr>
                <w:color w:val="auto"/>
                <w:sz w:val="18"/>
                <w:szCs w:val="18"/>
              </w:rPr>
            </w:pPr>
            <w:r>
              <w:rPr>
                <w:color w:val="auto"/>
                <w:sz w:val="18"/>
                <w:szCs w:val="18"/>
              </w:rPr>
              <w:t>G2□</w:t>
            </w:r>
          </w:p>
        </w:tc>
        <w:tc>
          <w:tcPr>
            <w:tcW w:w="1486" w:type="dxa"/>
            <w:gridSpan w:val="2"/>
            <w:tcBorders>
              <w:tl2br w:val="nil"/>
              <w:tr2bl w:val="nil"/>
            </w:tcBorders>
            <w:vAlign w:val="center"/>
          </w:tcPr>
          <w:p>
            <w:pPr>
              <w:jc w:val="center"/>
              <w:rPr>
                <w:color w:val="auto"/>
                <w:sz w:val="18"/>
                <w:szCs w:val="18"/>
              </w:rPr>
            </w:pPr>
            <w:r>
              <w:rPr>
                <w:color w:val="auto"/>
                <w:sz w:val="18"/>
                <w:szCs w:val="18"/>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915" w:type="dxa"/>
            <w:vMerge w:val="continue"/>
            <w:tcBorders>
              <w:tl2br w:val="nil"/>
              <w:tr2bl w:val="nil"/>
            </w:tcBorders>
            <w:vAlign w:val="center"/>
          </w:tcPr>
          <w:p>
            <w:pPr>
              <w:jc w:val="center"/>
              <w:rPr>
                <w:color w:val="auto"/>
                <w:sz w:val="18"/>
                <w:szCs w:val="18"/>
              </w:rPr>
            </w:pPr>
          </w:p>
        </w:tc>
        <w:tc>
          <w:tcPr>
            <w:tcW w:w="1688" w:type="dxa"/>
            <w:gridSpan w:val="4"/>
            <w:tcBorders>
              <w:tl2br w:val="nil"/>
              <w:tr2bl w:val="nil"/>
            </w:tcBorders>
            <w:vAlign w:val="center"/>
          </w:tcPr>
          <w:p>
            <w:pPr>
              <w:jc w:val="center"/>
              <w:rPr>
                <w:color w:val="auto"/>
                <w:sz w:val="18"/>
                <w:szCs w:val="18"/>
              </w:rPr>
            </w:pPr>
            <w:r>
              <w:rPr>
                <w:color w:val="auto"/>
                <w:sz w:val="18"/>
                <w:szCs w:val="18"/>
              </w:rPr>
              <w:t>包气带防污性能</w:t>
            </w:r>
          </w:p>
        </w:tc>
        <w:tc>
          <w:tcPr>
            <w:tcW w:w="1297" w:type="dxa"/>
            <w:gridSpan w:val="2"/>
            <w:tcBorders>
              <w:tl2br w:val="nil"/>
              <w:tr2bl w:val="nil"/>
            </w:tcBorders>
            <w:vAlign w:val="center"/>
          </w:tcPr>
          <w:p>
            <w:pPr>
              <w:jc w:val="center"/>
              <w:rPr>
                <w:color w:val="auto"/>
                <w:sz w:val="18"/>
                <w:szCs w:val="18"/>
              </w:rPr>
            </w:pPr>
            <w:r>
              <w:rPr>
                <w:color w:val="auto"/>
                <w:sz w:val="18"/>
                <w:szCs w:val="18"/>
              </w:rPr>
              <w:t>D1□</w:t>
            </w:r>
          </w:p>
        </w:tc>
        <w:tc>
          <w:tcPr>
            <w:tcW w:w="1488" w:type="dxa"/>
            <w:gridSpan w:val="4"/>
            <w:tcBorders>
              <w:tl2br w:val="nil"/>
              <w:tr2bl w:val="nil"/>
            </w:tcBorders>
            <w:vAlign w:val="center"/>
          </w:tcPr>
          <w:p>
            <w:pPr>
              <w:jc w:val="center"/>
              <w:rPr>
                <w:color w:val="auto"/>
                <w:sz w:val="18"/>
                <w:szCs w:val="18"/>
              </w:rPr>
            </w:pPr>
            <w:r>
              <w:rPr>
                <w:color w:val="auto"/>
                <w:sz w:val="18"/>
                <w:szCs w:val="18"/>
              </w:rPr>
              <w:t>D2□</w:t>
            </w:r>
          </w:p>
        </w:tc>
        <w:tc>
          <w:tcPr>
            <w:tcW w:w="1486" w:type="dxa"/>
            <w:gridSpan w:val="2"/>
            <w:tcBorders>
              <w:tl2br w:val="nil"/>
              <w:tr2bl w:val="nil"/>
            </w:tcBorders>
            <w:vAlign w:val="center"/>
          </w:tcPr>
          <w:p>
            <w:pPr>
              <w:jc w:val="center"/>
              <w:rPr>
                <w:color w:val="auto"/>
                <w:sz w:val="18"/>
                <w:szCs w:val="18"/>
              </w:rPr>
            </w:pPr>
            <w:r>
              <w:rPr>
                <w:color w:val="auto"/>
                <w:sz w:val="18"/>
                <w:szCs w:val="18"/>
              </w:rPr>
              <w:t>D3□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restart"/>
            <w:tcBorders>
              <w:tl2br w:val="nil"/>
              <w:tr2bl w:val="nil"/>
            </w:tcBorders>
            <w:vAlign w:val="center"/>
          </w:tcPr>
          <w:p>
            <w:pPr>
              <w:jc w:val="center"/>
              <w:rPr>
                <w:color w:val="auto"/>
                <w:sz w:val="18"/>
                <w:szCs w:val="18"/>
              </w:rPr>
            </w:pPr>
            <w:r>
              <w:rPr>
                <w:color w:val="auto"/>
                <w:sz w:val="18"/>
                <w:szCs w:val="18"/>
              </w:rPr>
              <w:t>物质及工艺系统危险性</w:t>
            </w:r>
          </w:p>
        </w:tc>
        <w:tc>
          <w:tcPr>
            <w:tcW w:w="915" w:type="dxa"/>
            <w:tcBorders>
              <w:tl2br w:val="nil"/>
              <w:tr2bl w:val="nil"/>
            </w:tcBorders>
            <w:vAlign w:val="center"/>
          </w:tcPr>
          <w:p>
            <w:pPr>
              <w:jc w:val="center"/>
              <w:rPr>
                <w:color w:val="auto"/>
                <w:sz w:val="18"/>
                <w:szCs w:val="18"/>
              </w:rPr>
            </w:pPr>
            <w:r>
              <w:rPr>
                <w:color w:val="auto"/>
                <w:sz w:val="18"/>
                <w:szCs w:val="18"/>
              </w:rPr>
              <w:t>Q值</w:t>
            </w:r>
          </w:p>
        </w:tc>
        <w:tc>
          <w:tcPr>
            <w:tcW w:w="1688" w:type="dxa"/>
            <w:gridSpan w:val="4"/>
            <w:tcBorders>
              <w:tl2br w:val="nil"/>
              <w:tr2bl w:val="nil"/>
            </w:tcBorders>
            <w:vAlign w:val="center"/>
          </w:tcPr>
          <w:p>
            <w:pPr>
              <w:jc w:val="center"/>
              <w:rPr>
                <w:color w:val="auto"/>
                <w:sz w:val="18"/>
                <w:szCs w:val="18"/>
              </w:rPr>
            </w:pPr>
            <w:r>
              <w:rPr>
                <w:color w:val="auto"/>
                <w:sz w:val="18"/>
                <w:szCs w:val="18"/>
              </w:rPr>
              <w:t>Q＜1☑</w:t>
            </w:r>
          </w:p>
        </w:tc>
        <w:tc>
          <w:tcPr>
            <w:tcW w:w="1297" w:type="dxa"/>
            <w:gridSpan w:val="2"/>
            <w:tcBorders>
              <w:tl2br w:val="nil"/>
              <w:tr2bl w:val="nil"/>
            </w:tcBorders>
            <w:vAlign w:val="center"/>
          </w:tcPr>
          <w:p>
            <w:pPr>
              <w:jc w:val="center"/>
              <w:rPr>
                <w:color w:val="auto"/>
                <w:sz w:val="18"/>
                <w:szCs w:val="18"/>
              </w:rPr>
            </w:pPr>
            <w:r>
              <w:rPr>
                <w:color w:val="auto"/>
                <w:sz w:val="18"/>
                <w:szCs w:val="18"/>
              </w:rPr>
              <w:t>1≤Q＜10□</w:t>
            </w:r>
          </w:p>
        </w:tc>
        <w:tc>
          <w:tcPr>
            <w:tcW w:w="1488" w:type="dxa"/>
            <w:gridSpan w:val="4"/>
            <w:tcBorders>
              <w:tl2br w:val="nil"/>
              <w:tr2bl w:val="nil"/>
            </w:tcBorders>
            <w:vAlign w:val="center"/>
          </w:tcPr>
          <w:p>
            <w:pPr>
              <w:jc w:val="center"/>
              <w:rPr>
                <w:color w:val="auto"/>
                <w:sz w:val="18"/>
                <w:szCs w:val="18"/>
              </w:rPr>
            </w:pPr>
            <w:r>
              <w:rPr>
                <w:color w:val="auto"/>
                <w:sz w:val="18"/>
                <w:szCs w:val="18"/>
              </w:rPr>
              <w:t>10≤Q＜100□</w:t>
            </w:r>
          </w:p>
        </w:tc>
        <w:tc>
          <w:tcPr>
            <w:tcW w:w="1486" w:type="dxa"/>
            <w:gridSpan w:val="2"/>
            <w:tcBorders>
              <w:tl2br w:val="nil"/>
              <w:tr2bl w:val="nil"/>
            </w:tcBorders>
            <w:vAlign w:val="center"/>
          </w:tcPr>
          <w:p>
            <w:pPr>
              <w:jc w:val="center"/>
              <w:rPr>
                <w:color w:val="auto"/>
                <w:sz w:val="18"/>
                <w:szCs w:val="18"/>
              </w:rPr>
            </w:pPr>
            <w:r>
              <w:rPr>
                <w:color w:val="auto"/>
                <w:sz w:val="18"/>
                <w:szCs w:val="18"/>
              </w:rPr>
              <w:t>Q＞100□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continue"/>
            <w:tcBorders>
              <w:tl2br w:val="nil"/>
              <w:tr2bl w:val="nil"/>
            </w:tcBorders>
            <w:vAlign w:val="center"/>
          </w:tcPr>
          <w:p>
            <w:pPr>
              <w:jc w:val="center"/>
              <w:rPr>
                <w:color w:val="auto"/>
                <w:sz w:val="18"/>
                <w:szCs w:val="18"/>
              </w:rPr>
            </w:pPr>
          </w:p>
        </w:tc>
        <w:tc>
          <w:tcPr>
            <w:tcW w:w="915" w:type="dxa"/>
            <w:tcBorders>
              <w:tl2br w:val="nil"/>
              <w:tr2bl w:val="nil"/>
            </w:tcBorders>
            <w:vAlign w:val="center"/>
          </w:tcPr>
          <w:p>
            <w:pPr>
              <w:jc w:val="center"/>
              <w:rPr>
                <w:color w:val="auto"/>
                <w:sz w:val="18"/>
                <w:szCs w:val="18"/>
              </w:rPr>
            </w:pPr>
            <w:r>
              <w:rPr>
                <w:color w:val="auto"/>
                <w:sz w:val="18"/>
                <w:szCs w:val="18"/>
              </w:rPr>
              <w:t>M值</w:t>
            </w:r>
          </w:p>
        </w:tc>
        <w:tc>
          <w:tcPr>
            <w:tcW w:w="1688" w:type="dxa"/>
            <w:gridSpan w:val="4"/>
            <w:tcBorders>
              <w:tl2br w:val="nil"/>
              <w:tr2bl w:val="nil"/>
            </w:tcBorders>
            <w:vAlign w:val="center"/>
          </w:tcPr>
          <w:p>
            <w:pPr>
              <w:jc w:val="center"/>
              <w:rPr>
                <w:color w:val="auto"/>
                <w:sz w:val="18"/>
                <w:szCs w:val="18"/>
              </w:rPr>
            </w:pPr>
            <w:r>
              <w:rPr>
                <w:color w:val="auto"/>
                <w:sz w:val="18"/>
                <w:szCs w:val="18"/>
              </w:rPr>
              <w:t>M1□</w:t>
            </w:r>
          </w:p>
        </w:tc>
        <w:tc>
          <w:tcPr>
            <w:tcW w:w="1297" w:type="dxa"/>
            <w:gridSpan w:val="2"/>
            <w:tcBorders>
              <w:tl2br w:val="nil"/>
              <w:tr2bl w:val="nil"/>
            </w:tcBorders>
            <w:vAlign w:val="center"/>
          </w:tcPr>
          <w:p>
            <w:pPr>
              <w:jc w:val="center"/>
              <w:rPr>
                <w:color w:val="auto"/>
                <w:sz w:val="18"/>
                <w:szCs w:val="18"/>
              </w:rPr>
            </w:pPr>
            <w:r>
              <w:rPr>
                <w:color w:val="auto"/>
                <w:sz w:val="18"/>
                <w:szCs w:val="18"/>
              </w:rPr>
              <w:t>M2□</w:t>
            </w:r>
          </w:p>
        </w:tc>
        <w:tc>
          <w:tcPr>
            <w:tcW w:w="1488" w:type="dxa"/>
            <w:gridSpan w:val="4"/>
            <w:tcBorders>
              <w:tl2br w:val="nil"/>
              <w:tr2bl w:val="nil"/>
            </w:tcBorders>
            <w:vAlign w:val="center"/>
          </w:tcPr>
          <w:p>
            <w:pPr>
              <w:jc w:val="center"/>
              <w:rPr>
                <w:color w:val="auto"/>
                <w:sz w:val="18"/>
                <w:szCs w:val="18"/>
              </w:rPr>
            </w:pPr>
            <w:r>
              <w:rPr>
                <w:color w:val="auto"/>
                <w:sz w:val="18"/>
                <w:szCs w:val="18"/>
              </w:rPr>
              <w:t>M3□</w:t>
            </w:r>
          </w:p>
        </w:tc>
        <w:tc>
          <w:tcPr>
            <w:tcW w:w="1486" w:type="dxa"/>
            <w:gridSpan w:val="2"/>
            <w:tcBorders>
              <w:tl2br w:val="nil"/>
              <w:tr2bl w:val="nil"/>
            </w:tcBorders>
            <w:vAlign w:val="center"/>
          </w:tcPr>
          <w:p>
            <w:pPr>
              <w:jc w:val="center"/>
              <w:rPr>
                <w:color w:val="auto"/>
                <w:sz w:val="18"/>
                <w:szCs w:val="18"/>
              </w:rPr>
            </w:pPr>
            <w:r>
              <w:rPr>
                <w:color w:val="auto"/>
                <w:sz w:val="18"/>
                <w:szCs w:val="18"/>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continue"/>
            <w:tcBorders>
              <w:tl2br w:val="nil"/>
              <w:tr2bl w:val="nil"/>
            </w:tcBorders>
            <w:vAlign w:val="center"/>
          </w:tcPr>
          <w:p>
            <w:pPr>
              <w:jc w:val="center"/>
              <w:rPr>
                <w:color w:val="auto"/>
                <w:sz w:val="18"/>
                <w:szCs w:val="18"/>
              </w:rPr>
            </w:pPr>
          </w:p>
        </w:tc>
        <w:tc>
          <w:tcPr>
            <w:tcW w:w="915" w:type="dxa"/>
            <w:tcBorders>
              <w:tl2br w:val="nil"/>
              <w:tr2bl w:val="nil"/>
            </w:tcBorders>
            <w:vAlign w:val="center"/>
          </w:tcPr>
          <w:p>
            <w:pPr>
              <w:jc w:val="center"/>
              <w:rPr>
                <w:color w:val="auto"/>
                <w:sz w:val="18"/>
                <w:szCs w:val="18"/>
              </w:rPr>
            </w:pPr>
            <w:r>
              <w:rPr>
                <w:color w:val="auto"/>
                <w:sz w:val="18"/>
                <w:szCs w:val="18"/>
              </w:rPr>
              <w:t>P值</w:t>
            </w:r>
          </w:p>
        </w:tc>
        <w:tc>
          <w:tcPr>
            <w:tcW w:w="1688" w:type="dxa"/>
            <w:gridSpan w:val="4"/>
            <w:tcBorders>
              <w:tl2br w:val="nil"/>
              <w:tr2bl w:val="nil"/>
            </w:tcBorders>
            <w:vAlign w:val="center"/>
          </w:tcPr>
          <w:p>
            <w:pPr>
              <w:jc w:val="center"/>
              <w:rPr>
                <w:color w:val="auto"/>
                <w:sz w:val="18"/>
                <w:szCs w:val="18"/>
              </w:rPr>
            </w:pPr>
            <w:r>
              <w:rPr>
                <w:color w:val="auto"/>
                <w:sz w:val="18"/>
                <w:szCs w:val="18"/>
              </w:rPr>
              <w:t>P1□</w:t>
            </w:r>
          </w:p>
        </w:tc>
        <w:tc>
          <w:tcPr>
            <w:tcW w:w="1297" w:type="dxa"/>
            <w:gridSpan w:val="2"/>
            <w:tcBorders>
              <w:tl2br w:val="nil"/>
              <w:tr2bl w:val="nil"/>
            </w:tcBorders>
            <w:vAlign w:val="center"/>
          </w:tcPr>
          <w:p>
            <w:pPr>
              <w:jc w:val="center"/>
              <w:rPr>
                <w:color w:val="auto"/>
                <w:sz w:val="18"/>
                <w:szCs w:val="18"/>
              </w:rPr>
            </w:pPr>
            <w:r>
              <w:rPr>
                <w:color w:val="auto"/>
                <w:sz w:val="18"/>
                <w:szCs w:val="18"/>
              </w:rPr>
              <w:t>P2□</w:t>
            </w:r>
          </w:p>
        </w:tc>
        <w:tc>
          <w:tcPr>
            <w:tcW w:w="1488" w:type="dxa"/>
            <w:gridSpan w:val="4"/>
            <w:tcBorders>
              <w:tl2br w:val="nil"/>
              <w:tr2bl w:val="nil"/>
            </w:tcBorders>
            <w:vAlign w:val="center"/>
          </w:tcPr>
          <w:p>
            <w:pPr>
              <w:jc w:val="center"/>
              <w:rPr>
                <w:color w:val="auto"/>
                <w:sz w:val="18"/>
                <w:szCs w:val="18"/>
              </w:rPr>
            </w:pPr>
            <w:r>
              <w:rPr>
                <w:color w:val="auto"/>
                <w:sz w:val="18"/>
                <w:szCs w:val="18"/>
              </w:rPr>
              <w:t>P3□</w:t>
            </w:r>
          </w:p>
        </w:tc>
        <w:tc>
          <w:tcPr>
            <w:tcW w:w="1486" w:type="dxa"/>
            <w:gridSpan w:val="2"/>
            <w:tcBorders>
              <w:tl2br w:val="nil"/>
              <w:tr2bl w:val="nil"/>
            </w:tcBorders>
            <w:vAlign w:val="center"/>
          </w:tcPr>
          <w:p>
            <w:pPr>
              <w:jc w:val="center"/>
              <w:rPr>
                <w:color w:val="auto"/>
                <w:sz w:val="18"/>
                <w:szCs w:val="18"/>
              </w:rPr>
            </w:pPr>
            <w:r>
              <w:rPr>
                <w:color w:val="auto"/>
                <w:sz w:val="18"/>
                <w:szCs w:val="18"/>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restart"/>
            <w:tcBorders>
              <w:tl2br w:val="nil"/>
              <w:tr2bl w:val="nil"/>
            </w:tcBorders>
            <w:vAlign w:val="center"/>
          </w:tcPr>
          <w:p>
            <w:pPr>
              <w:jc w:val="center"/>
              <w:rPr>
                <w:color w:val="auto"/>
                <w:sz w:val="18"/>
                <w:szCs w:val="18"/>
              </w:rPr>
            </w:pPr>
            <w:r>
              <w:rPr>
                <w:color w:val="auto"/>
                <w:sz w:val="18"/>
                <w:szCs w:val="18"/>
              </w:rPr>
              <w:t>环境敏感程度</w:t>
            </w:r>
          </w:p>
        </w:tc>
        <w:tc>
          <w:tcPr>
            <w:tcW w:w="1662" w:type="dxa"/>
            <w:gridSpan w:val="3"/>
            <w:tcBorders>
              <w:tl2br w:val="nil"/>
              <w:tr2bl w:val="nil"/>
            </w:tcBorders>
            <w:vAlign w:val="center"/>
          </w:tcPr>
          <w:p>
            <w:pPr>
              <w:jc w:val="center"/>
              <w:rPr>
                <w:color w:val="auto"/>
                <w:sz w:val="18"/>
                <w:szCs w:val="18"/>
              </w:rPr>
            </w:pPr>
            <w:r>
              <w:rPr>
                <w:color w:val="auto"/>
                <w:sz w:val="18"/>
                <w:szCs w:val="18"/>
              </w:rPr>
              <w:t>大气</w:t>
            </w:r>
          </w:p>
        </w:tc>
        <w:tc>
          <w:tcPr>
            <w:tcW w:w="1490" w:type="dxa"/>
            <w:gridSpan w:val="3"/>
            <w:tcBorders>
              <w:tl2br w:val="nil"/>
              <w:tr2bl w:val="nil"/>
            </w:tcBorders>
            <w:vAlign w:val="center"/>
          </w:tcPr>
          <w:p>
            <w:pPr>
              <w:jc w:val="center"/>
              <w:rPr>
                <w:color w:val="auto"/>
                <w:sz w:val="18"/>
                <w:szCs w:val="18"/>
              </w:rPr>
            </w:pPr>
            <w:r>
              <w:rPr>
                <w:color w:val="auto"/>
                <w:sz w:val="18"/>
                <w:szCs w:val="18"/>
              </w:rPr>
              <w:t>E1□</w:t>
            </w:r>
          </w:p>
        </w:tc>
        <w:tc>
          <w:tcPr>
            <w:tcW w:w="1675" w:type="dxa"/>
            <w:gridSpan w:val="3"/>
            <w:tcBorders>
              <w:tl2br w:val="nil"/>
              <w:tr2bl w:val="nil"/>
            </w:tcBorders>
            <w:vAlign w:val="center"/>
          </w:tcPr>
          <w:p>
            <w:pPr>
              <w:jc w:val="center"/>
              <w:rPr>
                <w:color w:val="auto"/>
                <w:sz w:val="18"/>
                <w:szCs w:val="18"/>
              </w:rPr>
            </w:pPr>
            <w:r>
              <w:rPr>
                <w:color w:val="auto"/>
                <w:sz w:val="18"/>
                <w:szCs w:val="18"/>
              </w:rPr>
              <w:t>E2□</w:t>
            </w:r>
          </w:p>
        </w:tc>
        <w:tc>
          <w:tcPr>
            <w:tcW w:w="2047" w:type="dxa"/>
            <w:gridSpan w:val="4"/>
            <w:tcBorders>
              <w:tl2br w:val="nil"/>
              <w:tr2bl w:val="nil"/>
            </w:tcBorders>
            <w:vAlign w:val="center"/>
          </w:tcPr>
          <w:p>
            <w:pPr>
              <w:jc w:val="center"/>
              <w:rPr>
                <w:color w:val="auto"/>
                <w:sz w:val="18"/>
                <w:szCs w:val="18"/>
              </w:rPr>
            </w:pPr>
            <w:r>
              <w:rPr>
                <w:color w:val="auto"/>
                <w:sz w:val="18"/>
                <w:szCs w:val="18"/>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continue"/>
            <w:tcBorders>
              <w:tl2br w:val="nil"/>
              <w:tr2bl w:val="nil"/>
            </w:tcBorders>
            <w:vAlign w:val="center"/>
          </w:tcPr>
          <w:p>
            <w:pPr>
              <w:jc w:val="center"/>
              <w:rPr>
                <w:color w:val="auto"/>
                <w:sz w:val="18"/>
                <w:szCs w:val="18"/>
              </w:rPr>
            </w:pPr>
          </w:p>
        </w:tc>
        <w:tc>
          <w:tcPr>
            <w:tcW w:w="1662" w:type="dxa"/>
            <w:gridSpan w:val="3"/>
            <w:tcBorders>
              <w:tl2br w:val="nil"/>
              <w:tr2bl w:val="nil"/>
            </w:tcBorders>
            <w:vAlign w:val="center"/>
          </w:tcPr>
          <w:p>
            <w:pPr>
              <w:jc w:val="center"/>
              <w:rPr>
                <w:color w:val="auto"/>
                <w:sz w:val="18"/>
                <w:szCs w:val="18"/>
              </w:rPr>
            </w:pPr>
            <w:r>
              <w:rPr>
                <w:color w:val="auto"/>
                <w:sz w:val="18"/>
                <w:szCs w:val="18"/>
              </w:rPr>
              <w:t>地表水</w:t>
            </w:r>
          </w:p>
        </w:tc>
        <w:tc>
          <w:tcPr>
            <w:tcW w:w="1490" w:type="dxa"/>
            <w:gridSpan w:val="3"/>
            <w:tcBorders>
              <w:tl2br w:val="nil"/>
              <w:tr2bl w:val="nil"/>
            </w:tcBorders>
            <w:vAlign w:val="center"/>
          </w:tcPr>
          <w:p>
            <w:pPr>
              <w:jc w:val="center"/>
              <w:rPr>
                <w:color w:val="auto"/>
                <w:sz w:val="18"/>
                <w:szCs w:val="18"/>
              </w:rPr>
            </w:pPr>
            <w:r>
              <w:rPr>
                <w:color w:val="auto"/>
                <w:sz w:val="18"/>
                <w:szCs w:val="18"/>
              </w:rPr>
              <w:t>E1□</w:t>
            </w:r>
          </w:p>
        </w:tc>
        <w:tc>
          <w:tcPr>
            <w:tcW w:w="1675" w:type="dxa"/>
            <w:gridSpan w:val="3"/>
            <w:tcBorders>
              <w:tl2br w:val="nil"/>
              <w:tr2bl w:val="nil"/>
            </w:tcBorders>
            <w:vAlign w:val="center"/>
          </w:tcPr>
          <w:p>
            <w:pPr>
              <w:jc w:val="center"/>
              <w:rPr>
                <w:color w:val="auto"/>
                <w:sz w:val="18"/>
                <w:szCs w:val="18"/>
              </w:rPr>
            </w:pPr>
            <w:r>
              <w:rPr>
                <w:color w:val="auto"/>
                <w:sz w:val="18"/>
                <w:szCs w:val="18"/>
              </w:rPr>
              <w:t>E2□</w:t>
            </w:r>
          </w:p>
        </w:tc>
        <w:tc>
          <w:tcPr>
            <w:tcW w:w="2047" w:type="dxa"/>
            <w:gridSpan w:val="4"/>
            <w:tcBorders>
              <w:tl2br w:val="nil"/>
              <w:tr2bl w:val="nil"/>
            </w:tcBorders>
            <w:vAlign w:val="center"/>
          </w:tcPr>
          <w:p>
            <w:pPr>
              <w:jc w:val="center"/>
              <w:rPr>
                <w:color w:val="auto"/>
                <w:sz w:val="18"/>
                <w:szCs w:val="18"/>
              </w:rPr>
            </w:pPr>
            <w:r>
              <w:rPr>
                <w:color w:val="auto"/>
                <w:sz w:val="18"/>
                <w:szCs w:val="18"/>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vMerge w:val="continue"/>
            <w:tcBorders>
              <w:tl2br w:val="nil"/>
              <w:tr2bl w:val="nil"/>
            </w:tcBorders>
            <w:vAlign w:val="center"/>
          </w:tcPr>
          <w:p>
            <w:pPr>
              <w:jc w:val="center"/>
              <w:rPr>
                <w:color w:val="auto"/>
                <w:sz w:val="18"/>
                <w:szCs w:val="18"/>
              </w:rPr>
            </w:pPr>
          </w:p>
        </w:tc>
        <w:tc>
          <w:tcPr>
            <w:tcW w:w="1662" w:type="dxa"/>
            <w:gridSpan w:val="3"/>
            <w:tcBorders>
              <w:tl2br w:val="nil"/>
              <w:tr2bl w:val="nil"/>
            </w:tcBorders>
            <w:vAlign w:val="center"/>
          </w:tcPr>
          <w:p>
            <w:pPr>
              <w:jc w:val="center"/>
              <w:rPr>
                <w:color w:val="auto"/>
                <w:sz w:val="18"/>
                <w:szCs w:val="18"/>
              </w:rPr>
            </w:pPr>
            <w:r>
              <w:rPr>
                <w:color w:val="auto"/>
                <w:sz w:val="18"/>
                <w:szCs w:val="18"/>
              </w:rPr>
              <w:t>地下水</w:t>
            </w:r>
          </w:p>
        </w:tc>
        <w:tc>
          <w:tcPr>
            <w:tcW w:w="1490" w:type="dxa"/>
            <w:gridSpan w:val="3"/>
            <w:tcBorders>
              <w:tl2br w:val="nil"/>
              <w:tr2bl w:val="nil"/>
            </w:tcBorders>
            <w:vAlign w:val="center"/>
          </w:tcPr>
          <w:p>
            <w:pPr>
              <w:jc w:val="center"/>
              <w:rPr>
                <w:color w:val="auto"/>
                <w:sz w:val="18"/>
                <w:szCs w:val="18"/>
              </w:rPr>
            </w:pPr>
            <w:r>
              <w:rPr>
                <w:color w:val="auto"/>
                <w:sz w:val="18"/>
                <w:szCs w:val="18"/>
              </w:rPr>
              <w:t>E1□</w:t>
            </w:r>
          </w:p>
        </w:tc>
        <w:tc>
          <w:tcPr>
            <w:tcW w:w="1675" w:type="dxa"/>
            <w:gridSpan w:val="3"/>
            <w:tcBorders>
              <w:tl2br w:val="nil"/>
              <w:tr2bl w:val="nil"/>
            </w:tcBorders>
            <w:vAlign w:val="center"/>
          </w:tcPr>
          <w:p>
            <w:pPr>
              <w:jc w:val="center"/>
              <w:rPr>
                <w:color w:val="auto"/>
                <w:sz w:val="18"/>
                <w:szCs w:val="18"/>
              </w:rPr>
            </w:pPr>
            <w:r>
              <w:rPr>
                <w:color w:val="auto"/>
                <w:sz w:val="18"/>
                <w:szCs w:val="18"/>
              </w:rPr>
              <w:t>E2□</w:t>
            </w:r>
          </w:p>
        </w:tc>
        <w:tc>
          <w:tcPr>
            <w:tcW w:w="2047" w:type="dxa"/>
            <w:gridSpan w:val="4"/>
            <w:tcBorders>
              <w:tl2br w:val="nil"/>
              <w:tr2bl w:val="nil"/>
            </w:tcBorders>
            <w:vAlign w:val="center"/>
          </w:tcPr>
          <w:p>
            <w:pPr>
              <w:jc w:val="center"/>
              <w:rPr>
                <w:color w:val="auto"/>
                <w:sz w:val="18"/>
                <w:szCs w:val="18"/>
              </w:rPr>
            </w:pPr>
            <w:r>
              <w:rPr>
                <w:color w:val="auto"/>
                <w:sz w:val="18"/>
                <w:szCs w:val="18"/>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tcBorders>
              <w:tl2br w:val="nil"/>
              <w:tr2bl w:val="nil"/>
            </w:tcBorders>
            <w:vAlign w:val="center"/>
          </w:tcPr>
          <w:p>
            <w:pPr>
              <w:jc w:val="center"/>
              <w:rPr>
                <w:color w:val="auto"/>
                <w:sz w:val="18"/>
                <w:szCs w:val="18"/>
              </w:rPr>
            </w:pPr>
            <w:r>
              <w:rPr>
                <w:color w:val="auto"/>
                <w:sz w:val="18"/>
                <w:szCs w:val="18"/>
              </w:rPr>
              <w:t>环境风险潜势</w:t>
            </w:r>
          </w:p>
        </w:tc>
        <w:tc>
          <w:tcPr>
            <w:tcW w:w="1283" w:type="dxa"/>
            <w:gridSpan w:val="2"/>
            <w:tcBorders>
              <w:tl2br w:val="nil"/>
              <w:tr2bl w:val="nil"/>
            </w:tcBorders>
            <w:vAlign w:val="center"/>
          </w:tcPr>
          <w:p>
            <w:pPr>
              <w:jc w:val="center"/>
              <w:rPr>
                <w:color w:val="auto"/>
                <w:sz w:val="18"/>
                <w:szCs w:val="18"/>
              </w:rPr>
            </w:pPr>
            <w:r>
              <w:rPr>
                <w:color w:val="auto"/>
                <w:sz w:val="18"/>
                <w:szCs w:val="18"/>
              </w:rPr>
              <w:t>IV</w:t>
            </w:r>
            <w:r>
              <w:rPr>
                <w:color w:val="auto"/>
                <w:sz w:val="18"/>
                <w:szCs w:val="18"/>
                <w:vertAlign w:val="superscript"/>
              </w:rPr>
              <w:t>+</w:t>
            </w:r>
            <w:r>
              <w:rPr>
                <w:color w:val="auto"/>
                <w:sz w:val="18"/>
                <w:szCs w:val="18"/>
              </w:rPr>
              <w:t>□</w:t>
            </w:r>
          </w:p>
        </w:tc>
        <w:tc>
          <w:tcPr>
            <w:tcW w:w="1320" w:type="dxa"/>
            <w:gridSpan w:val="3"/>
            <w:tcBorders>
              <w:tl2br w:val="nil"/>
              <w:tr2bl w:val="nil"/>
            </w:tcBorders>
            <w:vAlign w:val="center"/>
          </w:tcPr>
          <w:p>
            <w:pPr>
              <w:jc w:val="center"/>
              <w:rPr>
                <w:color w:val="auto"/>
                <w:sz w:val="18"/>
                <w:szCs w:val="18"/>
              </w:rPr>
            </w:pPr>
            <w:r>
              <w:rPr>
                <w:color w:val="auto"/>
                <w:sz w:val="18"/>
                <w:szCs w:val="18"/>
              </w:rPr>
              <w:t>IV□</w:t>
            </w:r>
          </w:p>
        </w:tc>
        <w:tc>
          <w:tcPr>
            <w:tcW w:w="1307" w:type="dxa"/>
            <w:gridSpan w:val="3"/>
            <w:tcBorders>
              <w:tl2br w:val="nil"/>
              <w:tr2bl w:val="nil"/>
            </w:tcBorders>
            <w:vAlign w:val="center"/>
          </w:tcPr>
          <w:p>
            <w:pPr>
              <w:jc w:val="center"/>
              <w:rPr>
                <w:color w:val="auto"/>
                <w:sz w:val="18"/>
                <w:szCs w:val="18"/>
              </w:rPr>
            </w:pPr>
            <w:r>
              <w:rPr>
                <w:color w:val="auto"/>
                <w:sz w:val="18"/>
                <w:szCs w:val="18"/>
              </w:rPr>
              <w:t>III□</w:t>
            </w:r>
          </w:p>
        </w:tc>
        <w:tc>
          <w:tcPr>
            <w:tcW w:w="1491" w:type="dxa"/>
            <w:gridSpan w:val="4"/>
            <w:tcBorders>
              <w:tl2br w:val="nil"/>
              <w:tr2bl w:val="nil"/>
            </w:tcBorders>
            <w:vAlign w:val="center"/>
          </w:tcPr>
          <w:p>
            <w:pPr>
              <w:jc w:val="center"/>
              <w:rPr>
                <w:color w:val="auto"/>
                <w:sz w:val="18"/>
                <w:szCs w:val="18"/>
              </w:rPr>
            </w:pPr>
            <w:r>
              <w:rPr>
                <w:color w:val="auto"/>
                <w:sz w:val="18"/>
                <w:szCs w:val="18"/>
              </w:rPr>
              <w:t>II□</w:t>
            </w:r>
          </w:p>
        </w:tc>
        <w:tc>
          <w:tcPr>
            <w:tcW w:w="1473" w:type="dxa"/>
            <w:tcBorders>
              <w:tl2br w:val="nil"/>
              <w:tr2bl w:val="nil"/>
            </w:tcBorders>
            <w:vAlign w:val="center"/>
          </w:tcPr>
          <w:p>
            <w:pPr>
              <w:jc w:val="center"/>
              <w:rPr>
                <w:color w:val="auto"/>
                <w:sz w:val="18"/>
                <w:szCs w:val="18"/>
              </w:rPr>
            </w:pPr>
            <w:r>
              <w:rPr>
                <w:color w:val="auto"/>
                <w:sz w:val="18"/>
                <w:szCs w:val="18"/>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tcBorders>
              <w:tl2br w:val="nil"/>
              <w:tr2bl w:val="nil"/>
            </w:tcBorders>
            <w:vAlign w:val="center"/>
          </w:tcPr>
          <w:p>
            <w:pPr>
              <w:jc w:val="center"/>
              <w:rPr>
                <w:color w:val="auto"/>
                <w:sz w:val="18"/>
                <w:szCs w:val="18"/>
              </w:rPr>
            </w:pPr>
            <w:r>
              <w:rPr>
                <w:color w:val="auto"/>
                <w:sz w:val="18"/>
                <w:szCs w:val="18"/>
              </w:rPr>
              <w:t>评价等级</w:t>
            </w:r>
          </w:p>
        </w:tc>
        <w:tc>
          <w:tcPr>
            <w:tcW w:w="1662" w:type="dxa"/>
            <w:gridSpan w:val="3"/>
            <w:tcBorders>
              <w:tl2br w:val="nil"/>
              <w:tr2bl w:val="nil"/>
            </w:tcBorders>
            <w:vAlign w:val="center"/>
          </w:tcPr>
          <w:p>
            <w:pPr>
              <w:jc w:val="center"/>
              <w:rPr>
                <w:color w:val="auto"/>
                <w:sz w:val="18"/>
                <w:szCs w:val="18"/>
              </w:rPr>
            </w:pPr>
            <w:r>
              <w:rPr>
                <w:color w:val="auto"/>
                <w:sz w:val="18"/>
                <w:szCs w:val="18"/>
              </w:rPr>
              <w:t>一级□</w:t>
            </w:r>
          </w:p>
        </w:tc>
        <w:tc>
          <w:tcPr>
            <w:tcW w:w="1490" w:type="dxa"/>
            <w:gridSpan w:val="3"/>
            <w:tcBorders>
              <w:tl2br w:val="nil"/>
              <w:tr2bl w:val="nil"/>
            </w:tcBorders>
            <w:vAlign w:val="center"/>
          </w:tcPr>
          <w:p>
            <w:pPr>
              <w:jc w:val="center"/>
              <w:rPr>
                <w:color w:val="auto"/>
                <w:sz w:val="18"/>
                <w:szCs w:val="18"/>
              </w:rPr>
            </w:pPr>
            <w:r>
              <w:rPr>
                <w:color w:val="auto"/>
                <w:sz w:val="18"/>
                <w:szCs w:val="18"/>
              </w:rPr>
              <w:t>二级□</w:t>
            </w:r>
          </w:p>
        </w:tc>
        <w:tc>
          <w:tcPr>
            <w:tcW w:w="1675" w:type="dxa"/>
            <w:gridSpan w:val="3"/>
            <w:tcBorders>
              <w:tl2br w:val="nil"/>
              <w:tr2bl w:val="nil"/>
            </w:tcBorders>
            <w:vAlign w:val="center"/>
          </w:tcPr>
          <w:p>
            <w:pPr>
              <w:jc w:val="center"/>
              <w:rPr>
                <w:color w:val="auto"/>
                <w:sz w:val="18"/>
                <w:szCs w:val="18"/>
              </w:rPr>
            </w:pPr>
            <w:r>
              <w:rPr>
                <w:color w:val="auto"/>
                <w:sz w:val="18"/>
                <w:szCs w:val="18"/>
              </w:rPr>
              <w:t>三级□</w:t>
            </w:r>
          </w:p>
        </w:tc>
        <w:tc>
          <w:tcPr>
            <w:tcW w:w="2047" w:type="dxa"/>
            <w:gridSpan w:val="4"/>
            <w:tcBorders>
              <w:tl2br w:val="nil"/>
              <w:tr2bl w:val="nil"/>
            </w:tcBorders>
            <w:vAlign w:val="center"/>
          </w:tcPr>
          <w:p>
            <w:pPr>
              <w:jc w:val="center"/>
              <w:rPr>
                <w:color w:val="auto"/>
                <w:sz w:val="18"/>
                <w:szCs w:val="18"/>
              </w:rPr>
            </w:pPr>
            <w:r>
              <w:rPr>
                <w:color w:val="auto"/>
                <w:sz w:val="18"/>
                <w:szCs w:val="18"/>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vMerge w:val="restart"/>
            <w:tcBorders>
              <w:tl2br w:val="nil"/>
              <w:tr2bl w:val="nil"/>
            </w:tcBorders>
            <w:vAlign w:val="center"/>
          </w:tcPr>
          <w:p>
            <w:pPr>
              <w:jc w:val="center"/>
              <w:rPr>
                <w:color w:val="auto"/>
                <w:sz w:val="18"/>
                <w:szCs w:val="18"/>
              </w:rPr>
            </w:pPr>
            <w:r>
              <w:rPr>
                <w:color w:val="auto"/>
                <w:sz w:val="18"/>
                <w:szCs w:val="18"/>
              </w:rPr>
              <w:t>风险识别</w:t>
            </w:r>
          </w:p>
        </w:tc>
        <w:tc>
          <w:tcPr>
            <w:tcW w:w="1173" w:type="dxa"/>
            <w:tcBorders>
              <w:tl2br w:val="nil"/>
              <w:tr2bl w:val="nil"/>
            </w:tcBorders>
            <w:vAlign w:val="center"/>
          </w:tcPr>
          <w:p>
            <w:pPr>
              <w:jc w:val="center"/>
              <w:rPr>
                <w:color w:val="auto"/>
                <w:sz w:val="18"/>
                <w:szCs w:val="18"/>
              </w:rPr>
            </w:pPr>
            <w:r>
              <w:rPr>
                <w:color w:val="auto"/>
                <w:sz w:val="18"/>
                <w:szCs w:val="18"/>
              </w:rPr>
              <w:t>物质危险性</w:t>
            </w:r>
          </w:p>
        </w:tc>
        <w:tc>
          <w:tcPr>
            <w:tcW w:w="3152" w:type="dxa"/>
            <w:gridSpan w:val="6"/>
            <w:tcBorders>
              <w:tl2br w:val="nil"/>
              <w:tr2bl w:val="nil"/>
            </w:tcBorders>
            <w:vAlign w:val="center"/>
          </w:tcPr>
          <w:p>
            <w:pPr>
              <w:jc w:val="center"/>
              <w:rPr>
                <w:color w:val="auto"/>
                <w:sz w:val="18"/>
                <w:szCs w:val="18"/>
              </w:rPr>
            </w:pPr>
            <w:r>
              <w:rPr>
                <w:color w:val="auto"/>
                <w:sz w:val="18"/>
                <w:szCs w:val="18"/>
              </w:rPr>
              <w:t>有毒有害☑</w:t>
            </w:r>
          </w:p>
        </w:tc>
        <w:tc>
          <w:tcPr>
            <w:tcW w:w="3722" w:type="dxa"/>
            <w:gridSpan w:val="7"/>
            <w:tcBorders>
              <w:tl2br w:val="nil"/>
              <w:tr2bl w:val="nil"/>
            </w:tcBorders>
            <w:vAlign w:val="center"/>
          </w:tcPr>
          <w:p>
            <w:pPr>
              <w:jc w:val="center"/>
              <w:rPr>
                <w:color w:val="auto"/>
                <w:sz w:val="18"/>
                <w:szCs w:val="18"/>
              </w:rPr>
            </w:pPr>
            <w:r>
              <w:rPr>
                <w:color w:val="auto"/>
                <w:sz w:val="18"/>
                <w:szCs w:val="18"/>
              </w:rPr>
              <w:t>易燃易爆☑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vMerge w:val="continue"/>
            <w:tcBorders>
              <w:tl2br w:val="nil"/>
              <w:tr2bl w:val="nil"/>
            </w:tcBorders>
            <w:vAlign w:val="center"/>
          </w:tcPr>
          <w:p>
            <w:pPr>
              <w:jc w:val="center"/>
              <w:rPr>
                <w:color w:val="auto"/>
                <w:sz w:val="18"/>
                <w:szCs w:val="18"/>
              </w:rPr>
            </w:pPr>
          </w:p>
        </w:tc>
        <w:tc>
          <w:tcPr>
            <w:tcW w:w="1173" w:type="dxa"/>
            <w:tcBorders>
              <w:tl2br w:val="nil"/>
              <w:tr2bl w:val="nil"/>
            </w:tcBorders>
            <w:vAlign w:val="center"/>
          </w:tcPr>
          <w:p>
            <w:pPr>
              <w:jc w:val="center"/>
              <w:rPr>
                <w:color w:val="auto"/>
                <w:sz w:val="18"/>
                <w:szCs w:val="18"/>
              </w:rPr>
            </w:pPr>
            <w:r>
              <w:rPr>
                <w:color w:val="auto"/>
                <w:sz w:val="18"/>
                <w:szCs w:val="18"/>
              </w:rPr>
              <w:t>环境风险类型</w:t>
            </w:r>
          </w:p>
        </w:tc>
        <w:tc>
          <w:tcPr>
            <w:tcW w:w="3152" w:type="dxa"/>
            <w:gridSpan w:val="6"/>
            <w:tcBorders>
              <w:tl2br w:val="nil"/>
              <w:tr2bl w:val="nil"/>
            </w:tcBorders>
            <w:vAlign w:val="center"/>
          </w:tcPr>
          <w:p>
            <w:pPr>
              <w:jc w:val="center"/>
              <w:rPr>
                <w:color w:val="auto"/>
                <w:sz w:val="18"/>
                <w:szCs w:val="18"/>
              </w:rPr>
            </w:pPr>
            <w:r>
              <w:rPr>
                <w:color w:val="auto"/>
                <w:sz w:val="18"/>
                <w:szCs w:val="18"/>
              </w:rPr>
              <w:t>泄漏☑</w:t>
            </w:r>
          </w:p>
        </w:tc>
        <w:tc>
          <w:tcPr>
            <w:tcW w:w="3722" w:type="dxa"/>
            <w:gridSpan w:val="7"/>
            <w:tcBorders>
              <w:tl2br w:val="nil"/>
              <w:tr2bl w:val="nil"/>
            </w:tcBorders>
            <w:vAlign w:val="center"/>
          </w:tcPr>
          <w:p>
            <w:pPr>
              <w:jc w:val="center"/>
              <w:rPr>
                <w:color w:val="auto"/>
                <w:sz w:val="18"/>
                <w:szCs w:val="18"/>
              </w:rPr>
            </w:pPr>
            <w:r>
              <w:rPr>
                <w:color w:val="auto"/>
                <w:sz w:val="18"/>
                <w:szCs w:val="18"/>
              </w:rPr>
              <w:t>火灾、爆炸引发伴生/次生污染物排放☑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vMerge w:val="continue"/>
            <w:tcBorders>
              <w:tl2br w:val="nil"/>
              <w:tr2bl w:val="nil"/>
            </w:tcBorders>
            <w:vAlign w:val="center"/>
          </w:tcPr>
          <w:p>
            <w:pPr>
              <w:jc w:val="center"/>
              <w:rPr>
                <w:color w:val="auto"/>
                <w:sz w:val="18"/>
                <w:szCs w:val="18"/>
              </w:rPr>
            </w:pPr>
          </w:p>
        </w:tc>
        <w:tc>
          <w:tcPr>
            <w:tcW w:w="1173" w:type="dxa"/>
            <w:tcBorders>
              <w:tl2br w:val="nil"/>
              <w:tr2bl w:val="nil"/>
            </w:tcBorders>
            <w:vAlign w:val="center"/>
          </w:tcPr>
          <w:p>
            <w:pPr>
              <w:jc w:val="center"/>
              <w:rPr>
                <w:color w:val="auto"/>
                <w:sz w:val="18"/>
                <w:szCs w:val="18"/>
              </w:rPr>
            </w:pPr>
            <w:r>
              <w:rPr>
                <w:color w:val="auto"/>
                <w:sz w:val="18"/>
                <w:szCs w:val="18"/>
              </w:rPr>
              <w:t>影响途径</w:t>
            </w:r>
          </w:p>
        </w:tc>
        <w:tc>
          <w:tcPr>
            <w:tcW w:w="2104" w:type="dxa"/>
            <w:gridSpan w:val="4"/>
            <w:tcBorders>
              <w:tl2br w:val="nil"/>
              <w:tr2bl w:val="nil"/>
            </w:tcBorders>
            <w:vAlign w:val="center"/>
          </w:tcPr>
          <w:p>
            <w:pPr>
              <w:jc w:val="center"/>
              <w:rPr>
                <w:color w:val="auto"/>
                <w:sz w:val="18"/>
                <w:szCs w:val="18"/>
              </w:rPr>
            </w:pPr>
            <w:r>
              <w:rPr>
                <w:color w:val="auto"/>
                <w:sz w:val="18"/>
                <w:szCs w:val="18"/>
              </w:rPr>
              <w:t>大气☑</w:t>
            </w:r>
          </w:p>
        </w:tc>
        <w:tc>
          <w:tcPr>
            <w:tcW w:w="2735" w:type="dxa"/>
            <w:gridSpan w:val="6"/>
            <w:tcBorders>
              <w:tl2br w:val="nil"/>
              <w:tr2bl w:val="nil"/>
            </w:tcBorders>
            <w:vAlign w:val="center"/>
          </w:tcPr>
          <w:p>
            <w:pPr>
              <w:jc w:val="center"/>
              <w:rPr>
                <w:color w:val="auto"/>
                <w:sz w:val="18"/>
                <w:szCs w:val="18"/>
              </w:rPr>
            </w:pPr>
            <w:r>
              <w:rPr>
                <w:color w:val="auto"/>
                <w:sz w:val="18"/>
                <w:szCs w:val="18"/>
              </w:rPr>
              <w:t>地表水☑</w:t>
            </w:r>
          </w:p>
        </w:tc>
        <w:tc>
          <w:tcPr>
            <w:tcW w:w="2035" w:type="dxa"/>
            <w:gridSpan w:val="3"/>
            <w:tcBorders>
              <w:tl2br w:val="nil"/>
              <w:tr2bl w:val="nil"/>
            </w:tcBorders>
            <w:vAlign w:val="center"/>
          </w:tcPr>
          <w:p>
            <w:pPr>
              <w:jc w:val="center"/>
              <w:rPr>
                <w:color w:val="auto"/>
                <w:sz w:val="18"/>
                <w:szCs w:val="18"/>
              </w:rPr>
            </w:pPr>
            <w:r>
              <w:rPr>
                <w:color w:val="auto"/>
                <w:sz w:val="18"/>
                <w:szCs w:val="18"/>
              </w:rPr>
              <w:t>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gridSpan w:val="2"/>
            <w:tcBorders>
              <w:tl2br w:val="nil"/>
              <w:tr2bl w:val="nil"/>
            </w:tcBorders>
            <w:vAlign w:val="center"/>
          </w:tcPr>
          <w:p>
            <w:pPr>
              <w:jc w:val="center"/>
              <w:rPr>
                <w:color w:val="auto"/>
                <w:sz w:val="18"/>
                <w:szCs w:val="18"/>
              </w:rPr>
            </w:pPr>
            <w:r>
              <w:rPr>
                <w:color w:val="auto"/>
                <w:sz w:val="18"/>
                <w:szCs w:val="18"/>
              </w:rPr>
              <w:t>事故情形分析</w:t>
            </w:r>
          </w:p>
        </w:tc>
        <w:tc>
          <w:tcPr>
            <w:tcW w:w="1662" w:type="dxa"/>
            <w:gridSpan w:val="3"/>
            <w:tcBorders>
              <w:tl2br w:val="nil"/>
              <w:tr2bl w:val="nil"/>
            </w:tcBorders>
            <w:vAlign w:val="center"/>
          </w:tcPr>
          <w:p>
            <w:pPr>
              <w:jc w:val="center"/>
              <w:rPr>
                <w:color w:val="auto"/>
                <w:sz w:val="18"/>
                <w:szCs w:val="18"/>
              </w:rPr>
            </w:pPr>
            <w:r>
              <w:rPr>
                <w:color w:val="auto"/>
                <w:sz w:val="18"/>
                <w:szCs w:val="18"/>
              </w:rPr>
              <w:t>源强设定方法</w:t>
            </w:r>
          </w:p>
        </w:tc>
        <w:tc>
          <w:tcPr>
            <w:tcW w:w="1490" w:type="dxa"/>
            <w:gridSpan w:val="3"/>
            <w:tcBorders>
              <w:tl2br w:val="nil"/>
              <w:tr2bl w:val="nil"/>
            </w:tcBorders>
            <w:vAlign w:val="center"/>
          </w:tcPr>
          <w:p>
            <w:pPr>
              <w:jc w:val="center"/>
              <w:rPr>
                <w:color w:val="auto"/>
                <w:sz w:val="18"/>
                <w:szCs w:val="18"/>
              </w:rPr>
            </w:pPr>
            <w:r>
              <w:rPr>
                <w:color w:val="auto"/>
                <w:sz w:val="18"/>
                <w:szCs w:val="18"/>
              </w:rPr>
              <w:t>计算法□</w:t>
            </w:r>
          </w:p>
        </w:tc>
        <w:tc>
          <w:tcPr>
            <w:tcW w:w="1687" w:type="dxa"/>
            <w:gridSpan w:val="4"/>
            <w:tcBorders>
              <w:tl2br w:val="nil"/>
              <w:tr2bl w:val="nil"/>
            </w:tcBorders>
            <w:vAlign w:val="center"/>
          </w:tcPr>
          <w:p>
            <w:pPr>
              <w:jc w:val="center"/>
              <w:rPr>
                <w:color w:val="auto"/>
                <w:sz w:val="18"/>
                <w:szCs w:val="18"/>
              </w:rPr>
            </w:pPr>
            <w:r>
              <w:rPr>
                <w:color w:val="auto"/>
                <w:sz w:val="18"/>
                <w:szCs w:val="18"/>
              </w:rPr>
              <w:t>经验估算法□</w:t>
            </w:r>
          </w:p>
        </w:tc>
        <w:tc>
          <w:tcPr>
            <w:tcW w:w="2035" w:type="dxa"/>
            <w:gridSpan w:val="3"/>
            <w:tcBorders>
              <w:tl2br w:val="nil"/>
              <w:tr2bl w:val="nil"/>
            </w:tcBorders>
            <w:vAlign w:val="center"/>
          </w:tcPr>
          <w:p>
            <w:pPr>
              <w:jc w:val="center"/>
              <w:rPr>
                <w:color w:val="auto"/>
                <w:sz w:val="18"/>
                <w:szCs w:val="18"/>
              </w:rPr>
            </w:pPr>
            <w:r>
              <w:rPr>
                <w:color w:val="auto"/>
                <w:sz w:val="18"/>
                <w:szCs w:val="18"/>
              </w:rPr>
              <w:t>其他估算法□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901" w:type="dxa"/>
            <w:vMerge w:val="restart"/>
            <w:tcBorders>
              <w:tl2br w:val="nil"/>
              <w:tr2bl w:val="nil"/>
            </w:tcBorders>
            <w:vAlign w:val="center"/>
          </w:tcPr>
          <w:p>
            <w:pPr>
              <w:jc w:val="center"/>
              <w:rPr>
                <w:color w:val="auto"/>
                <w:sz w:val="18"/>
                <w:szCs w:val="18"/>
              </w:rPr>
            </w:pPr>
            <w:r>
              <w:rPr>
                <w:color w:val="auto"/>
                <w:sz w:val="18"/>
                <w:szCs w:val="18"/>
              </w:rPr>
              <w:t>风险预测与评价</w:t>
            </w:r>
          </w:p>
        </w:tc>
        <w:tc>
          <w:tcPr>
            <w:tcW w:w="1173" w:type="dxa"/>
            <w:vMerge w:val="restart"/>
            <w:tcBorders>
              <w:tl2br w:val="nil"/>
              <w:tr2bl w:val="nil"/>
            </w:tcBorders>
            <w:vAlign w:val="center"/>
          </w:tcPr>
          <w:p>
            <w:pPr>
              <w:jc w:val="center"/>
              <w:rPr>
                <w:color w:val="auto"/>
                <w:sz w:val="18"/>
                <w:szCs w:val="18"/>
              </w:rPr>
            </w:pPr>
            <w:r>
              <w:rPr>
                <w:color w:val="auto"/>
                <w:sz w:val="18"/>
                <w:szCs w:val="18"/>
              </w:rPr>
              <w:t>大气</w:t>
            </w:r>
          </w:p>
        </w:tc>
        <w:tc>
          <w:tcPr>
            <w:tcW w:w="1662" w:type="dxa"/>
            <w:gridSpan w:val="3"/>
            <w:tcBorders>
              <w:tl2br w:val="nil"/>
              <w:tr2bl w:val="nil"/>
            </w:tcBorders>
            <w:vAlign w:val="center"/>
          </w:tcPr>
          <w:p>
            <w:pPr>
              <w:jc w:val="center"/>
              <w:rPr>
                <w:color w:val="auto"/>
                <w:sz w:val="18"/>
                <w:szCs w:val="18"/>
              </w:rPr>
            </w:pPr>
            <w:r>
              <w:rPr>
                <w:color w:val="auto"/>
                <w:sz w:val="18"/>
                <w:szCs w:val="18"/>
              </w:rPr>
              <w:t>预测模型</w:t>
            </w:r>
          </w:p>
        </w:tc>
        <w:tc>
          <w:tcPr>
            <w:tcW w:w="1490" w:type="dxa"/>
            <w:gridSpan w:val="3"/>
            <w:tcBorders>
              <w:tl2br w:val="nil"/>
              <w:tr2bl w:val="nil"/>
            </w:tcBorders>
            <w:vAlign w:val="center"/>
          </w:tcPr>
          <w:p>
            <w:pPr>
              <w:jc w:val="center"/>
              <w:rPr>
                <w:color w:val="auto"/>
                <w:sz w:val="18"/>
                <w:szCs w:val="18"/>
              </w:rPr>
            </w:pPr>
            <w:r>
              <w:rPr>
                <w:color w:val="auto"/>
                <w:sz w:val="18"/>
                <w:szCs w:val="18"/>
              </w:rPr>
              <w:t>SLAB□</w:t>
            </w:r>
          </w:p>
        </w:tc>
        <w:tc>
          <w:tcPr>
            <w:tcW w:w="1687" w:type="dxa"/>
            <w:gridSpan w:val="4"/>
            <w:tcBorders>
              <w:tl2br w:val="nil"/>
              <w:tr2bl w:val="nil"/>
            </w:tcBorders>
            <w:vAlign w:val="center"/>
          </w:tcPr>
          <w:p>
            <w:pPr>
              <w:jc w:val="center"/>
              <w:rPr>
                <w:color w:val="auto"/>
                <w:sz w:val="18"/>
                <w:szCs w:val="18"/>
              </w:rPr>
            </w:pPr>
            <w:r>
              <w:rPr>
                <w:color w:val="auto"/>
                <w:sz w:val="18"/>
                <w:szCs w:val="18"/>
              </w:rPr>
              <w:t>AFTOX□</w:t>
            </w:r>
          </w:p>
        </w:tc>
        <w:tc>
          <w:tcPr>
            <w:tcW w:w="2035" w:type="dxa"/>
            <w:gridSpan w:val="3"/>
            <w:tcBorders>
              <w:tl2br w:val="nil"/>
              <w:tr2bl w:val="nil"/>
            </w:tcBorders>
            <w:vAlign w:val="center"/>
          </w:tcPr>
          <w:p>
            <w:pPr>
              <w:jc w:val="center"/>
              <w:rPr>
                <w:color w:val="auto"/>
                <w:sz w:val="18"/>
                <w:szCs w:val="18"/>
              </w:rPr>
            </w:pPr>
            <w:r>
              <w:rPr>
                <w:color w:val="auto"/>
                <w:sz w:val="18"/>
                <w:szCs w:val="18"/>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1662" w:type="dxa"/>
            <w:gridSpan w:val="3"/>
            <w:vMerge w:val="restart"/>
            <w:tcBorders>
              <w:tl2br w:val="nil"/>
              <w:tr2bl w:val="nil"/>
            </w:tcBorders>
            <w:vAlign w:val="center"/>
          </w:tcPr>
          <w:p>
            <w:pPr>
              <w:jc w:val="center"/>
              <w:rPr>
                <w:color w:val="auto"/>
                <w:sz w:val="18"/>
                <w:szCs w:val="18"/>
              </w:rPr>
            </w:pPr>
            <w:r>
              <w:rPr>
                <w:color w:val="auto"/>
                <w:sz w:val="18"/>
                <w:szCs w:val="18"/>
              </w:rPr>
              <w:t>预测结果</w:t>
            </w:r>
          </w:p>
        </w:tc>
        <w:tc>
          <w:tcPr>
            <w:tcW w:w="5212" w:type="dxa"/>
            <w:gridSpan w:val="10"/>
            <w:tcBorders>
              <w:tl2br w:val="nil"/>
              <w:tr2bl w:val="nil"/>
            </w:tcBorders>
            <w:vAlign w:val="center"/>
          </w:tcPr>
          <w:p>
            <w:pPr>
              <w:jc w:val="center"/>
              <w:rPr>
                <w:color w:val="auto"/>
                <w:sz w:val="18"/>
                <w:szCs w:val="18"/>
              </w:rPr>
            </w:pPr>
            <w:r>
              <w:rPr>
                <w:color w:val="auto"/>
                <w:sz w:val="18"/>
                <w:szCs w:val="18"/>
              </w:rPr>
              <w:t>大气毒性终点浓度-1  最大影响范围___m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1662" w:type="dxa"/>
            <w:gridSpan w:val="3"/>
            <w:vMerge w:val="continue"/>
            <w:tcBorders>
              <w:tl2br w:val="nil"/>
              <w:tr2bl w:val="nil"/>
            </w:tcBorders>
            <w:vAlign w:val="center"/>
          </w:tcPr>
          <w:p>
            <w:pPr>
              <w:jc w:val="center"/>
              <w:rPr>
                <w:color w:val="auto"/>
                <w:sz w:val="18"/>
                <w:szCs w:val="18"/>
              </w:rPr>
            </w:pPr>
          </w:p>
        </w:tc>
        <w:tc>
          <w:tcPr>
            <w:tcW w:w="5212" w:type="dxa"/>
            <w:gridSpan w:val="10"/>
            <w:tcBorders>
              <w:tl2br w:val="nil"/>
              <w:tr2bl w:val="nil"/>
            </w:tcBorders>
            <w:vAlign w:val="center"/>
          </w:tcPr>
          <w:p>
            <w:pPr>
              <w:jc w:val="center"/>
              <w:rPr>
                <w:color w:val="auto"/>
                <w:sz w:val="18"/>
                <w:szCs w:val="18"/>
              </w:rPr>
            </w:pPr>
            <w:r>
              <w:rPr>
                <w:color w:val="auto"/>
                <w:sz w:val="18"/>
                <w:szCs w:val="18"/>
              </w:rPr>
              <w:t>大气毒性终点浓度-2  最大影响范围___m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901" w:type="dxa"/>
            <w:vMerge w:val="continue"/>
            <w:tcBorders>
              <w:tl2br w:val="nil"/>
              <w:tr2bl w:val="nil"/>
            </w:tcBorders>
            <w:vAlign w:val="center"/>
          </w:tcPr>
          <w:p>
            <w:pPr>
              <w:jc w:val="center"/>
              <w:rPr>
                <w:color w:val="auto"/>
                <w:sz w:val="18"/>
                <w:szCs w:val="18"/>
              </w:rPr>
            </w:pPr>
          </w:p>
        </w:tc>
        <w:tc>
          <w:tcPr>
            <w:tcW w:w="1173" w:type="dxa"/>
            <w:tcBorders>
              <w:tl2br w:val="nil"/>
              <w:tr2bl w:val="nil"/>
            </w:tcBorders>
            <w:vAlign w:val="center"/>
          </w:tcPr>
          <w:p>
            <w:pPr>
              <w:jc w:val="center"/>
              <w:rPr>
                <w:color w:val="auto"/>
                <w:sz w:val="18"/>
                <w:szCs w:val="18"/>
              </w:rPr>
            </w:pPr>
            <w:r>
              <w:rPr>
                <w:color w:val="auto"/>
                <w:sz w:val="18"/>
                <w:szCs w:val="18"/>
              </w:rPr>
              <w:t>地表水</w:t>
            </w:r>
          </w:p>
        </w:tc>
        <w:tc>
          <w:tcPr>
            <w:tcW w:w="6874" w:type="dxa"/>
            <w:gridSpan w:val="13"/>
            <w:tcBorders>
              <w:tl2br w:val="nil"/>
              <w:tr2bl w:val="nil"/>
            </w:tcBorders>
            <w:vAlign w:val="center"/>
          </w:tcPr>
          <w:p>
            <w:pPr>
              <w:jc w:val="center"/>
              <w:rPr>
                <w:color w:val="auto"/>
                <w:sz w:val="18"/>
                <w:szCs w:val="18"/>
              </w:rPr>
            </w:pPr>
            <w:r>
              <w:rPr>
                <w:color w:val="auto"/>
                <w:sz w:val="18"/>
                <w:szCs w:val="18"/>
              </w:rPr>
              <w:t>最近环境敏感目标_____，到达时间______h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901" w:type="dxa"/>
            <w:vMerge w:val="continue"/>
            <w:tcBorders>
              <w:tl2br w:val="nil"/>
              <w:tr2bl w:val="nil"/>
            </w:tcBorders>
            <w:vAlign w:val="center"/>
          </w:tcPr>
          <w:p>
            <w:pPr>
              <w:jc w:val="center"/>
              <w:rPr>
                <w:color w:val="auto"/>
                <w:sz w:val="18"/>
                <w:szCs w:val="18"/>
              </w:rPr>
            </w:pPr>
          </w:p>
        </w:tc>
        <w:tc>
          <w:tcPr>
            <w:tcW w:w="1173" w:type="dxa"/>
            <w:vMerge w:val="restart"/>
            <w:tcBorders>
              <w:tl2br w:val="nil"/>
              <w:tr2bl w:val="nil"/>
            </w:tcBorders>
            <w:vAlign w:val="center"/>
          </w:tcPr>
          <w:p>
            <w:pPr>
              <w:jc w:val="center"/>
              <w:rPr>
                <w:color w:val="auto"/>
                <w:sz w:val="18"/>
                <w:szCs w:val="18"/>
              </w:rPr>
            </w:pPr>
            <w:r>
              <w:rPr>
                <w:color w:val="auto"/>
                <w:sz w:val="18"/>
                <w:szCs w:val="18"/>
              </w:rPr>
              <w:t>地下水</w:t>
            </w:r>
          </w:p>
        </w:tc>
        <w:tc>
          <w:tcPr>
            <w:tcW w:w="6874" w:type="dxa"/>
            <w:gridSpan w:val="13"/>
            <w:tcBorders>
              <w:tl2br w:val="nil"/>
              <w:tr2bl w:val="nil"/>
            </w:tcBorders>
            <w:vAlign w:val="center"/>
          </w:tcPr>
          <w:p>
            <w:pPr>
              <w:jc w:val="center"/>
              <w:rPr>
                <w:color w:val="auto"/>
                <w:sz w:val="18"/>
                <w:szCs w:val="18"/>
              </w:rPr>
            </w:pPr>
            <w:r>
              <w:rPr>
                <w:color w:val="auto"/>
                <w:sz w:val="18"/>
                <w:szCs w:val="18"/>
              </w:rPr>
              <w:t>下游厂区边界到达时间_____d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901" w:type="dxa"/>
            <w:vMerge w:val="continue"/>
            <w:tcBorders>
              <w:tl2br w:val="nil"/>
              <w:tr2bl w:val="nil"/>
            </w:tcBorders>
            <w:vAlign w:val="center"/>
          </w:tcPr>
          <w:p>
            <w:pPr>
              <w:jc w:val="center"/>
              <w:rPr>
                <w:color w:val="auto"/>
                <w:sz w:val="18"/>
                <w:szCs w:val="18"/>
              </w:rPr>
            </w:pPr>
          </w:p>
        </w:tc>
        <w:tc>
          <w:tcPr>
            <w:tcW w:w="1173" w:type="dxa"/>
            <w:vMerge w:val="continue"/>
            <w:tcBorders>
              <w:tl2br w:val="nil"/>
              <w:tr2bl w:val="nil"/>
            </w:tcBorders>
            <w:vAlign w:val="center"/>
          </w:tcPr>
          <w:p>
            <w:pPr>
              <w:jc w:val="center"/>
              <w:rPr>
                <w:color w:val="auto"/>
                <w:sz w:val="18"/>
                <w:szCs w:val="18"/>
              </w:rPr>
            </w:pPr>
          </w:p>
        </w:tc>
        <w:tc>
          <w:tcPr>
            <w:tcW w:w="6874" w:type="dxa"/>
            <w:gridSpan w:val="13"/>
            <w:tcBorders>
              <w:tl2br w:val="nil"/>
              <w:tr2bl w:val="nil"/>
            </w:tcBorders>
            <w:vAlign w:val="center"/>
          </w:tcPr>
          <w:p>
            <w:pPr>
              <w:jc w:val="center"/>
              <w:rPr>
                <w:color w:val="auto"/>
                <w:sz w:val="18"/>
                <w:szCs w:val="18"/>
              </w:rPr>
            </w:pPr>
            <w:r>
              <w:rPr>
                <w:color w:val="auto"/>
                <w:sz w:val="18"/>
                <w:szCs w:val="18"/>
              </w:rPr>
              <w:t>最近环境敏感目标_____，到达时间______d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901" w:type="dxa"/>
            <w:tcBorders>
              <w:tl2br w:val="nil"/>
              <w:tr2bl w:val="nil"/>
            </w:tcBorders>
            <w:vAlign w:val="center"/>
          </w:tcPr>
          <w:p>
            <w:pPr>
              <w:jc w:val="center"/>
              <w:rPr>
                <w:color w:val="auto"/>
                <w:sz w:val="18"/>
                <w:szCs w:val="18"/>
              </w:rPr>
            </w:pPr>
            <w:r>
              <w:rPr>
                <w:color w:val="auto"/>
                <w:sz w:val="18"/>
                <w:szCs w:val="18"/>
              </w:rPr>
              <w:t>重点风险防范措施</w:t>
            </w:r>
          </w:p>
        </w:tc>
        <w:tc>
          <w:tcPr>
            <w:tcW w:w="8047" w:type="dxa"/>
            <w:gridSpan w:val="14"/>
            <w:tcBorders>
              <w:tl2br w:val="nil"/>
              <w:tr2bl w:val="nil"/>
            </w:tcBorders>
            <w:vAlign w:val="center"/>
          </w:tcPr>
          <w:p>
            <w:pPr>
              <w:widowControl/>
              <w:spacing w:after="8"/>
              <w:jc w:val="left"/>
              <w:rPr>
                <w:color w:val="auto"/>
                <w:sz w:val="18"/>
                <w:szCs w:val="18"/>
              </w:rPr>
            </w:pPr>
            <w:r>
              <w:rPr>
                <w:color w:val="auto"/>
                <w:sz w:val="18"/>
                <w:szCs w:val="18"/>
              </w:rPr>
              <w:t>1、物料泄漏事故防范措施</w:t>
            </w:r>
          </w:p>
          <w:p>
            <w:pPr>
              <w:ind w:firstLine="360" w:firstLineChars="200"/>
              <w:rPr>
                <w:color w:val="auto"/>
                <w:sz w:val="18"/>
                <w:szCs w:val="18"/>
              </w:rPr>
            </w:pPr>
            <w:r>
              <w:rPr>
                <w:color w:val="auto"/>
                <w:sz w:val="18"/>
                <w:szCs w:val="18"/>
              </w:rPr>
              <w:t>（1）加强原辅料管理，做好出入登记，并入库检查。每次入库时，检查外包装是否有破损情况，密封是否严密，避免化学品泄漏或挥发。</w:t>
            </w:r>
          </w:p>
          <w:p>
            <w:pPr>
              <w:ind w:firstLine="360" w:firstLineChars="200"/>
              <w:rPr>
                <w:color w:val="auto"/>
                <w:sz w:val="18"/>
                <w:szCs w:val="18"/>
              </w:rPr>
            </w:pPr>
            <w:r>
              <w:rPr>
                <w:color w:val="auto"/>
                <w:sz w:val="18"/>
                <w:szCs w:val="18"/>
              </w:rPr>
              <w:t>（2）对生产过程中产生的危险废物，分类收集，分别包装临时储存，定期交有相应类别处理资质的单位处理。</w:t>
            </w:r>
          </w:p>
          <w:p>
            <w:pPr>
              <w:ind w:firstLine="360" w:firstLineChars="200"/>
              <w:rPr>
                <w:color w:val="auto"/>
                <w:sz w:val="18"/>
                <w:szCs w:val="18"/>
              </w:rPr>
            </w:pPr>
            <w:r>
              <w:rPr>
                <w:color w:val="auto"/>
                <w:sz w:val="18"/>
                <w:szCs w:val="18"/>
              </w:rPr>
              <w:t>（3）风险物质应设置专人管理，完善和落实安全管理制度和岗位责任制；定期对原料仓安全进行检查，加强仓库内探测、报警、消防和通风等安全设施的检查和维护，并做好记录。</w:t>
            </w:r>
          </w:p>
          <w:p>
            <w:pPr>
              <w:ind w:firstLine="360" w:firstLineChars="200"/>
              <w:rPr>
                <w:color w:val="auto"/>
                <w:sz w:val="18"/>
                <w:szCs w:val="18"/>
              </w:rPr>
            </w:pPr>
            <w:r>
              <w:rPr>
                <w:color w:val="auto"/>
                <w:sz w:val="18"/>
                <w:szCs w:val="18"/>
              </w:rPr>
              <w:t>（4）在原辅料及危险废物装卸时，严格按章操作，必须轻装轻卸，严禁震动撞击、重压、倾倒和磨擦。</w:t>
            </w:r>
          </w:p>
          <w:p>
            <w:pPr>
              <w:ind w:firstLine="360" w:firstLineChars="200"/>
              <w:rPr>
                <w:color w:val="auto"/>
                <w:sz w:val="18"/>
                <w:szCs w:val="18"/>
              </w:rPr>
            </w:pPr>
            <w:r>
              <w:rPr>
                <w:color w:val="auto"/>
                <w:sz w:val="18"/>
                <w:szCs w:val="18"/>
              </w:rPr>
              <w:t>（5）按要求配备足够的泄漏事故应急器材，如沙袋、吸附材料、盛装桶、个人防护用品等，并定期检查存量和有效性，以防万一。</w:t>
            </w:r>
          </w:p>
          <w:p>
            <w:pPr>
              <w:ind w:firstLine="360" w:firstLineChars="200"/>
              <w:rPr>
                <w:color w:val="auto"/>
                <w:sz w:val="18"/>
                <w:szCs w:val="18"/>
              </w:rPr>
            </w:pPr>
            <w:r>
              <w:rPr>
                <w:color w:val="auto"/>
                <w:sz w:val="18"/>
                <w:szCs w:val="18"/>
              </w:rPr>
              <w:t>（6）在防渗漏工作方面，项目及工业园区地面均已做好地面硬化处理，必要的位置设有围堰，工业园区亦铺设有固定的雨污管网。雨水及意外泄漏的渗漏液不会直接下渗，对土壤和地下水造成污染，亦不会经地表随意漫流。若发生泄漏事故，项目可马上使用沙袋围堵、吸附棉吸收等方式阻止污染物进一步扩散。</w:t>
            </w:r>
          </w:p>
          <w:p>
            <w:pPr>
              <w:pStyle w:val="2"/>
              <w:ind w:left="0" w:leftChars="0" w:firstLine="0" w:firstLineChars="0"/>
              <w:rPr>
                <w:rFonts w:ascii="Times New Roman"/>
                <w:color w:val="auto"/>
                <w:sz w:val="18"/>
                <w:szCs w:val="18"/>
              </w:rPr>
            </w:pPr>
            <w:r>
              <w:rPr>
                <w:rFonts w:ascii="Times New Roman"/>
                <w:color w:val="auto"/>
                <w:sz w:val="18"/>
                <w:szCs w:val="18"/>
              </w:rPr>
              <w:t>2、火灾的风险及防范措施</w:t>
            </w:r>
          </w:p>
          <w:p>
            <w:pPr>
              <w:ind w:firstLine="360" w:firstLineChars="200"/>
              <w:rPr>
                <w:color w:val="auto"/>
                <w:sz w:val="18"/>
                <w:szCs w:val="18"/>
              </w:rPr>
            </w:pPr>
            <w:r>
              <w:rPr>
                <w:color w:val="auto"/>
                <w:sz w:val="18"/>
                <w:szCs w:val="18"/>
              </w:rPr>
              <w:t>（1）加强对生产设备和厂内电源、电线、开关等的检修和维护，并标示安全警示标识。</w:t>
            </w:r>
          </w:p>
          <w:p>
            <w:pPr>
              <w:ind w:firstLine="360" w:firstLineChars="200"/>
              <w:rPr>
                <w:color w:val="auto"/>
                <w:sz w:val="18"/>
                <w:szCs w:val="18"/>
              </w:rPr>
            </w:pPr>
            <w:r>
              <w:rPr>
                <w:color w:val="auto"/>
                <w:sz w:val="18"/>
                <w:szCs w:val="18"/>
              </w:rPr>
              <w:t>（2）按照《建筑设计防火规范》合理布局，布置严格按照防火防爆技术要求进行，使可燃的物料远离热源、火种、防止日光暴晒。物料的储存要按照物质性能分类分区，性质相抵触、灭火方法不同的原料物品应分类贮存，风险物质做好标识和标签。</w:t>
            </w:r>
          </w:p>
          <w:p>
            <w:pPr>
              <w:ind w:firstLine="360" w:firstLineChars="200"/>
              <w:rPr>
                <w:color w:val="auto"/>
                <w:sz w:val="18"/>
                <w:szCs w:val="18"/>
              </w:rPr>
            </w:pPr>
            <w:r>
              <w:rPr>
                <w:color w:val="auto"/>
                <w:sz w:val="18"/>
                <w:szCs w:val="18"/>
              </w:rPr>
              <w:t>（3）在工艺设计中，应作安全连锁和事故紧急停车措施。一些必要部位设置压力表、安全阀、爆破板以及报警系统。在仪表选用上，防爆区内的仪表为本质安全型或隔爆型。各类压力容器的设计，严格按照《压力容器安全技术监察规程》进行。同时加强设备的密封及设备与管理、管道与管道的连接密封，减少易燃易爆物质的泄漏可能性。订购压力设备时，必须采购使用国家认可的有资质厂家生产的正规设备。</w:t>
            </w:r>
          </w:p>
          <w:p>
            <w:pPr>
              <w:ind w:firstLine="360" w:firstLineChars="200"/>
              <w:rPr>
                <w:color w:val="auto"/>
                <w:sz w:val="18"/>
                <w:szCs w:val="18"/>
              </w:rPr>
            </w:pPr>
            <w:r>
              <w:rPr>
                <w:color w:val="auto"/>
                <w:sz w:val="18"/>
                <w:szCs w:val="18"/>
              </w:rPr>
              <w:t>（4）生产中加强管理，制定严格的操作制度，做到随时检查，发现问题及时处理。</w:t>
            </w:r>
          </w:p>
          <w:p>
            <w:pPr>
              <w:ind w:firstLine="360" w:firstLineChars="200"/>
              <w:rPr>
                <w:color w:val="auto"/>
                <w:sz w:val="18"/>
                <w:szCs w:val="18"/>
              </w:rPr>
            </w:pPr>
            <w:r>
              <w:rPr>
                <w:color w:val="auto"/>
                <w:sz w:val="18"/>
                <w:szCs w:val="18"/>
              </w:rPr>
              <w:t>（5）建立健全全厂消防系统，设计安全出口，设消防栓，配备灭火器并完善可行的消防及火灾报警系统。日常需定期进行消防教育和演练。</w:t>
            </w:r>
          </w:p>
          <w:p>
            <w:pPr>
              <w:rPr>
                <w:color w:val="auto"/>
                <w:sz w:val="18"/>
                <w:szCs w:val="18"/>
              </w:rPr>
            </w:pPr>
            <w:r>
              <w:rPr>
                <w:color w:val="auto"/>
                <w:sz w:val="18"/>
                <w:szCs w:val="18"/>
              </w:rPr>
              <w:t>3、废气事故排放风险及防范措施</w:t>
            </w:r>
          </w:p>
          <w:p>
            <w:pPr>
              <w:ind w:firstLine="360" w:firstLineChars="200"/>
              <w:rPr>
                <w:color w:val="auto"/>
                <w:sz w:val="18"/>
                <w:szCs w:val="18"/>
              </w:rPr>
            </w:pPr>
            <w:r>
              <w:rPr>
                <w:color w:val="auto"/>
                <w:sz w:val="18"/>
                <w:szCs w:val="18"/>
              </w:rPr>
              <w:t>（1）对操作人员进行岗位培训，严格按操作规程进行操作，严禁违章作业。</w:t>
            </w:r>
          </w:p>
          <w:p>
            <w:pPr>
              <w:ind w:firstLine="360" w:firstLineChars="200"/>
              <w:rPr>
                <w:color w:val="auto"/>
                <w:sz w:val="18"/>
                <w:szCs w:val="18"/>
              </w:rPr>
            </w:pPr>
            <w:r>
              <w:rPr>
                <w:color w:val="auto"/>
                <w:sz w:val="18"/>
                <w:szCs w:val="18"/>
              </w:rPr>
              <w:t>（2）设立废气治理设备的管理台账，并严格落实运行。安排专人对废气处理设施设施进行巡查、管理和维护，定期更换活性炭，确保废气处理设施的收集、处理效率，避免故障或事故发生。</w:t>
            </w:r>
          </w:p>
          <w:p>
            <w:pPr>
              <w:ind w:firstLine="360" w:firstLineChars="200"/>
              <w:rPr>
                <w:color w:val="auto"/>
                <w:sz w:val="18"/>
                <w:szCs w:val="18"/>
              </w:rPr>
            </w:pPr>
            <w:r>
              <w:rPr>
                <w:color w:val="auto"/>
                <w:sz w:val="18"/>
                <w:szCs w:val="18"/>
              </w:rPr>
              <w:t>（3）一旦发现废气处理设施出现异常，应迅速停止使用，关闭阀门，停止生产，禁止废气、废水未经处理外排。随后应马上安排维修人员排查故障。待事故顺利解决后方可继续生产。</w:t>
            </w:r>
          </w:p>
          <w:p>
            <w:pPr>
              <w:pStyle w:val="2"/>
              <w:ind w:left="0" w:leftChars="0" w:firstLine="0" w:firstLineChars="0"/>
              <w:rPr>
                <w:rFonts w:ascii="Times New Roman"/>
                <w:color w:val="auto"/>
                <w:sz w:val="18"/>
                <w:szCs w:val="18"/>
              </w:rPr>
            </w:pPr>
            <w:r>
              <w:rPr>
                <w:rFonts w:ascii="Times New Roman"/>
                <w:color w:val="auto"/>
                <w:sz w:val="18"/>
                <w:szCs w:val="18"/>
              </w:rPr>
              <w:t>4、废水事故排放预防措施</w:t>
            </w:r>
          </w:p>
          <w:p>
            <w:pPr>
              <w:ind w:firstLine="360" w:firstLineChars="200"/>
              <w:rPr>
                <w:color w:val="auto"/>
                <w:sz w:val="18"/>
                <w:szCs w:val="18"/>
              </w:rPr>
            </w:pPr>
            <w:r>
              <w:rPr>
                <w:color w:val="auto"/>
                <w:sz w:val="18"/>
                <w:szCs w:val="18"/>
              </w:rPr>
              <w:t>（1）提高事故缓冲能力</w:t>
            </w:r>
          </w:p>
          <w:p>
            <w:pPr>
              <w:ind w:firstLine="360" w:firstLineChars="200"/>
              <w:rPr>
                <w:color w:val="auto"/>
                <w:sz w:val="18"/>
                <w:szCs w:val="18"/>
              </w:rPr>
            </w:pPr>
            <w:r>
              <w:rPr>
                <w:color w:val="auto"/>
                <w:sz w:val="18"/>
                <w:szCs w:val="18"/>
              </w:rPr>
              <w:t>为了保证事故状态下迅速恢复处理工程的正常运行，主要水工构筑物必须留有足够的缓冲余地，并配备相应的处理设备（如回流泵、回流管道、仪表及阀门等）。</w:t>
            </w:r>
          </w:p>
          <w:p>
            <w:pPr>
              <w:ind w:firstLine="360" w:firstLineChars="200"/>
              <w:rPr>
                <w:color w:val="auto"/>
                <w:sz w:val="18"/>
                <w:szCs w:val="18"/>
              </w:rPr>
            </w:pPr>
            <w:r>
              <w:rPr>
                <w:color w:val="auto"/>
                <w:sz w:val="18"/>
                <w:szCs w:val="18"/>
              </w:rPr>
              <w:t>（2）安排专人对沉淀池、三级化粪池管道、阀门等进行巡查、管理和维护，防止污水跑、冒、滴、漏。管网要设计合适的承压能力，防止因压力而爆裂，造成污水横流。确保废水处理设施的状态和处理效率，避免故障或事故发生。</w:t>
            </w:r>
          </w:p>
          <w:p>
            <w:pPr>
              <w:ind w:firstLine="360" w:firstLineChars="200"/>
              <w:rPr>
                <w:color w:val="auto"/>
                <w:sz w:val="18"/>
                <w:szCs w:val="18"/>
              </w:rPr>
            </w:pPr>
            <w:r>
              <w:rPr>
                <w:color w:val="auto"/>
                <w:sz w:val="18"/>
                <w:szCs w:val="18"/>
              </w:rPr>
              <w:t>（3）一旦发现沉淀池和三级化粪池出现异常，应迅速停止使用，关闭阀门，停止生产，禁止废水未经处理外排。随后应马上安排维修人员排查故障。待事故顺利解决后方可继续使用。</w:t>
            </w:r>
          </w:p>
          <w:p>
            <w:pPr>
              <w:ind w:firstLine="360" w:firstLineChars="200"/>
              <w:rPr>
                <w:color w:val="auto"/>
                <w:sz w:val="18"/>
                <w:szCs w:val="18"/>
              </w:rPr>
            </w:pPr>
            <w:r>
              <w:rPr>
                <w:color w:val="auto"/>
                <w:sz w:val="18"/>
                <w:szCs w:val="18"/>
              </w:rPr>
              <w:t>（4）加强事故苗头监控</w:t>
            </w:r>
          </w:p>
          <w:p>
            <w:pPr>
              <w:ind w:firstLine="360" w:firstLineChars="200"/>
              <w:rPr>
                <w:color w:val="auto"/>
                <w:sz w:val="18"/>
                <w:szCs w:val="18"/>
              </w:rPr>
            </w:pPr>
            <w:r>
              <w:rPr>
                <w:color w:val="auto"/>
                <w:sz w:val="18"/>
                <w:szCs w:val="18"/>
              </w:rPr>
              <w:t>主要操作人员上岗前严格进行理论和实际操作培训，使其可及时发现有可能引起的事故异常运行苗头。</w:t>
            </w:r>
          </w:p>
          <w:p>
            <w:pPr>
              <w:ind w:firstLine="360" w:firstLineChars="200"/>
              <w:rPr>
                <w:color w:val="auto"/>
                <w:sz w:val="18"/>
                <w:szCs w:val="18"/>
              </w:rPr>
            </w:pPr>
            <w:r>
              <w:rPr>
                <w:color w:val="auto"/>
                <w:sz w:val="18"/>
                <w:szCs w:val="18"/>
              </w:rPr>
              <w:t>（5）消防废水的收集</w:t>
            </w:r>
          </w:p>
          <w:p>
            <w:pPr>
              <w:ind w:firstLine="360" w:firstLineChars="200"/>
              <w:rPr>
                <w:color w:val="auto"/>
                <w:sz w:val="18"/>
                <w:szCs w:val="18"/>
              </w:rPr>
            </w:pPr>
            <w:r>
              <w:rPr>
                <w:color w:val="auto"/>
                <w:sz w:val="18"/>
                <w:szCs w:val="18"/>
              </w:rPr>
              <w:t>为将消防废水收集、导流、拦截在企业厂区内，避免事故状态下消防尾水流入附近地表水体，企业需设置事故应急池。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901" w:type="dxa"/>
            <w:tcBorders>
              <w:tl2br w:val="nil"/>
              <w:tr2bl w:val="nil"/>
            </w:tcBorders>
            <w:vAlign w:val="center"/>
          </w:tcPr>
          <w:p>
            <w:pPr>
              <w:jc w:val="center"/>
              <w:rPr>
                <w:color w:val="auto"/>
                <w:sz w:val="18"/>
                <w:szCs w:val="18"/>
              </w:rPr>
            </w:pPr>
            <w:r>
              <w:rPr>
                <w:color w:val="auto"/>
                <w:sz w:val="18"/>
                <w:szCs w:val="18"/>
              </w:rPr>
              <w:t>评价结论与建议</w:t>
            </w:r>
          </w:p>
        </w:tc>
        <w:tc>
          <w:tcPr>
            <w:tcW w:w="8047" w:type="dxa"/>
            <w:gridSpan w:val="14"/>
            <w:tcBorders>
              <w:tl2br w:val="nil"/>
              <w:tr2bl w:val="nil"/>
            </w:tcBorders>
            <w:vAlign w:val="center"/>
          </w:tcPr>
          <w:p>
            <w:pPr>
              <w:ind w:firstLine="360" w:firstLineChars="200"/>
              <w:rPr>
                <w:color w:val="auto"/>
                <w:sz w:val="18"/>
                <w:szCs w:val="18"/>
              </w:rPr>
            </w:pPr>
            <w:r>
              <w:rPr>
                <w:bCs/>
                <w:color w:val="auto"/>
                <w:sz w:val="18"/>
                <w:szCs w:val="18"/>
              </w:rPr>
              <w:t>本项目发生环境风险事故的可能性不大，发生事故后外排危险物质、污染物和消防废水的可能性极小，且可通过风险控制和管理措施后可避免大部分的风险事故发生。落实本报告提出的意见和风险防范措施后，项目总体环境风险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8" w:type="dxa"/>
            <w:gridSpan w:val="15"/>
            <w:tcBorders>
              <w:tl2br w:val="nil"/>
              <w:tr2bl w:val="nil"/>
            </w:tcBorders>
            <w:vAlign w:val="center"/>
          </w:tcPr>
          <w:p>
            <w:pPr>
              <w:jc w:val="left"/>
              <w:rPr>
                <w:color w:val="auto"/>
                <w:sz w:val="18"/>
                <w:szCs w:val="18"/>
              </w:rPr>
            </w:pPr>
            <w:r>
              <w:rPr>
                <w:color w:val="auto"/>
                <w:sz w:val="18"/>
                <w:szCs w:val="18"/>
              </w:rPr>
              <w:t>注：“□”为勾选项；“_____”为填写项</w:t>
            </w:r>
          </w:p>
        </w:tc>
      </w:tr>
    </w:tbl>
    <w:p>
      <w:pPr>
        <w:pStyle w:val="2"/>
        <w:ind w:firstLine="400"/>
        <w:rPr>
          <w:color w:val="auto"/>
        </w:rPr>
        <w:sectPr>
          <w:footerReference r:id="rId7" w:type="default"/>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rPr>
          <w:color w:val="auto"/>
        </w:rPr>
      </w:pPr>
    </w:p>
    <w:p>
      <w:pPr>
        <w:pStyle w:val="4"/>
        <w:numPr>
          <w:ilvl w:val="0"/>
          <w:numId w:val="0"/>
        </w:numPr>
        <w:spacing w:before="156" w:after="156"/>
        <w:ind w:left="568"/>
        <w:rPr>
          <w:color w:val="auto"/>
          <w:sz w:val="44"/>
          <w:szCs w:val="44"/>
        </w:rPr>
      </w:pPr>
      <w:bookmarkStart w:id="2677" w:name="_Toc514067711"/>
      <w:bookmarkStart w:id="2678" w:name="_Toc1729011"/>
      <w:bookmarkStart w:id="2679" w:name="_Toc12959337"/>
      <w:bookmarkStart w:id="2680" w:name="_Toc2457"/>
      <w:bookmarkStart w:id="2681" w:name="_Toc3970"/>
      <w:r>
        <w:rPr>
          <w:rFonts w:hint="eastAsia"/>
          <w:color w:val="auto"/>
          <w:sz w:val="44"/>
          <w:szCs w:val="44"/>
        </w:rPr>
        <w:t xml:space="preserve">8  </w:t>
      </w:r>
      <w:r>
        <w:rPr>
          <w:color w:val="auto"/>
          <w:sz w:val="44"/>
          <w:szCs w:val="44"/>
        </w:rPr>
        <w:t>环境保护措施及其可行性论证</w:t>
      </w:r>
      <w:bookmarkEnd w:id="2677"/>
      <w:bookmarkEnd w:id="2678"/>
      <w:bookmarkEnd w:id="2679"/>
      <w:bookmarkEnd w:id="2680"/>
      <w:bookmarkEnd w:id="2681"/>
    </w:p>
    <w:p>
      <w:pPr>
        <w:spacing w:line="360" w:lineRule="auto"/>
        <w:outlineLvl w:val="1"/>
        <w:rPr>
          <w:b/>
          <w:color w:val="auto"/>
          <w:sz w:val="32"/>
          <w:szCs w:val="32"/>
        </w:rPr>
      </w:pPr>
      <w:bookmarkStart w:id="2682" w:name="_Toc25280"/>
      <w:bookmarkStart w:id="2683" w:name="_Toc26634"/>
      <w:r>
        <w:rPr>
          <w:rFonts w:hint="eastAsia"/>
          <w:b/>
          <w:color w:val="auto"/>
          <w:sz w:val="32"/>
          <w:szCs w:val="32"/>
        </w:rPr>
        <w:t xml:space="preserve">8.1  </w:t>
      </w:r>
      <w:r>
        <w:rPr>
          <w:b/>
          <w:color w:val="auto"/>
          <w:sz w:val="32"/>
          <w:szCs w:val="32"/>
        </w:rPr>
        <w:t>运营期废气污染防治措施评述</w:t>
      </w:r>
      <w:bookmarkEnd w:id="2682"/>
      <w:bookmarkEnd w:id="2683"/>
    </w:p>
    <w:p>
      <w:pPr>
        <w:keepNext/>
        <w:keepLines/>
        <w:spacing w:line="360" w:lineRule="auto"/>
        <w:jc w:val="left"/>
        <w:outlineLvl w:val="2"/>
        <w:rPr>
          <w:color w:val="auto"/>
          <w:sz w:val="24"/>
        </w:rPr>
      </w:pPr>
      <w:bookmarkStart w:id="2684" w:name="_Toc3255"/>
      <w:r>
        <w:rPr>
          <w:rFonts w:hint="eastAsia"/>
          <w:b/>
          <w:bCs/>
          <w:color w:val="auto"/>
          <w:sz w:val="28"/>
          <w:szCs w:val="28"/>
        </w:rPr>
        <w:t>8</w:t>
      </w:r>
      <w:r>
        <w:rPr>
          <w:b/>
          <w:bCs/>
          <w:color w:val="auto"/>
          <w:sz w:val="28"/>
          <w:szCs w:val="28"/>
        </w:rPr>
        <w:t>.</w:t>
      </w:r>
      <w:r>
        <w:rPr>
          <w:rFonts w:hint="eastAsia"/>
          <w:b/>
          <w:bCs/>
          <w:color w:val="auto"/>
          <w:sz w:val="28"/>
          <w:szCs w:val="28"/>
        </w:rPr>
        <w:t>1</w:t>
      </w:r>
      <w:r>
        <w:rPr>
          <w:b/>
          <w:bCs/>
          <w:color w:val="auto"/>
          <w:sz w:val="28"/>
          <w:szCs w:val="28"/>
        </w:rPr>
        <w:t>.</w:t>
      </w:r>
      <w:r>
        <w:rPr>
          <w:rFonts w:hint="eastAsia"/>
          <w:b/>
          <w:bCs/>
          <w:color w:val="auto"/>
          <w:sz w:val="28"/>
          <w:szCs w:val="28"/>
        </w:rPr>
        <w:t>1  大气污染防治措施概况</w:t>
      </w:r>
      <w:bookmarkEnd w:id="2684"/>
    </w:p>
    <w:p>
      <w:pPr>
        <w:pStyle w:val="6"/>
        <w:spacing w:line="360" w:lineRule="auto"/>
        <w:rPr>
          <w:rFonts w:hint="eastAsia" w:eastAsia="宋体"/>
          <w:b/>
          <w:bCs/>
          <w:color w:val="auto"/>
          <w:sz w:val="24"/>
          <w:szCs w:val="24"/>
          <w:lang w:val="en-US" w:eastAsia="zh-CN"/>
        </w:rPr>
      </w:pPr>
      <w:r>
        <w:rPr>
          <w:rFonts w:hint="eastAsia"/>
          <w:b/>
          <w:bCs/>
          <w:color w:val="auto"/>
          <w:sz w:val="24"/>
          <w:szCs w:val="24"/>
          <w:lang w:val="en-US" w:eastAsia="zh-CN"/>
        </w:rPr>
        <w:t>8.1.1.1  有组织废气</w:t>
      </w:r>
      <w:r>
        <w:rPr>
          <w:rFonts w:hint="eastAsia"/>
          <w:b/>
          <w:bCs/>
          <w:color w:val="auto"/>
          <w:sz w:val="24"/>
          <w:szCs w:val="24"/>
        </w:rPr>
        <w:t>防治措施</w:t>
      </w:r>
    </w:p>
    <w:p>
      <w:pPr>
        <w:pStyle w:val="6"/>
        <w:spacing w:line="360" w:lineRule="auto"/>
        <w:ind w:firstLine="480"/>
        <w:rPr>
          <w:color w:val="auto"/>
          <w:sz w:val="24"/>
          <w:szCs w:val="24"/>
        </w:rPr>
      </w:pPr>
      <w:r>
        <w:rPr>
          <w:color w:val="auto"/>
          <w:sz w:val="24"/>
        </w:rPr>
        <w:t>本项目有组织废气产生环节包括：</w:t>
      </w:r>
      <w:r>
        <w:rPr>
          <w:rFonts w:hint="eastAsia"/>
          <w:color w:val="auto"/>
          <w:sz w:val="24"/>
        </w:rPr>
        <w:t>湿式破碎生产线“一破工序”产生</w:t>
      </w:r>
      <w:r>
        <w:rPr>
          <w:color w:val="auto"/>
          <w:sz w:val="24"/>
        </w:rPr>
        <w:t>的</w:t>
      </w:r>
      <w:r>
        <w:rPr>
          <w:rFonts w:hint="eastAsia"/>
          <w:color w:val="auto"/>
          <w:sz w:val="24"/>
        </w:rPr>
        <w:t>颗粒物</w:t>
      </w:r>
      <w:r>
        <w:rPr>
          <w:color w:val="auto"/>
          <w:sz w:val="24"/>
          <w:szCs w:val="24"/>
        </w:rPr>
        <w:t>、</w:t>
      </w:r>
      <w:r>
        <w:rPr>
          <w:rFonts w:hint="eastAsia"/>
          <w:color w:val="auto"/>
          <w:sz w:val="24"/>
          <w:szCs w:val="24"/>
        </w:rPr>
        <w:t>防水卷材生产线</w:t>
      </w:r>
      <w:r>
        <w:rPr>
          <w:color w:val="auto"/>
          <w:sz w:val="24"/>
          <w:szCs w:val="24"/>
        </w:rPr>
        <w:t>产生的</w:t>
      </w:r>
      <w:r>
        <w:rPr>
          <w:rFonts w:hint="eastAsia"/>
          <w:color w:val="auto"/>
          <w:sz w:val="24"/>
          <w:szCs w:val="24"/>
        </w:rPr>
        <w:t>颗粒物</w:t>
      </w:r>
      <w:r>
        <w:rPr>
          <w:color w:val="auto"/>
          <w:sz w:val="24"/>
          <w:szCs w:val="24"/>
        </w:rPr>
        <w:t>、沥青烟、非甲烷总烃以及苯并[a]芘、</w:t>
      </w:r>
      <w:r>
        <w:rPr>
          <w:rFonts w:hint="eastAsia"/>
          <w:color w:val="auto"/>
          <w:sz w:val="24"/>
          <w:szCs w:val="24"/>
        </w:rPr>
        <w:t>导热油炉</w:t>
      </w:r>
      <w:r>
        <w:rPr>
          <w:color w:val="auto"/>
          <w:sz w:val="24"/>
          <w:szCs w:val="24"/>
        </w:rPr>
        <w:t>产生的</w:t>
      </w:r>
      <w:r>
        <w:rPr>
          <w:rFonts w:hint="eastAsia"/>
          <w:color w:val="auto"/>
          <w:sz w:val="24"/>
          <w:szCs w:val="24"/>
          <w:lang w:eastAsia="zh-CN"/>
        </w:rPr>
        <w:t>颗粒物</w:t>
      </w:r>
      <w:r>
        <w:rPr>
          <w:color w:val="auto"/>
          <w:sz w:val="24"/>
          <w:szCs w:val="24"/>
        </w:rPr>
        <w:t>、SO</w:t>
      </w:r>
      <w:r>
        <w:rPr>
          <w:color w:val="auto"/>
          <w:sz w:val="24"/>
          <w:szCs w:val="24"/>
          <w:vertAlign w:val="subscript"/>
        </w:rPr>
        <w:t>2</w:t>
      </w:r>
      <w:r>
        <w:rPr>
          <w:color w:val="auto"/>
          <w:sz w:val="24"/>
          <w:szCs w:val="24"/>
        </w:rPr>
        <w:t>、NO</w:t>
      </w:r>
      <w:r>
        <w:rPr>
          <w:color w:val="auto"/>
          <w:sz w:val="24"/>
          <w:szCs w:val="24"/>
          <w:vertAlign w:val="subscript"/>
        </w:rPr>
        <w:t>2</w:t>
      </w:r>
      <w:r>
        <w:rPr>
          <w:color w:val="auto"/>
          <w:sz w:val="24"/>
          <w:szCs w:val="24"/>
        </w:rPr>
        <w:t>。</w:t>
      </w:r>
    </w:p>
    <w:p>
      <w:pPr>
        <w:pStyle w:val="6"/>
        <w:spacing w:line="360" w:lineRule="auto"/>
        <w:ind w:firstLine="480"/>
        <w:rPr>
          <w:color w:val="auto"/>
          <w:sz w:val="24"/>
          <w:szCs w:val="24"/>
        </w:rPr>
      </w:pPr>
      <w:r>
        <w:rPr>
          <w:rFonts w:hint="eastAsia"/>
          <w:color w:val="auto"/>
          <w:sz w:val="24"/>
          <w:szCs w:val="24"/>
          <w:lang w:bidi="ar"/>
        </w:rPr>
        <w:t>湿式破碎生产线“一破工序”产生的颗粒物由集气罩收集，收集后</w:t>
      </w:r>
      <w:r>
        <w:rPr>
          <w:color w:val="auto"/>
          <w:sz w:val="24"/>
          <w:szCs w:val="24"/>
        </w:rPr>
        <w:t>经</w:t>
      </w:r>
      <w:r>
        <w:rPr>
          <w:rFonts w:hint="eastAsia"/>
          <w:color w:val="auto"/>
          <w:sz w:val="24"/>
          <w:szCs w:val="24"/>
        </w:rPr>
        <w:t>管道进入</w:t>
      </w:r>
      <w:r>
        <w:rPr>
          <w:color w:val="auto"/>
          <w:sz w:val="24"/>
          <w:szCs w:val="24"/>
        </w:rPr>
        <w:t>旋风布袋除尘</w:t>
      </w:r>
      <w:r>
        <w:rPr>
          <w:rFonts w:hint="eastAsia"/>
          <w:color w:val="auto"/>
          <w:sz w:val="24"/>
          <w:szCs w:val="24"/>
        </w:rPr>
        <w:t>器处理，</w:t>
      </w:r>
      <w:r>
        <w:rPr>
          <w:color w:val="auto"/>
          <w:sz w:val="24"/>
          <w:szCs w:val="24"/>
        </w:rPr>
        <w:t>处理后从排气筒G2达标排放</w:t>
      </w:r>
      <w:r>
        <w:rPr>
          <w:rFonts w:hint="eastAsia"/>
          <w:color w:val="auto"/>
          <w:sz w:val="24"/>
          <w:szCs w:val="24"/>
        </w:rPr>
        <w:t>。</w:t>
      </w:r>
      <w:r>
        <w:rPr>
          <w:color w:val="auto"/>
          <w:sz w:val="24"/>
          <w:szCs w:val="24"/>
        </w:rPr>
        <w:t>卷材生产线</w:t>
      </w:r>
      <w:r>
        <w:rPr>
          <w:rFonts w:hint="eastAsia"/>
          <w:color w:val="auto"/>
          <w:sz w:val="24"/>
          <w:szCs w:val="24"/>
        </w:rPr>
        <w:t>产生的颗粒物、</w:t>
      </w:r>
      <w:r>
        <w:rPr>
          <w:color w:val="auto"/>
          <w:sz w:val="24"/>
          <w:szCs w:val="24"/>
          <w:lang w:bidi="ar"/>
        </w:rPr>
        <w:t>苯并</w:t>
      </w:r>
      <w:r>
        <w:rPr>
          <w:rFonts w:hint="eastAsia"/>
          <w:color w:val="auto"/>
          <w:sz w:val="24"/>
          <w:szCs w:val="24"/>
          <w:lang w:bidi="ar"/>
        </w:rPr>
        <w:t>[a]</w:t>
      </w:r>
      <w:r>
        <w:rPr>
          <w:color w:val="auto"/>
          <w:sz w:val="24"/>
          <w:szCs w:val="24"/>
          <w:lang w:bidi="ar"/>
        </w:rPr>
        <w:t>芘</w:t>
      </w:r>
      <w:r>
        <w:rPr>
          <w:rFonts w:hint="eastAsia"/>
          <w:color w:val="auto"/>
          <w:sz w:val="24"/>
          <w:szCs w:val="24"/>
          <w:lang w:bidi="ar"/>
        </w:rPr>
        <w:t>和</w:t>
      </w:r>
      <w:r>
        <w:rPr>
          <w:color w:val="auto"/>
          <w:sz w:val="24"/>
          <w:szCs w:val="24"/>
          <w:lang w:bidi="ar"/>
        </w:rPr>
        <w:t>非甲烷总烃</w:t>
      </w:r>
      <w:r>
        <w:rPr>
          <w:rFonts w:hint="eastAsia"/>
          <w:color w:val="auto"/>
          <w:sz w:val="24"/>
          <w:szCs w:val="24"/>
        </w:rPr>
        <w:t>采用整室收集的方式</w:t>
      </w:r>
      <w:r>
        <w:rPr>
          <w:color w:val="auto"/>
          <w:sz w:val="24"/>
          <w:szCs w:val="24"/>
        </w:rPr>
        <w:t>收集</w:t>
      </w:r>
      <w:r>
        <w:rPr>
          <w:rFonts w:hint="eastAsia"/>
          <w:color w:val="auto"/>
          <w:sz w:val="24"/>
          <w:szCs w:val="24"/>
        </w:rPr>
        <w:t>，</w:t>
      </w:r>
      <w:r>
        <w:rPr>
          <w:color w:val="auto"/>
          <w:sz w:val="24"/>
          <w:szCs w:val="24"/>
        </w:rPr>
        <w:t>经</w:t>
      </w:r>
      <w:r>
        <w:rPr>
          <w:rFonts w:hint="eastAsia"/>
          <w:color w:val="auto"/>
          <w:sz w:val="24"/>
          <w:szCs w:val="24"/>
        </w:rPr>
        <w:t>“</w:t>
      </w:r>
      <w:r>
        <w:rPr>
          <w:color w:val="auto"/>
          <w:sz w:val="24"/>
          <w:szCs w:val="24"/>
        </w:rPr>
        <w:t>旋风除尘+冷凝器+油烟净化器+UV光解+活性炭吸附</w:t>
      </w:r>
      <w:r>
        <w:rPr>
          <w:rFonts w:hint="eastAsia"/>
          <w:color w:val="auto"/>
          <w:sz w:val="24"/>
          <w:szCs w:val="24"/>
        </w:rPr>
        <w:t>”设备</w:t>
      </w:r>
      <w:r>
        <w:rPr>
          <w:color w:val="auto"/>
          <w:sz w:val="24"/>
          <w:szCs w:val="24"/>
        </w:rPr>
        <w:t>处理达标后经排气筒G1排放</w:t>
      </w:r>
      <w:r>
        <w:rPr>
          <w:rFonts w:hint="eastAsia"/>
          <w:color w:val="auto"/>
          <w:sz w:val="24"/>
          <w:szCs w:val="24"/>
        </w:rPr>
        <w:t>。</w:t>
      </w:r>
      <w:r>
        <w:rPr>
          <w:rFonts w:hint="eastAsia"/>
          <w:color w:val="auto"/>
          <w:sz w:val="24"/>
          <w:szCs w:val="24"/>
          <w:lang w:eastAsia="zh-CN" w:bidi="ar"/>
        </w:rPr>
        <w:t>导热油炉</w:t>
      </w:r>
      <w:r>
        <w:rPr>
          <w:rFonts w:hint="eastAsia"/>
          <w:color w:val="auto"/>
          <w:sz w:val="24"/>
          <w:szCs w:val="24"/>
          <w:lang w:bidi="ar"/>
        </w:rPr>
        <w:t>尾气从排气筒G3外排。</w:t>
      </w:r>
    </w:p>
    <w:p>
      <w:pPr>
        <w:pStyle w:val="6"/>
        <w:spacing w:line="360" w:lineRule="auto"/>
        <w:ind w:firstLine="480"/>
        <w:rPr>
          <w:color w:val="auto"/>
          <w:sz w:val="24"/>
        </w:rPr>
      </w:pPr>
      <w:r>
        <w:rPr>
          <w:color w:val="auto"/>
          <w:sz w:val="24"/>
        </w:rPr>
        <w:t>本项目工业废气收集、治理措施及排气筒设置情况见下表。</w:t>
      </w:r>
    </w:p>
    <w:p>
      <w:pPr>
        <w:pStyle w:val="6"/>
        <w:spacing w:line="360" w:lineRule="auto"/>
        <w:ind w:firstLine="480"/>
        <w:jc w:val="center"/>
        <w:rPr>
          <w:color w:val="auto"/>
          <w:sz w:val="24"/>
        </w:rPr>
      </w:pPr>
      <w:r>
        <w:rPr>
          <w:b/>
          <w:bCs/>
          <w:color w:val="auto"/>
          <w:sz w:val="21"/>
          <w:szCs w:val="21"/>
        </w:rPr>
        <w:t>表</w:t>
      </w:r>
      <w:r>
        <w:rPr>
          <w:rFonts w:hint="eastAsia"/>
          <w:b/>
          <w:bCs/>
          <w:color w:val="auto"/>
          <w:sz w:val="21"/>
          <w:szCs w:val="21"/>
        </w:rPr>
        <w:t>8</w:t>
      </w:r>
      <w:r>
        <w:rPr>
          <w:b/>
          <w:bCs/>
          <w:color w:val="auto"/>
          <w:sz w:val="21"/>
          <w:szCs w:val="21"/>
        </w:rPr>
        <w:t>.1-1</w:t>
      </w:r>
      <w:r>
        <w:rPr>
          <w:rFonts w:hint="eastAsia"/>
          <w:b/>
          <w:bCs/>
          <w:color w:val="auto"/>
          <w:sz w:val="21"/>
          <w:szCs w:val="21"/>
        </w:rPr>
        <w:t xml:space="preserve">  </w:t>
      </w:r>
      <w:r>
        <w:rPr>
          <w:b/>
          <w:bCs/>
          <w:color w:val="auto"/>
          <w:sz w:val="21"/>
          <w:szCs w:val="21"/>
        </w:rPr>
        <w:t>工业废气收集、治理措施及排气筒设置情况</w:t>
      </w:r>
    </w:p>
    <w:tbl>
      <w:tblPr>
        <w:tblStyle w:val="23"/>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387"/>
        <w:gridCol w:w="950"/>
        <w:gridCol w:w="788"/>
        <w:gridCol w:w="1462"/>
        <w:gridCol w:w="800"/>
        <w:gridCol w:w="1125"/>
        <w:gridCol w:w="1038"/>
        <w:gridCol w:w="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50" w:type="dxa"/>
            <w:vMerge w:val="restart"/>
            <w:shd w:val="clear" w:color="auto" w:fill="auto"/>
            <w:vAlign w:val="center"/>
          </w:tcPr>
          <w:p>
            <w:pPr>
              <w:spacing w:line="300" w:lineRule="auto"/>
              <w:jc w:val="center"/>
              <w:rPr>
                <w:color w:val="auto"/>
                <w:szCs w:val="21"/>
              </w:rPr>
            </w:pPr>
            <w:r>
              <w:rPr>
                <w:color w:val="auto"/>
                <w:szCs w:val="21"/>
              </w:rPr>
              <w:t>种类</w:t>
            </w:r>
          </w:p>
        </w:tc>
        <w:tc>
          <w:tcPr>
            <w:tcW w:w="1387" w:type="dxa"/>
            <w:vMerge w:val="restart"/>
            <w:shd w:val="clear" w:color="auto" w:fill="auto"/>
            <w:vAlign w:val="center"/>
          </w:tcPr>
          <w:p>
            <w:pPr>
              <w:spacing w:line="300" w:lineRule="auto"/>
              <w:jc w:val="center"/>
              <w:rPr>
                <w:color w:val="auto"/>
                <w:szCs w:val="21"/>
              </w:rPr>
            </w:pPr>
            <w:r>
              <w:rPr>
                <w:color w:val="auto"/>
                <w:szCs w:val="21"/>
              </w:rPr>
              <w:t>污染物名称</w:t>
            </w:r>
          </w:p>
        </w:tc>
        <w:tc>
          <w:tcPr>
            <w:tcW w:w="950" w:type="dxa"/>
            <w:vMerge w:val="restart"/>
            <w:shd w:val="clear" w:color="auto" w:fill="auto"/>
            <w:vAlign w:val="center"/>
          </w:tcPr>
          <w:p>
            <w:pPr>
              <w:spacing w:line="300" w:lineRule="auto"/>
              <w:jc w:val="center"/>
              <w:rPr>
                <w:color w:val="auto"/>
                <w:szCs w:val="21"/>
              </w:rPr>
            </w:pPr>
            <w:r>
              <w:rPr>
                <w:color w:val="auto"/>
                <w:szCs w:val="21"/>
              </w:rPr>
              <w:t>收集</w:t>
            </w:r>
          </w:p>
          <w:p>
            <w:pPr>
              <w:spacing w:line="300" w:lineRule="auto"/>
              <w:jc w:val="center"/>
              <w:rPr>
                <w:color w:val="auto"/>
                <w:szCs w:val="21"/>
              </w:rPr>
            </w:pPr>
            <w:r>
              <w:rPr>
                <w:color w:val="auto"/>
                <w:szCs w:val="21"/>
              </w:rPr>
              <w:t>方式</w:t>
            </w:r>
          </w:p>
        </w:tc>
        <w:tc>
          <w:tcPr>
            <w:tcW w:w="788" w:type="dxa"/>
            <w:vMerge w:val="restart"/>
            <w:shd w:val="clear" w:color="auto" w:fill="auto"/>
            <w:vAlign w:val="center"/>
          </w:tcPr>
          <w:p>
            <w:pPr>
              <w:spacing w:line="300" w:lineRule="auto"/>
              <w:jc w:val="center"/>
              <w:rPr>
                <w:color w:val="auto"/>
                <w:szCs w:val="21"/>
              </w:rPr>
            </w:pPr>
            <w:r>
              <w:rPr>
                <w:color w:val="auto"/>
                <w:szCs w:val="21"/>
              </w:rPr>
              <w:t>收集率</w:t>
            </w:r>
          </w:p>
        </w:tc>
        <w:tc>
          <w:tcPr>
            <w:tcW w:w="1462" w:type="dxa"/>
            <w:vMerge w:val="restart"/>
            <w:shd w:val="clear" w:color="auto" w:fill="auto"/>
            <w:vAlign w:val="center"/>
          </w:tcPr>
          <w:p>
            <w:pPr>
              <w:spacing w:line="300" w:lineRule="auto"/>
              <w:jc w:val="center"/>
              <w:rPr>
                <w:color w:val="auto"/>
                <w:szCs w:val="21"/>
              </w:rPr>
            </w:pPr>
            <w:r>
              <w:rPr>
                <w:color w:val="auto"/>
                <w:szCs w:val="21"/>
              </w:rPr>
              <w:t>处理系统</w:t>
            </w:r>
          </w:p>
        </w:tc>
        <w:tc>
          <w:tcPr>
            <w:tcW w:w="800" w:type="dxa"/>
            <w:vMerge w:val="restart"/>
            <w:shd w:val="clear" w:color="auto" w:fill="auto"/>
            <w:vAlign w:val="center"/>
          </w:tcPr>
          <w:p>
            <w:pPr>
              <w:spacing w:line="300" w:lineRule="auto"/>
              <w:jc w:val="center"/>
              <w:rPr>
                <w:color w:val="auto"/>
                <w:szCs w:val="21"/>
              </w:rPr>
            </w:pPr>
            <w:r>
              <w:rPr>
                <w:color w:val="auto"/>
                <w:szCs w:val="21"/>
              </w:rPr>
              <w:t>处理效率</w:t>
            </w:r>
          </w:p>
        </w:tc>
        <w:tc>
          <w:tcPr>
            <w:tcW w:w="2163" w:type="dxa"/>
            <w:gridSpan w:val="2"/>
            <w:shd w:val="clear" w:color="auto" w:fill="auto"/>
            <w:vAlign w:val="center"/>
          </w:tcPr>
          <w:p>
            <w:pPr>
              <w:spacing w:line="300" w:lineRule="auto"/>
              <w:jc w:val="center"/>
              <w:rPr>
                <w:color w:val="auto"/>
                <w:szCs w:val="21"/>
              </w:rPr>
            </w:pPr>
            <w:r>
              <w:rPr>
                <w:color w:val="auto"/>
                <w:szCs w:val="21"/>
              </w:rPr>
              <w:t>排放情况</w:t>
            </w:r>
          </w:p>
        </w:tc>
        <w:tc>
          <w:tcPr>
            <w:tcW w:w="748" w:type="dxa"/>
            <w:vMerge w:val="restart"/>
            <w:shd w:val="clear" w:color="auto" w:fill="auto"/>
            <w:vAlign w:val="center"/>
          </w:tcPr>
          <w:p>
            <w:pPr>
              <w:spacing w:line="300" w:lineRule="auto"/>
              <w:jc w:val="center"/>
              <w:rPr>
                <w:color w:val="auto"/>
                <w:szCs w:val="21"/>
              </w:rPr>
            </w:pPr>
            <w:r>
              <w:rPr>
                <w:color w:val="auto"/>
                <w:szCs w:val="21"/>
              </w:rPr>
              <w:t>排气筒编号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50" w:type="dxa"/>
            <w:vMerge w:val="continue"/>
            <w:shd w:val="clear" w:color="auto" w:fill="auto"/>
            <w:vAlign w:val="center"/>
          </w:tcPr>
          <w:p>
            <w:pPr>
              <w:spacing w:line="300" w:lineRule="auto"/>
              <w:jc w:val="center"/>
              <w:rPr>
                <w:color w:val="auto"/>
                <w:szCs w:val="21"/>
              </w:rPr>
            </w:pPr>
          </w:p>
        </w:tc>
        <w:tc>
          <w:tcPr>
            <w:tcW w:w="1387" w:type="dxa"/>
            <w:vMerge w:val="continue"/>
            <w:shd w:val="clear" w:color="auto" w:fill="auto"/>
            <w:vAlign w:val="center"/>
          </w:tcPr>
          <w:p>
            <w:pPr>
              <w:spacing w:line="300" w:lineRule="auto"/>
              <w:jc w:val="center"/>
              <w:rPr>
                <w:color w:val="auto"/>
                <w:szCs w:val="21"/>
              </w:rPr>
            </w:pPr>
          </w:p>
        </w:tc>
        <w:tc>
          <w:tcPr>
            <w:tcW w:w="950" w:type="dxa"/>
            <w:vMerge w:val="continue"/>
            <w:shd w:val="clear" w:color="auto" w:fill="auto"/>
            <w:vAlign w:val="center"/>
          </w:tcPr>
          <w:p>
            <w:pPr>
              <w:spacing w:line="300" w:lineRule="auto"/>
              <w:jc w:val="center"/>
              <w:rPr>
                <w:color w:val="auto"/>
                <w:szCs w:val="21"/>
              </w:rPr>
            </w:pPr>
          </w:p>
        </w:tc>
        <w:tc>
          <w:tcPr>
            <w:tcW w:w="788" w:type="dxa"/>
            <w:vMerge w:val="continue"/>
            <w:shd w:val="clear" w:color="auto" w:fill="auto"/>
            <w:vAlign w:val="center"/>
          </w:tcPr>
          <w:p>
            <w:pPr>
              <w:spacing w:line="300" w:lineRule="auto"/>
              <w:jc w:val="center"/>
              <w:rPr>
                <w:color w:val="auto"/>
                <w:szCs w:val="21"/>
              </w:rPr>
            </w:pPr>
          </w:p>
        </w:tc>
        <w:tc>
          <w:tcPr>
            <w:tcW w:w="1462" w:type="dxa"/>
            <w:vMerge w:val="continue"/>
            <w:shd w:val="clear" w:color="auto" w:fill="auto"/>
            <w:vAlign w:val="center"/>
          </w:tcPr>
          <w:p>
            <w:pPr>
              <w:spacing w:line="300" w:lineRule="auto"/>
              <w:jc w:val="center"/>
              <w:rPr>
                <w:color w:val="auto"/>
                <w:szCs w:val="21"/>
              </w:rPr>
            </w:pPr>
          </w:p>
        </w:tc>
        <w:tc>
          <w:tcPr>
            <w:tcW w:w="800" w:type="dxa"/>
            <w:vMerge w:val="continue"/>
            <w:shd w:val="clear" w:color="auto" w:fill="auto"/>
            <w:vAlign w:val="center"/>
          </w:tcPr>
          <w:p>
            <w:pPr>
              <w:spacing w:line="300" w:lineRule="auto"/>
              <w:jc w:val="center"/>
              <w:rPr>
                <w:color w:val="auto"/>
                <w:szCs w:val="21"/>
              </w:rPr>
            </w:pPr>
          </w:p>
        </w:tc>
        <w:tc>
          <w:tcPr>
            <w:tcW w:w="1125" w:type="dxa"/>
            <w:shd w:val="clear" w:color="auto" w:fill="auto"/>
            <w:vAlign w:val="center"/>
          </w:tcPr>
          <w:p>
            <w:pPr>
              <w:spacing w:line="300" w:lineRule="auto"/>
              <w:jc w:val="center"/>
              <w:rPr>
                <w:color w:val="auto"/>
                <w:szCs w:val="21"/>
              </w:rPr>
            </w:pPr>
            <w:r>
              <w:rPr>
                <w:color w:val="auto"/>
                <w:szCs w:val="21"/>
              </w:rPr>
              <w:t>浓度（mg/m</w:t>
            </w:r>
            <w:r>
              <w:rPr>
                <w:color w:val="auto"/>
                <w:szCs w:val="21"/>
                <w:vertAlign w:val="superscript"/>
              </w:rPr>
              <w:t>3</w:t>
            </w:r>
            <w:r>
              <w:rPr>
                <w:color w:val="auto"/>
                <w:szCs w:val="21"/>
              </w:rPr>
              <w:t>）</w:t>
            </w:r>
          </w:p>
        </w:tc>
        <w:tc>
          <w:tcPr>
            <w:tcW w:w="1038" w:type="dxa"/>
            <w:shd w:val="clear" w:color="auto" w:fill="auto"/>
            <w:vAlign w:val="center"/>
          </w:tcPr>
          <w:p>
            <w:pPr>
              <w:spacing w:line="300" w:lineRule="auto"/>
              <w:jc w:val="center"/>
              <w:rPr>
                <w:color w:val="auto"/>
                <w:szCs w:val="21"/>
              </w:rPr>
            </w:pPr>
            <w:r>
              <w:rPr>
                <w:color w:val="auto"/>
                <w:szCs w:val="21"/>
              </w:rPr>
              <w:t>速率（kg/h）</w:t>
            </w:r>
          </w:p>
        </w:tc>
        <w:tc>
          <w:tcPr>
            <w:tcW w:w="748" w:type="dxa"/>
            <w:vMerge w:val="continue"/>
            <w:shd w:val="clear" w:color="auto" w:fill="auto"/>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650" w:type="dxa"/>
            <w:shd w:val="clear" w:color="auto" w:fill="auto"/>
            <w:vAlign w:val="center"/>
          </w:tcPr>
          <w:p>
            <w:pPr>
              <w:snapToGrid w:val="0"/>
              <w:spacing w:line="300" w:lineRule="auto"/>
              <w:jc w:val="center"/>
              <w:rPr>
                <w:color w:val="auto"/>
                <w:szCs w:val="21"/>
              </w:rPr>
            </w:pPr>
            <w:r>
              <w:rPr>
                <w:color w:val="auto"/>
                <w:szCs w:val="21"/>
              </w:rPr>
              <w:t>破碎废气</w:t>
            </w:r>
          </w:p>
        </w:tc>
        <w:tc>
          <w:tcPr>
            <w:tcW w:w="1387" w:type="dxa"/>
            <w:shd w:val="clear" w:color="auto" w:fill="auto"/>
            <w:vAlign w:val="center"/>
          </w:tcPr>
          <w:p>
            <w:pPr>
              <w:spacing w:line="300" w:lineRule="auto"/>
              <w:jc w:val="center"/>
              <w:rPr>
                <w:color w:val="auto"/>
                <w:szCs w:val="21"/>
              </w:rPr>
            </w:pPr>
            <w:r>
              <w:rPr>
                <w:rFonts w:hint="eastAsia"/>
                <w:color w:val="auto"/>
                <w:szCs w:val="21"/>
              </w:rPr>
              <w:t>破碎</w:t>
            </w:r>
            <w:r>
              <w:rPr>
                <w:color w:val="auto"/>
                <w:szCs w:val="21"/>
              </w:rPr>
              <w:t>粉尘</w:t>
            </w:r>
          </w:p>
          <w:p>
            <w:pPr>
              <w:spacing w:line="300" w:lineRule="auto"/>
              <w:jc w:val="center"/>
              <w:rPr>
                <w:color w:val="auto"/>
                <w:szCs w:val="21"/>
              </w:rPr>
            </w:pPr>
            <w:r>
              <w:rPr>
                <w:rFonts w:hint="eastAsia"/>
                <w:color w:val="auto"/>
                <w:szCs w:val="21"/>
              </w:rPr>
              <w:t>（颗粒物）</w:t>
            </w:r>
          </w:p>
        </w:tc>
        <w:tc>
          <w:tcPr>
            <w:tcW w:w="950" w:type="dxa"/>
            <w:shd w:val="clear" w:color="auto" w:fill="auto"/>
            <w:vAlign w:val="center"/>
          </w:tcPr>
          <w:p>
            <w:pPr>
              <w:spacing w:line="300" w:lineRule="auto"/>
              <w:jc w:val="center"/>
              <w:rPr>
                <w:color w:val="auto"/>
                <w:szCs w:val="21"/>
              </w:rPr>
            </w:pPr>
            <w:r>
              <w:rPr>
                <w:color w:val="auto"/>
                <w:szCs w:val="21"/>
              </w:rPr>
              <w:t>集气罩收集</w:t>
            </w:r>
          </w:p>
        </w:tc>
        <w:tc>
          <w:tcPr>
            <w:tcW w:w="788" w:type="dxa"/>
            <w:shd w:val="clear" w:color="auto" w:fill="auto"/>
            <w:vAlign w:val="center"/>
          </w:tcPr>
          <w:p>
            <w:pPr>
              <w:spacing w:line="300" w:lineRule="auto"/>
              <w:jc w:val="center"/>
              <w:rPr>
                <w:color w:val="auto"/>
                <w:szCs w:val="21"/>
              </w:rPr>
            </w:pPr>
            <w:r>
              <w:rPr>
                <w:color w:val="auto"/>
                <w:szCs w:val="21"/>
              </w:rPr>
              <w:t>90%</w:t>
            </w:r>
          </w:p>
        </w:tc>
        <w:tc>
          <w:tcPr>
            <w:tcW w:w="1462" w:type="dxa"/>
            <w:shd w:val="clear" w:color="auto" w:fill="auto"/>
            <w:vAlign w:val="center"/>
          </w:tcPr>
          <w:p>
            <w:pPr>
              <w:spacing w:line="300" w:lineRule="auto"/>
              <w:jc w:val="center"/>
              <w:rPr>
                <w:color w:val="auto"/>
                <w:szCs w:val="21"/>
              </w:rPr>
            </w:pPr>
            <w:r>
              <w:rPr>
                <w:color w:val="auto"/>
                <w:szCs w:val="21"/>
              </w:rPr>
              <w:t>旋风布袋除尘</w:t>
            </w:r>
          </w:p>
        </w:tc>
        <w:tc>
          <w:tcPr>
            <w:tcW w:w="800" w:type="dxa"/>
            <w:shd w:val="clear" w:color="auto" w:fill="auto"/>
            <w:vAlign w:val="center"/>
          </w:tcPr>
          <w:p>
            <w:pPr>
              <w:spacing w:line="300" w:lineRule="auto"/>
              <w:jc w:val="center"/>
              <w:rPr>
                <w:color w:val="auto"/>
                <w:szCs w:val="21"/>
              </w:rPr>
            </w:pPr>
            <w:r>
              <w:rPr>
                <w:color w:val="auto"/>
                <w:szCs w:val="21"/>
              </w:rPr>
              <w:t>95%</w:t>
            </w:r>
          </w:p>
        </w:tc>
        <w:tc>
          <w:tcPr>
            <w:tcW w:w="1125" w:type="dxa"/>
            <w:shd w:val="clear" w:color="auto" w:fill="auto"/>
            <w:vAlign w:val="center"/>
          </w:tcPr>
          <w:p>
            <w:pPr>
              <w:spacing w:line="300" w:lineRule="auto"/>
              <w:jc w:val="center"/>
              <w:rPr>
                <w:color w:val="auto"/>
                <w:szCs w:val="21"/>
              </w:rPr>
            </w:pPr>
            <w:r>
              <w:rPr>
                <w:rFonts w:hint="eastAsia"/>
                <w:color w:val="auto"/>
                <w:szCs w:val="21"/>
              </w:rPr>
              <w:t>2.3864</w:t>
            </w:r>
          </w:p>
        </w:tc>
        <w:tc>
          <w:tcPr>
            <w:tcW w:w="1038" w:type="dxa"/>
            <w:shd w:val="clear" w:color="auto" w:fill="auto"/>
            <w:vAlign w:val="center"/>
          </w:tcPr>
          <w:p>
            <w:pPr>
              <w:spacing w:line="300" w:lineRule="auto"/>
              <w:jc w:val="center"/>
              <w:rPr>
                <w:color w:val="auto"/>
                <w:szCs w:val="21"/>
              </w:rPr>
            </w:pPr>
            <w:r>
              <w:rPr>
                <w:rFonts w:hint="eastAsia"/>
                <w:color w:val="auto"/>
                <w:szCs w:val="21"/>
              </w:rPr>
              <w:t>0.0358</w:t>
            </w:r>
          </w:p>
        </w:tc>
        <w:tc>
          <w:tcPr>
            <w:tcW w:w="748" w:type="dxa"/>
            <w:shd w:val="clear" w:color="auto" w:fill="auto"/>
            <w:vAlign w:val="center"/>
          </w:tcPr>
          <w:p>
            <w:pPr>
              <w:spacing w:line="300" w:lineRule="auto"/>
              <w:jc w:val="center"/>
              <w:rPr>
                <w:color w:val="auto"/>
                <w:szCs w:val="21"/>
              </w:rPr>
            </w:pPr>
            <w:r>
              <w:rPr>
                <w:color w:val="auto"/>
                <w:szCs w:val="21"/>
              </w:rPr>
              <w:t>G2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650" w:type="dxa"/>
            <w:vMerge w:val="restart"/>
            <w:shd w:val="clear" w:color="auto" w:fill="auto"/>
            <w:vAlign w:val="center"/>
          </w:tcPr>
          <w:p>
            <w:pPr>
              <w:snapToGrid w:val="0"/>
              <w:spacing w:line="300" w:lineRule="auto"/>
              <w:jc w:val="center"/>
              <w:rPr>
                <w:color w:val="auto"/>
                <w:szCs w:val="21"/>
              </w:rPr>
            </w:pPr>
            <w:r>
              <w:rPr>
                <w:color w:val="auto"/>
                <w:szCs w:val="21"/>
              </w:rPr>
              <w:t>防水卷材生产废气</w:t>
            </w:r>
          </w:p>
        </w:tc>
        <w:tc>
          <w:tcPr>
            <w:tcW w:w="1387" w:type="dxa"/>
            <w:shd w:val="clear" w:color="auto" w:fill="auto"/>
            <w:vAlign w:val="center"/>
          </w:tcPr>
          <w:p>
            <w:pPr>
              <w:spacing w:line="300" w:lineRule="auto"/>
              <w:jc w:val="center"/>
              <w:rPr>
                <w:color w:val="auto"/>
                <w:szCs w:val="21"/>
              </w:rPr>
            </w:pPr>
            <w:r>
              <w:rPr>
                <w:rFonts w:hint="eastAsia"/>
                <w:color w:val="auto"/>
                <w:szCs w:val="21"/>
              </w:rPr>
              <w:t>投料</w:t>
            </w:r>
            <w:r>
              <w:rPr>
                <w:color w:val="auto"/>
                <w:szCs w:val="21"/>
              </w:rPr>
              <w:t>粉尘</w:t>
            </w:r>
          </w:p>
          <w:p>
            <w:pPr>
              <w:spacing w:line="300" w:lineRule="auto"/>
              <w:jc w:val="center"/>
              <w:rPr>
                <w:color w:val="auto"/>
                <w:szCs w:val="21"/>
              </w:rPr>
            </w:pPr>
            <w:r>
              <w:rPr>
                <w:rFonts w:hint="eastAsia"/>
                <w:color w:val="auto"/>
                <w:szCs w:val="21"/>
              </w:rPr>
              <w:t>（颗粒物）</w:t>
            </w:r>
          </w:p>
        </w:tc>
        <w:tc>
          <w:tcPr>
            <w:tcW w:w="950" w:type="dxa"/>
            <w:vMerge w:val="restart"/>
            <w:shd w:val="clear" w:color="auto" w:fill="auto"/>
            <w:vAlign w:val="center"/>
          </w:tcPr>
          <w:p>
            <w:pPr>
              <w:spacing w:line="300" w:lineRule="auto"/>
              <w:jc w:val="center"/>
              <w:rPr>
                <w:color w:val="auto"/>
                <w:szCs w:val="21"/>
              </w:rPr>
            </w:pPr>
            <w:r>
              <w:rPr>
                <w:rFonts w:hint="eastAsia"/>
                <w:color w:val="auto"/>
                <w:szCs w:val="21"/>
              </w:rPr>
              <w:t>整室</w:t>
            </w:r>
          </w:p>
          <w:p>
            <w:pPr>
              <w:spacing w:line="300" w:lineRule="auto"/>
              <w:jc w:val="center"/>
              <w:rPr>
                <w:color w:val="auto"/>
                <w:szCs w:val="21"/>
              </w:rPr>
            </w:pPr>
            <w:r>
              <w:rPr>
                <w:color w:val="auto"/>
                <w:szCs w:val="21"/>
              </w:rPr>
              <w:t>收集</w:t>
            </w:r>
          </w:p>
        </w:tc>
        <w:tc>
          <w:tcPr>
            <w:tcW w:w="788" w:type="dxa"/>
            <w:shd w:val="clear" w:color="auto" w:fill="auto"/>
            <w:vAlign w:val="center"/>
          </w:tcPr>
          <w:p>
            <w:pPr>
              <w:spacing w:line="300" w:lineRule="auto"/>
              <w:jc w:val="center"/>
              <w:rPr>
                <w:color w:val="auto"/>
                <w:szCs w:val="21"/>
              </w:rPr>
            </w:pPr>
            <w:r>
              <w:rPr>
                <w:color w:val="auto"/>
                <w:szCs w:val="21"/>
              </w:rPr>
              <w:t>95%</w:t>
            </w:r>
          </w:p>
        </w:tc>
        <w:tc>
          <w:tcPr>
            <w:tcW w:w="1462" w:type="dxa"/>
            <w:vMerge w:val="restart"/>
            <w:shd w:val="clear" w:color="auto" w:fill="auto"/>
            <w:vAlign w:val="center"/>
          </w:tcPr>
          <w:p>
            <w:pPr>
              <w:spacing w:line="300" w:lineRule="auto"/>
              <w:jc w:val="center"/>
              <w:rPr>
                <w:color w:val="auto"/>
                <w:szCs w:val="21"/>
              </w:rPr>
            </w:pPr>
            <w:r>
              <w:rPr>
                <w:color w:val="auto"/>
                <w:szCs w:val="21"/>
              </w:rPr>
              <w:t>旋风除尘+冷凝器+油烟净化器+UV光解+活性炭吸附系统</w:t>
            </w:r>
          </w:p>
        </w:tc>
        <w:tc>
          <w:tcPr>
            <w:tcW w:w="800" w:type="dxa"/>
            <w:shd w:val="clear" w:color="auto" w:fill="auto"/>
            <w:vAlign w:val="center"/>
          </w:tcPr>
          <w:p>
            <w:pPr>
              <w:spacing w:line="300" w:lineRule="auto"/>
              <w:jc w:val="center"/>
              <w:rPr>
                <w:color w:val="auto"/>
                <w:szCs w:val="21"/>
              </w:rPr>
            </w:pPr>
            <w:r>
              <w:rPr>
                <w:color w:val="auto"/>
                <w:szCs w:val="21"/>
              </w:rPr>
              <w:t>95%</w:t>
            </w:r>
          </w:p>
        </w:tc>
        <w:tc>
          <w:tcPr>
            <w:tcW w:w="1125" w:type="dxa"/>
            <w:shd w:val="clear" w:color="auto" w:fill="auto"/>
            <w:vAlign w:val="center"/>
          </w:tcPr>
          <w:p>
            <w:pPr>
              <w:spacing w:line="300" w:lineRule="auto"/>
              <w:jc w:val="center"/>
              <w:rPr>
                <w:color w:val="auto"/>
                <w:szCs w:val="21"/>
              </w:rPr>
            </w:pPr>
            <w:r>
              <w:rPr>
                <w:rFonts w:hint="eastAsia"/>
                <w:color w:val="auto"/>
                <w:szCs w:val="21"/>
              </w:rPr>
              <w:t>0.9937</w:t>
            </w:r>
          </w:p>
        </w:tc>
        <w:tc>
          <w:tcPr>
            <w:tcW w:w="1038" w:type="dxa"/>
            <w:shd w:val="clear" w:color="auto" w:fill="auto"/>
            <w:vAlign w:val="center"/>
          </w:tcPr>
          <w:p>
            <w:pPr>
              <w:spacing w:line="300" w:lineRule="auto"/>
              <w:jc w:val="center"/>
              <w:rPr>
                <w:color w:val="auto"/>
                <w:szCs w:val="21"/>
              </w:rPr>
            </w:pPr>
            <w:r>
              <w:rPr>
                <w:rFonts w:hint="eastAsia"/>
                <w:color w:val="auto"/>
                <w:szCs w:val="21"/>
              </w:rPr>
              <w:t>0.0298</w:t>
            </w:r>
          </w:p>
        </w:tc>
        <w:tc>
          <w:tcPr>
            <w:tcW w:w="748" w:type="dxa"/>
            <w:vMerge w:val="restart"/>
            <w:shd w:val="clear" w:color="auto" w:fill="auto"/>
            <w:vAlign w:val="center"/>
          </w:tcPr>
          <w:p>
            <w:pPr>
              <w:spacing w:line="300" w:lineRule="auto"/>
              <w:jc w:val="center"/>
              <w:rPr>
                <w:color w:val="auto"/>
                <w:szCs w:val="21"/>
              </w:rPr>
            </w:pPr>
            <w:r>
              <w:rPr>
                <w:color w:val="auto"/>
                <w:szCs w:val="21"/>
              </w:rPr>
              <w:t>G1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650" w:type="dxa"/>
            <w:vMerge w:val="continue"/>
            <w:shd w:val="clear" w:color="auto" w:fill="auto"/>
            <w:vAlign w:val="center"/>
          </w:tcPr>
          <w:p>
            <w:pPr>
              <w:snapToGrid w:val="0"/>
              <w:spacing w:line="300" w:lineRule="auto"/>
              <w:jc w:val="center"/>
              <w:rPr>
                <w:color w:val="auto"/>
                <w:szCs w:val="21"/>
              </w:rPr>
            </w:pPr>
          </w:p>
        </w:tc>
        <w:tc>
          <w:tcPr>
            <w:tcW w:w="1387" w:type="dxa"/>
            <w:shd w:val="clear" w:color="auto" w:fill="auto"/>
            <w:vAlign w:val="center"/>
          </w:tcPr>
          <w:p>
            <w:pPr>
              <w:spacing w:line="300" w:lineRule="auto"/>
              <w:jc w:val="center"/>
              <w:rPr>
                <w:color w:val="auto"/>
                <w:szCs w:val="21"/>
              </w:rPr>
            </w:pPr>
            <w:r>
              <w:rPr>
                <w:color w:val="auto"/>
                <w:szCs w:val="21"/>
              </w:rPr>
              <w:t>苯并[a]芘</w:t>
            </w:r>
          </w:p>
        </w:tc>
        <w:tc>
          <w:tcPr>
            <w:tcW w:w="950" w:type="dxa"/>
            <w:vMerge w:val="continue"/>
            <w:shd w:val="clear" w:color="auto" w:fill="auto"/>
            <w:vAlign w:val="center"/>
          </w:tcPr>
          <w:p>
            <w:pPr>
              <w:spacing w:line="300" w:lineRule="auto"/>
              <w:jc w:val="center"/>
              <w:rPr>
                <w:color w:val="auto"/>
                <w:szCs w:val="21"/>
              </w:rPr>
            </w:pPr>
          </w:p>
        </w:tc>
        <w:tc>
          <w:tcPr>
            <w:tcW w:w="788" w:type="dxa"/>
            <w:vMerge w:val="restart"/>
            <w:shd w:val="clear" w:color="auto" w:fill="auto"/>
            <w:vAlign w:val="center"/>
          </w:tcPr>
          <w:p>
            <w:pPr>
              <w:spacing w:line="300" w:lineRule="auto"/>
              <w:jc w:val="center"/>
              <w:rPr>
                <w:color w:val="auto"/>
                <w:szCs w:val="21"/>
              </w:rPr>
            </w:pPr>
            <w:r>
              <w:rPr>
                <w:color w:val="auto"/>
                <w:szCs w:val="21"/>
              </w:rPr>
              <w:t>99%</w:t>
            </w:r>
          </w:p>
        </w:tc>
        <w:tc>
          <w:tcPr>
            <w:tcW w:w="1462" w:type="dxa"/>
            <w:vMerge w:val="continue"/>
            <w:shd w:val="clear" w:color="auto" w:fill="auto"/>
            <w:vAlign w:val="center"/>
          </w:tcPr>
          <w:p>
            <w:pPr>
              <w:spacing w:line="300" w:lineRule="auto"/>
              <w:jc w:val="center"/>
              <w:rPr>
                <w:color w:val="auto"/>
                <w:szCs w:val="21"/>
              </w:rPr>
            </w:pPr>
          </w:p>
        </w:tc>
        <w:tc>
          <w:tcPr>
            <w:tcW w:w="800" w:type="dxa"/>
            <w:vMerge w:val="restart"/>
            <w:shd w:val="clear" w:color="auto" w:fill="auto"/>
            <w:vAlign w:val="center"/>
          </w:tcPr>
          <w:p>
            <w:pPr>
              <w:spacing w:line="300" w:lineRule="auto"/>
              <w:jc w:val="center"/>
              <w:rPr>
                <w:color w:val="auto"/>
                <w:szCs w:val="21"/>
              </w:rPr>
            </w:pPr>
            <w:r>
              <w:rPr>
                <w:rFonts w:hint="eastAsia"/>
                <w:color w:val="auto"/>
                <w:szCs w:val="21"/>
              </w:rPr>
              <w:t>90</w:t>
            </w:r>
            <w:r>
              <w:rPr>
                <w:color w:val="auto"/>
                <w:szCs w:val="21"/>
              </w:rPr>
              <w:t>%</w:t>
            </w:r>
          </w:p>
        </w:tc>
        <w:tc>
          <w:tcPr>
            <w:tcW w:w="1125" w:type="dxa"/>
            <w:shd w:val="clear" w:color="auto" w:fill="auto"/>
            <w:vAlign w:val="center"/>
          </w:tcPr>
          <w:p>
            <w:pPr>
              <w:widowControl/>
              <w:spacing w:line="300" w:lineRule="auto"/>
              <w:jc w:val="center"/>
              <w:textAlignment w:val="center"/>
              <w:rPr>
                <w:color w:val="auto"/>
                <w:szCs w:val="21"/>
              </w:rPr>
            </w:pPr>
            <w:r>
              <w:rPr>
                <w:rFonts w:hint="eastAsia"/>
                <w:color w:val="auto"/>
                <w:szCs w:val="21"/>
              </w:rPr>
              <w:t>0.000167</w:t>
            </w:r>
          </w:p>
        </w:tc>
        <w:tc>
          <w:tcPr>
            <w:tcW w:w="1038" w:type="dxa"/>
            <w:shd w:val="clear" w:color="auto" w:fill="auto"/>
            <w:vAlign w:val="center"/>
          </w:tcPr>
          <w:p>
            <w:pPr>
              <w:widowControl/>
              <w:spacing w:line="300" w:lineRule="auto"/>
              <w:jc w:val="center"/>
              <w:textAlignment w:val="center"/>
              <w:rPr>
                <w:color w:val="auto"/>
                <w:szCs w:val="21"/>
              </w:rPr>
            </w:pPr>
            <w:r>
              <w:rPr>
                <w:rFonts w:hint="eastAsia"/>
                <w:color w:val="auto"/>
                <w:szCs w:val="21"/>
              </w:rPr>
              <w:t>0.000005</w:t>
            </w:r>
          </w:p>
        </w:tc>
        <w:tc>
          <w:tcPr>
            <w:tcW w:w="748" w:type="dxa"/>
            <w:vMerge w:val="continue"/>
            <w:shd w:val="clear" w:color="auto" w:fill="auto"/>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650" w:type="dxa"/>
            <w:vMerge w:val="continue"/>
            <w:shd w:val="clear" w:color="auto" w:fill="auto"/>
            <w:vAlign w:val="center"/>
          </w:tcPr>
          <w:p>
            <w:pPr>
              <w:spacing w:line="300" w:lineRule="auto"/>
              <w:jc w:val="center"/>
              <w:rPr>
                <w:color w:val="auto"/>
                <w:szCs w:val="21"/>
              </w:rPr>
            </w:pPr>
          </w:p>
        </w:tc>
        <w:tc>
          <w:tcPr>
            <w:tcW w:w="1387" w:type="dxa"/>
            <w:shd w:val="clear" w:color="auto" w:fill="auto"/>
            <w:vAlign w:val="center"/>
          </w:tcPr>
          <w:p>
            <w:pPr>
              <w:spacing w:line="300" w:lineRule="auto"/>
              <w:jc w:val="center"/>
              <w:rPr>
                <w:color w:val="auto"/>
                <w:szCs w:val="21"/>
              </w:rPr>
            </w:pPr>
            <w:r>
              <w:rPr>
                <w:color w:val="auto"/>
                <w:szCs w:val="21"/>
              </w:rPr>
              <w:t>沥青烟</w:t>
            </w:r>
          </w:p>
        </w:tc>
        <w:tc>
          <w:tcPr>
            <w:tcW w:w="950" w:type="dxa"/>
            <w:vMerge w:val="continue"/>
            <w:shd w:val="clear" w:color="auto" w:fill="auto"/>
            <w:vAlign w:val="center"/>
          </w:tcPr>
          <w:p>
            <w:pPr>
              <w:spacing w:line="300" w:lineRule="auto"/>
              <w:jc w:val="center"/>
              <w:rPr>
                <w:color w:val="auto"/>
                <w:szCs w:val="21"/>
              </w:rPr>
            </w:pPr>
          </w:p>
        </w:tc>
        <w:tc>
          <w:tcPr>
            <w:tcW w:w="788" w:type="dxa"/>
            <w:vMerge w:val="continue"/>
            <w:shd w:val="clear" w:color="auto" w:fill="auto"/>
            <w:vAlign w:val="center"/>
          </w:tcPr>
          <w:p>
            <w:pPr>
              <w:spacing w:line="300" w:lineRule="auto"/>
              <w:jc w:val="center"/>
              <w:rPr>
                <w:color w:val="auto"/>
                <w:szCs w:val="21"/>
              </w:rPr>
            </w:pPr>
          </w:p>
        </w:tc>
        <w:tc>
          <w:tcPr>
            <w:tcW w:w="1462" w:type="dxa"/>
            <w:vMerge w:val="continue"/>
            <w:shd w:val="clear" w:color="auto" w:fill="auto"/>
            <w:vAlign w:val="center"/>
          </w:tcPr>
          <w:p>
            <w:pPr>
              <w:spacing w:line="300" w:lineRule="auto"/>
              <w:jc w:val="center"/>
              <w:rPr>
                <w:color w:val="auto"/>
                <w:szCs w:val="21"/>
              </w:rPr>
            </w:pPr>
          </w:p>
        </w:tc>
        <w:tc>
          <w:tcPr>
            <w:tcW w:w="800" w:type="dxa"/>
            <w:vMerge w:val="continue"/>
            <w:shd w:val="clear" w:color="auto" w:fill="auto"/>
            <w:vAlign w:val="center"/>
          </w:tcPr>
          <w:p>
            <w:pPr>
              <w:spacing w:line="300" w:lineRule="auto"/>
              <w:jc w:val="center"/>
              <w:rPr>
                <w:color w:val="auto"/>
                <w:szCs w:val="21"/>
              </w:rPr>
            </w:pPr>
          </w:p>
        </w:tc>
        <w:tc>
          <w:tcPr>
            <w:tcW w:w="1125" w:type="dxa"/>
            <w:shd w:val="clear" w:color="auto" w:fill="auto"/>
            <w:vAlign w:val="center"/>
          </w:tcPr>
          <w:p>
            <w:pPr>
              <w:widowControl/>
              <w:spacing w:line="300" w:lineRule="auto"/>
              <w:jc w:val="center"/>
              <w:textAlignment w:val="center"/>
              <w:rPr>
                <w:color w:val="auto"/>
                <w:szCs w:val="21"/>
              </w:rPr>
            </w:pPr>
            <w:r>
              <w:rPr>
                <w:rFonts w:hint="eastAsia"/>
                <w:color w:val="auto"/>
                <w:szCs w:val="21"/>
              </w:rPr>
              <w:t>0.9375</w:t>
            </w:r>
          </w:p>
        </w:tc>
        <w:tc>
          <w:tcPr>
            <w:tcW w:w="1038" w:type="dxa"/>
            <w:shd w:val="clear" w:color="auto" w:fill="auto"/>
            <w:vAlign w:val="center"/>
          </w:tcPr>
          <w:p>
            <w:pPr>
              <w:widowControl/>
              <w:spacing w:line="300" w:lineRule="auto"/>
              <w:jc w:val="center"/>
              <w:textAlignment w:val="center"/>
              <w:rPr>
                <w:color w:val="auto"/>
                <w:szCs w:val="21"/>
              </w:rPr>
            </w:pPr>
            <w:r>
              <w:rPr>
                <w:rFonts w:hint="eastAsia"/>
                <w:color w:val="auto"/>
                <w:szCs w:val="21"/>
              </w:rPr>
              <w:t>0.0281</w:t>
            </w:r>
          </w:p>
        </w:tc>
        <w:tc>
          <w:tcPr>
            <w:tcW w:w="748" w:type="dxa"/>
            <w:vMerge w:val="continue"/>
            <w:shd w:val="clear" w:color="auto" w:fill="auto"/>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650" w:type="dxa"/>
            <w:vMerge w:val="continue"/>
            <w:shd w:val="clear" w:color="auto" w:fill="auto"/>
            <w:vAlign w:val="center"/>
          </w:tcPr>
          <w:p>
            <w:pPr>
              <w:spacing w:line="300" w:lineRule="auto"/>
              <w:jc w:val="center"/>
              <w:rPr>
                <w:color w:val="auto"/>
                <w:szCs w:val="21"/>
              </w:rPr>
            </w:pPr>
          </w:p>
        </w:tc>
        <w:tc>
          <w:tcPr>
            <w:tcW w:w="1387" w:type="dxa"/>
            <w:shd w:val="clear" w:color="auto" w:fill="auto"/>
            <w:vAlign w:val="center"/>
          </w:tcPr>
          <w:p>
            <w:pPr>
              <w:spacing w:line="300" w:lineRule="auto"/>
              <w:jc w:val="center"/>
              <w:rPr>
                <w:color w:val="auto"/>
                <w:szCs w:val="21"/>
              </w:rPr>
            </w:pPr>
            <w:r>
              <w:rPr>
                <w:color w:val="auto"/>
                <w:szCs w:val="21"/>
              </w:rPr>
              <w:t>非甲烷总烃</w:t>
            </w:r>
          </w:p>
        </w:tc>
        <w:tc>
          <w:tcPr>
            <w:tcW w:w="950" w:type="dxa"/>
            <w:vMerge w:val="continue"/>
            <w:shd w:val="clear" w:color="auto" w:fill="auto"/>
            <w:vAlign w:val="center"/>
          </w:tcPr>
          <w:p>
            <w:pPr>
              <w:spacing w:line="300" w:lineRule="auto"/>
              <w:jc w:val="center"/>
              <w:rPr>
                <w:color w:val="auto"/>
                <w:szCs w:val="21"/>
              </w:rPr>
            </w:pPr>
          </w:p>
        </w:tc>
        <w:tc>
          <w:tcPr>
            <w:tcW w:w="788" w:type="dxa"/>
            <w:vMerge w:val="continue"/>
            <w:shd w:val="clear" w:color="auto" w:fill="auto"/>
            <w:vAlign w:val="center"/>
          </w:tcPr>
          <w:p>
            <w:pPr>
              <w:spacing w:line="300" w:lineRule="auto"/>
              <w:jc w:val="center"/>
              <w:rPr>
                <w:color w:val="auto"/>
                <w:szCs w:val="21"/>
              </w:rPr>
            </w:pPr>
          </w:p>
        </w:tc>
        <w:tc>
          <w:tcPr>
            <w:tcW w:w="1462" w:type="dxa"/>
            <w:vMerge w:val="continue"/>
            <w:shd w:val="clear" w:color="auto" w:fill="auto"/>
            <w:vAlign w:val="center"/>
          </w:tcPr>
          <w:p>
            <w:pPr>
              <w:spacing w:line="300" w:lineRule="auto"/>
              <w:jc w:val="center"/>
              <w:rPr>
                <w:color w:val="auto"/>
                <w:szCs w:val="21"/>
              </w:rPr>
            </w:pPr>
          </w:p>
        </w:tc>
        <w:tc>
          <w:tcPr>
            <w:tcW w:w="800" w:type="dxa"/>
            <w:vMerge w:val="continue"/>
            <w:shd w:val="clear" w:color="auto" w:fill="auto"/>
            <w:vAlign w:val="center"/>
          </w:tcPr>
          <w:p>
            <w:pPr>
              <w:spacing w:line="300" w:lineRule="auto"/>
              <w:jc w:val="center"/>
              <w:rPr>
                <w:color w:val="auto"/>
                <w:szCs w:val="21"/>
              </w:rPr>
            </w:pPr>
          </w:p>
        </w:tc>
        <w:tc>
          <w:tcPr>
            <w:tcW w:w="1125" w:type="dxa"/>
            <w:shd w:val="clear" w:color="auto" w:fill="auto"/>
            <w:vAlign w:val="center"/>
          </w:tcPr>
          <w:p>
            <w:pPr>
              <w:spacing w:line="300" w:lineRule="auto"/>
              <w:jc w:val="center"/>
              <w:rPr>
                <w:color w:val="auto"/>
                <w:szCs w:val="21"/>
              </w:rPr>
            </w:pPr>
            <w:r>
              <w:rPr>
                <w:rFonts w:hint="eastAsia"/>
                <w:color w:val="auto"/>
                <w:szCs w:val="21"/>
              </w:rPr>
              <w:t>0.0042</w:t>
            </w:r>
          </w:p>
        </w:tc>
        <w:tc>
          <w:tcPr>
            <w:tcW w:w="1038" w:type="dxa"/>
            <w:shd w:val="clear" w:color="auto" w:fill="auto"/>
            <w:vAlign w:val="center"/>
          </w:tcPr>
          <w:p>
            <w:pPr>
              <w:spacing w:line="300" w:lineRule="auto"/>
              <w:jc w:val="center"/>
              <w:rPr>
                <w:color w:val="auto"/>
                <w:szCs w:val="21"/>
              </w:rPr>
            </w:pPr>
            <w:r>
              <w:rPr>
                <w:rFonts w:hint="eastAsia"/>
                <w:color w:val="auto"/>
                <w:szCs w:val="21"/>
              </w:rPr>
              <w:t>0.0001</w:t>
            </w:r>
          </w:p>
        </w:tc>
        <w:tc>
          <w:tcPr>
            <w:tcW w:w="748" w:type="dxa"/>
            <w:vMerge w:val="continue"/>
            <w:shd w:val="clear" w:color="auto" w:fill="auto"/>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50" w:type="dxa"/>
            <w:vMerge w:val="restart"/>
            <w:shd w:val="clear" w:color="auto" w:fill="auto"/>
            <w:vAlign w:val="center"/>
          </w:tcPr>
          <w:p>
            <w:pPr>
              <w:snapToGrid w:val="0"/>
              <w:spacing w:line="300" w:lineRule="auto"/>
              <w:jc w:val="center"/>
              <w:rPr>
                <w:color w:val="auto"/>
                <w:szCs w:val="21"/>
              </w:rPr>
            </w:pPr>
            <w:r>
              <w:rPr>
                <w:color w:val="auto"/>
                <w:szCs w:val="21"/>
              </w:rPr>
              <w:t>锅炉废气</w:t>
            </w:r>
          </w:p>
        </w:tc>
        <w:tc>
          <w:tcPr>
            <w:tcW w:w="1387" w:type="dxa"/>
            <w:shd w:val="clear" w:color="auto" w:fill="auto"/>
            <w:vAlign w:val="center"/>
          </w:tcPr>
          <w:p>
            <w:pPr>
              <w:spacing w:line="300" w:lineRule="auto"/>
              <w:jc w:val="center"/>
              <w:textAlignment w:val="baseline"/>
              <w:rPr>
                <w:rFonts w:hint="eastAsia" w:eastAsia="宋体"/>
                <w:color w:val="auto"/>
                <w:szCs w:val="21"/>
                <w:lang w:eastAsia="zh-CN"/>
              </w:rPr>
            </w:pPr>
            <w:r>
              <w:rPr>
                <w:rFonts w:hint="eastAsia"/>
                <w:color w:val="auto"/>
                <w:kern w:val="0"/>
                <w:szCs w:val="21"/>
                <w:lang w:eastAsia="zh-CN"/>
              </w:rPr>
              <w:t>颗粒物</w:t>
            </w:r>
          </w:p>
        </w:tc>
        <w:tc>
          <w:tcPr>
            <w:tcW w:w="950" w:type="dxa"/>
            <w:vMerge w:val="restart"/>
            <w:shd w:val="clear" w:color="auto" w:fill="auto"/>
            <w:vAlign w:val="center"/>
          </w:tcPr>
          <w:p>
            <w:pPr>
              <w:spacing w:line="300" w:lineRule="auto"/>
              <w:jc w:val="center"/>
              <w:rPr>
                <w:color w:val="auto"/>
                <w:szCs w:val="21"/>
              </w:rPr>
            </w:pPr>
            <w:r>
              <w:rPr>
                <w:color w:val="auto"/>
                <w:szCs w:val="21"/>
              </w:rPr>
              <w:t>管道</w:t>
            </w:r>
          </w:p>
          <w:p>
            <w:pPr>
              <w:spacing w:line="300" w:lineRule="auto"/>
              <w:jc w:val="center"/>
              <w:rPr>
                <w:color w:val="auto"/>
                <w:szCs w:val="21"/>
              </w:rPr>
            </w:pPr>
            <w:r>
              <w:rPr>
                <w:color w:val="auto"/>
                <w:szCs w:val="21"/>
              </w:rPr>
              <w:t>收集</w:t>
            </w:r>
          </w:p>
        </w:tc>
        <w:tc>
          <w:tcPr>
            <w:tcW w:w="788" w:type="dxa"/>
            <w:vMerge w:val="restart"/>
            <w:shd w:val="clear" w:color="auto" w:fill="auto"/>
            <w:vAlign w:val="center"/>
          </w:tcPr>
          <w:p>
            <w:pPr>
              <w:spacing w:line="300" w:lineRule="auto"/>
              <w:jc w:val="center"/>
              <w:rPr>
                <w:color w:val="auto"/>
                <w:szCs w:val="21"/>
              </w:rPr>
            </w:pPr>
            <w:r>
              <w:rPr>
                <w:color w:val="auto"/>
                <w:szCs w:val="21"/>
              </w:rPr>
              <w:t>100%</w:t>
            </w:r>
          </w:p>
        </w:tc>
        <w:tc>
          <w:tcPr>
            <w:tcW w:w="1462" w:type="dxa"/>
            <w:vMerge w:val="restart"/>
            <w:shd w:val="clear" w:color="auto" w:fill="auto"/>
            <w:vAlign w:val="center"/>
          </w:tcPr>
          <w:p>
            <w:pPr>
              <w:spacing w:line="300" w:lineRule="auto"/>
              <w:jc w:val="center"/>
              <w:rPr>
                <w:color w:val="auto"/>
                <w:szCs w:val="21"/>
              </w:rPr>
            </w:pPr>
            <w:r>
              <w:rPr>
                <w:color w:val="auto"/>
                <w:szCs w:val="21"/>
              </w:rPr>
              <w:t>收集排放</w:t>
            </w:r>
          </w:p>
        </w:tc>
        <w:tc>
          <w:tcPr>
            <w:tcW w:w="800" w:type="dxa"/>
            <w:vMerge w:val="restart"/>
            <w:shd w:val="clear" w:color="auto" w:fill="auto"/>
            <w:vAlign w:val="center"/>
          </w:tcPr>
          <w:p>
            <w:pPr>
              <w:spacing w:line="300" w:lineRule="auto"/>
              <w:jc w:val="center"/>
              <w:rPr>
                <w:color w:val="auto"/>
                <w:szCs w:val="21"/>
              </w:rPr>
            </w:pPr>
            <w:r>
              <w:rPr>
                <w:color w:val="auto"/>
                <w:szCs w:val="21"/>
              </w:rPr>
              <w:t>/</w:t>
            </w:r>
          </w:p>
        </w:tc>
        <w:tc>
          <w:tcPr>
            <w:tcW w:w="1125" w:type="dxa"/>
            <w:shd w:val="clear" w:color="auto" w:fill="auto"/>
            <w:vAlign w:val="center"/>
          </w:tcPr>
          <w:p>
            <w:pPr>
              <w:widowControl/>
              <w:spacing w:line="300" w:lineRule="auto"/>
              <w:jc w:val="center"/>
              <w:rPr>
                <w:color w:val="auto"/>
                <w:szCs w:val="21"/>
              </w:rPr>
            </w:pPr>
            <w:r>
              <w:rPr>
                <w:rFonts w:hint="eastAsia"/>
                <w:color w:val="auto"/>
                <w:szCs w:val="21"/>
              </w:rPr>
              <w:t>17.6135</w:t>
            </w:r>
          </w:p>
        </w:tc>
        <w:tc>
          <w:tcPr>
            <w:tcW w:w="1038" w:type="dxa"/>
            <w:shd w:val="clear" w:color="auto" w:fill="auto"/>
            <w:vAlign w:val="center"/>
          </w:tcPr>
          <w:p>
            <w:pPr>
              <w:spacing w:line="300" w:lineRule="auto"/>
              <w:jc w:val="center"/>
              <w:rPr>
                <w:color w:val="auto"/>
                <w:szCs w:val="21"/>
              </w:rPr>
            </w:pPr>
            <w:r>
              <w:rPr>
                <w:rFonts w:hint="eastAsia"/>
                <w:color w:val="auto"/>
                <w:szCs w:val="21"/>
              </w:rPr>
              <w:t>0.0</w:t>
            </w:r>
            <w:r>
              <w:rPr>
                <w:rFonts w:hint="eastAsia"/>
                <w:color w:val="auto"/>
                <w:szCs w:val="21"/>
                <w:lang w:val="en-US" w:eastAsia="zh-CN"/>
              </w:rPr>
              <w:t>333</w:t>
            </w:r>
          </w:p>
        </w:tc>
        <w:tc>
          <w:tcPr>
            <w:tcW w:w="748" w:type="dxa"/>
            <w:vMerge w:val="restart"/>
            <w:shd w:val="clear" w:color="auto" w:fill="auto"/>
            <w:vAlign w:val="center"/>
          </w:tcPr>
          <w:p>
            <w:pPr>
              <w:spacing w:line="300" w:lineRule="auto"/>
              <w:jc w:val="center"/>
              <w:rPr>
                <w:color w:val="auto"/>
                <w:szCs w:val="21"/>
              </w:rPr>
            </w:pPr>
            <w:r>
              <w:rPr>
                <w:color w:val="auto"/>
                <w:szCs w:val="21"/>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50" w:type="dxa"/>
            <w:vMerge w:val="continue"/>
            <w:shd w:val="clear" w:color="auto" w:fill="auto"/>
            <w:vAlign w:val="center"/>
          </w:tcPr>
          <w:p>
            <w:pPr>
              <w:spacing w:line="300" w:lineRule="auto"/>
              <w:jc w:val="center"/>
              <w:rPr>
                <w:color w:val="auto"/>
                <w:szCs w:val="21"/>
              </w:rPr>
            </w:pPr>
          </w:p>
        </w:tc>
        <w:tc>
          <w:tcPr>
            <w:tcW w:w="1387" w:type="dxa"/>
            <w:shd w:val="clear" w:color="auto" w:fill="auto"/>
            <w:vAlign w:val="center"/>
          </w:tcPr>
          <w:p>
            <w:pPr>
              <w:spacing w:line="300" w:lineRule="auto"/>
              <w:jc w:val="center"/>
              <w:textAlignment w:val="baseline"/>
              <w:rPr>
                <w:color w:val="auto"/>
                <w:szCs w:val="21"/>
              </w:rPr>
            </w:pPr>
            <w:r>
              <w:rPr>
                <w:color w:val="auto"/>
                <w:kern w:val="0"/>
                <w:szCs w:val="21"/>
              </w:rPr>
              <w:t>SO</w:t>
            </w:r>
            <w:r>
              <w:rPr>
                <w:color w:val="auto"/>
                <w:kern w:val="0"/>
                <w:szCs w:val="21"/>
                <w:vertAlign w:val="subscript"/>
              </w:rPr>
              <w:t>2</w:t>
            </w:r>
          </w:p>
        </w:tc>
        <w:tc>
          <w:tcPr>
            <w:tcW w:w="950" w:type="dxa"/>
            <w:vMerge w:val="continue"/>
            <w:shd w:val="clear" w:color="auto" w:fill="auto"/>
            <w:vAlign w:val="center"/>
          </w:tcPr>
          <w:p>
            <w:pPr>
              <w:spacing w:line="300" w:lineRule="auto"/>
              <w:jc w:val="center"/>
              <w:rPr>
                <w:color w:val="auto"/>
                <w:szCs w:val="21"/>
              </w:rPr>
            </w:pPr>
          </w:p>
        </w:tc>
        <w:tc>
          <w:tcPr>
            <w:tcW w:w="788" w:type="dxa"/>
            <w:vMerge w:val="continue"/>
            <w:shd w:val="clear" w:color="auto" w:fill="auto"/>
            <w:vAlign w:val="center"/>
          </w:tcPr>
          <w:p>
            <w:pPr>
              <w:spacing w:line="300" w:lineRule="auto"/>
              <w:jc w:val="center"/>
              <w:rPr>
                <w:color w:val="auto"/>
                <w:szCs w:val="21"/>
              </w:rPr>
            </w:pPr>
          </w:p>
        </w:tc>
        <w:tc>
          <w:tcPr>
            <w:tcW w:w="1462" w:type="dxa"/>
            <w:vMerge w:val="continue"/>
            <w:shd w:val="clear" w:color="auto" w:fill="auto"/>
            <w:vAlign w:val="center"/>
          </w:tcPr>
          <w:p>
            <w:pPr>
              <w:spacing w:line="300" w:lineRule="auto"/>
              <w:jc w:val="center"/>
              <w:rPr>
                <w:color w:val="auto"/>
                <w:szCs w:val="21"/>
              </w:rPr>
            </w:pPr>
          </w:p>
        </w:tc>
        <w:tc>
          <w:tcPr>
            <w:tcW w:w="800" w:type="dxa"/>
            <w:vMerge w:val="continue"/>
            <w:shd w:val="clear" w:color="auto" w:fill="auto"/>
            <w:vAlign w:val="center"/>
          </w:tcPr>
          <w:p>
            <w:pPr>
              <w:spacing w:line="300" w:lineRule="auto"/>
              <w:jc w:val="center"/>
              <w:rPr>
                <w:color w:val="auto"/>
                <w:szCs w:val="21"/>
              </w:rPr>
            </w:pPr>
          </w:p>
        </w:tc>
        <w:tc>
          <w:tcPr>
            <w:tcW w:w="1125" w:type="dxa"/>
            <w:shd w:val="clear" w:color="auto" w:fill="auto"/>
            <w:vAlign w:val="center"/>
          </w:tcPr>
          <w:p>
            <w:pPr>
              <w:widowControl/>
              <w:spacing w:line="300" w:lineRule="auto"/>
              <w:jc w:val="center"/>
              <w:rPr>
                <w:color w:val="auto"/>
                <w:szCs w:val="21"/>
              </w:rPr>
            </w:pPr>
            <w:r>
              <w:rPr>
                <w:rFonts w:hint="eastAsia"/>
                <w:color w:val="auto"/>
                <w:szCs w:val="21"/>
              </w:rPr>
              <w:t>14.6779</w:t>
            </w:r>
          </w:p>
        </w:tc>
        <w:tc>
          <w:tcPr>
            <w:tcW w:w="1038" w:type="dxa"/>
            <w:shd w:val="clear" w:color="auto" w:fill="auto"/>
            <w:vAlign w:val="center"/>
          </w:tcPr>
          <w:p>
            <w:pPr>
              <w:spacing w:line="300" w:lineRule="auto"/>
              <w:jc w:val="center"/>
              <w:rPr>
                <w:color w:val="auto"/>
                <w:szCs w:val="21"/>
              </w:rPr>
            </w:pPr>
            <w:r>
              <w:rPr>
                <w:rFonts w:hint="eastAsia"/>
                <w:color w:val="auto"/>
                <w:szCs w:val="21"/>
              </w:rPr>
              <w:t>0.0</w:t>
            </w:r>
            <w:r>
              <w:rPr>
                <w:rFonts w:hint="eastAsia"/>
                <w:color w:val="auto"/>
                <w:szCs w:val="21"/>
                <w:lang w:val="en-US" w:eastAsia="zh-CN"/>
              </w:rPr>
              <w:t>278</w:t>
            </w:r>
          </w:p>
        </w:tc>
        <w:tc>
          <w:tcPr>
            <w:tcW w:w="748" w:type="dxa"/>
            <w:vMerge w:val="continue"/>
            <w:shd w:val="clear" w:color="auto" w:fill="auto"/>
            <w:vAlign w:val="center"/>
          </w:tcPr>
          <w:p>
            <w:pPr>
              <w:spacing w:line="30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50" w:type="dxa"/>
            <w:vMerge w:val="continue"/>
            <w:shd w:val="clear" w:color="auto" w:fill="auto"/>
            <w:vAlign w:val="center"/>
          </w:tcPr>
          <w:p>
            <w:pPr>
              <w:spacing w:line="300" w:lineRule="auto"/>
              <w:jc w:val="center"/>
              <w:rPr>
                <w:color w:val="auto"/>
                <w:szCs w:val="21"/>
              </w:rPr>
            </w:pPr>
          </w:p>
        </w:tc>
        <w:tc>
          <w:tcPr>
            <w:tcW w:w="1387" w:type="dxa"/>
            <w:shd w:val="clear" w:color="auto" w:fill="auto"/>
            <w:vAlign w:val="center"/>
          </w:tcPr>
          <w:p>
            <w:pPr>
              <w:spacing w:line="300" w:lineRule="auto"/>
              <w:jc w:val="center"/>
              <w:textAlignment w:val="baseline"/>
              <w:rPr>
                <w:color w:val="auto"/>
                <w:szCs w:val="21"/>
              </w:rPr>
            </w:pPr>
            <w:r>
              <w:rPr>
                <w:color w:val="auto"/>
                <w:kern w:val="0"/>
                <w:szCs w:val="21"/>
              </w:rPr>
              <w:t>NOx</w:t>
            </w:r>
          </w:p>
        </w:tc>
        <w:tc>
          <w:tcPr>
            <w:tcW w:w="950" w:type="dxa"/>
            <w:vMerge w:val="continue"/>
            <w:shd w:val="clear" w:color="auto" w:fill="auto"/>
            <w:vAlign w:val="center"/>
          </w:tcPr>
          <w:p>
            <w:pPr>
              <w:spacing w:line="300" w:lineRule="auto"/>
              <w:jc w:val="center"/>
              <w:rPr>
                <w:color w:val="auto"/>
                <w:szCs w:val="21"/>
              </w:rPr>
            </w:pPr>
          </w:p>
        </w:tc>
        <w:tc>
          <w:tcPr>
            <w:tcW w:w="788" w:type="dxa"/>
            <w:vMerge w:val="continue"/>
            <w:shd w:val="clear" w:color="auto" w:fill="auto"/>
            <w:vAlign w:val="center"/>
          </w:tcPr>
          <w:p>
            <w:pPr>
              <w:spacing w:line="300" w:lineRule="auto"/>
              <w:jc w:val="center"/>
              <w:rPr>
                <w:color w:val="auto"/>
                <w:szCs w:val="21"/>
              </w:rPr>
            </w:pPr>
          </w:p>
        </w:tc>
        <w:tc>
          <w:tcPr>
            <w:tcW w:w="1462" w:type="dxa"/>
            <w:vMerge w:val="continue"/>
            <w:shd w:val="clear" w:color="auto" w:fill="auto"/>
            <w:vAlign w:val="center"/>
          </w:tcPr>
          <w:p>
            <w:pPr>
              <w:spacing w:line="300" w:lineRule="auto"/>
              <w:jc w:val="center"/>
              <w:rPr>
                <w:color w:val="auto"/>
                <w:szCs w:val="21"/>
              </w:rPr>
            </w:pPr>
          </w:p>
        </w:tc>
        <w:tc>
          <w:tcPr>
            <w:tcW w:w="800" w:type="dxa"/>
            <w:vMerge w:val="continue"/>
            <w:shd w:val="clear" w:color="auto" w:fill="auto"/>
            <w:vAlign w:val="center"/>
          </w:tcPr>
          <w:p>
            <w:pPr>
              <w:spacing w:line="300" w:lineRule="auto"/>
              <w:jc w:val="center"/>
              <w:rPr>
                <w:color w:val="auto"/>
                <w:szCs w:val="21"/>
              </w:rPr>
            </w:pPr>
          </w:p>
        </w:tc>
        <w:tc>
          <w:tcPr>
            <w:tcW w:w="1125" w:type="dxa"/>
            <w:shd w:val="clear" w:color="auto" w:fill="auto"/>
            <w:vAlign w:val="center"/>
          </w:tcPr>
          <w:p>
            <w:pPr>
              <w:widowControl/>
              <w:spacing w:line="300" w:lineRule="auto"/>
              <w:jc w:val="center"/>
              <w:rPr>
                <w:color w:val="auto"/>
                <w:szCs w:val="21"/>
              </w:rPr>
            </w:pPr>
            <w:r>
              <w:rPr>
                <w:rFonts w:hint="eastAsia"/>
                <w:color w:val="auto"/>
                <w:szCs w:val="21"/>
              </w:rPr>
              <w:t>137.3119</w:t>
            </w:r>
          </w:p>
        </w:tc>
        <w:tc>
          <w:tcPr>
            <w:tcW w:w="1038" w:type="dxa"/>
            <w:shd w:val="clear" w:color="auto" w:fill="auto"/>
            <w:vAlign w:val="center"/>
          </w:tcPr>
          <w:p>
            <w:pPr>
              <w:spacing w:line="300" w:lineRule="auto"/>
              <w:jc w:val="center"/>
              <w:rPr>
                <w:color w:val="auto"/>
                <w:szCs w:val="21"/>
              </w:rPr>
            </w:pPr>
            <w:r>
              <w:rPr>
                <w:rFonts w:hint="eastAsia"/>
                <w:color w:val="auto"/>
                <w:szCs w:val="21"/>
              </w:rPr>
              <w:t>0.</w:t>
            </w:r>
            <w:r>
              <w:rPr>
                <w:rFonts w:hint="eastAsia"/>
                <w:color w:val="auto"/>
                <w:szCs w:val="21"/>
                <w:lang w:val="en-US" w:eastAsia="zh-CN"/>
              </w:rPr>
              <w:t>2599</w:t>
            </w:r>
          </w:p>
        </w:tc>
        <w:tc>
          <w:tcPr>
            <w:tcW w:w="748" w:type="dxa"/>
            <w:vMerge w:val="continue"/>
            <w:shd w:val="clear" w:color="auto" w:fill="auto"/>
            <w:vAlign w:val="center"/>
          </w:tcPr>
          <w:p>
            <w:pPr>
              <w:spacing w:line="300" w:lineRule="auto"/>
              <w:jc w:val="center"/>
              <w:rPr>
                <w:color w:val="auto"/>
                <w:szCs w:val="21"/>
              </w:rPr>
            </w:pPr>
          </w:p>
        </w:tc>
      </w:tr>
    </w:tbl>
    <w:p>
      <w:pPr>
        <w:pStyle w:val="6"/>
        <w:spacing w:line="360" w:lineRule="auto"/>
        <w:rPr>
          <w:rFonts w:hint="eastAsia" w:eastAsia="宋体"/>
          <w:b/>
          <w:bCs/>
          <w:color w:val="auto"/>
          <w:sz w:val="24"/>
          <w:szCs w:val="24"/>
          <w:lang w:val="en-US" w:eastAsia="zh-CN"/>
        </w:rPr>
      </w:pPr>
      <w:r>
        <w:rPr>
          <w:rFonts w:hint="eastAsia"/>
          <w:b/>
          <w:bCs/>
          <w:color w:val="auto"/>
          <w:sz w:val="24"/>
          <w:szCs w:val="24"/>
          <w:lang w:val="en-US" w:eastAsia="zh-CN"/>
        </w:rPr>
        <w:t>8.1.1.2  无组织废气</w:t>
      </w:r>
      <w:r>
        <w:rPr>
          <w:rFonts w:hint="eastAsia"/>
          <w:b/>
          <w:bCs/>
          <w:color w:val="auto"/>
          <w:sz w:val="24"/>
          <w:szCs w:val="24"/>
        </w:rPr>
        <w:t>防治措施</w:t>
      </w:r>
    </w:p>
    <w:p>
      <w:pPr>
        <w:pStyle w:val="6"/>
        <w:spacing w:line="360" w:lineRule="auto"/>
        <w:ind w:firstLine="480"/>
        <w:rPr>
          <w:rFonts w:hint="default" w:ascii="Times New Roman" w:hAnsi="Times New Roman" w:eastAsia="宋体" w:cs="Times New Roman"/>
          <w:color w:val="auto"/>
          <w:sz w:val="24"/>
          <w:szCs w:val="24"/>
          <w:lang w:val="en-US" w:eastAsia="zh-CN"/>
        </w:rPr>
      </w:pPr>
      <w:r>
        <w:rPr>
          <w:color w:val="auto"/>
          <w:sz w:val="24"/>
          <w:szCs w:val="24"/>
        </w:rPr>
        <w:t>本项目无组织排放主要来</w:t>
      </w:r>
      <w:r>
        <w:rPr>
          <w:rFonts w:hint="eastAsia"/>
          <w:color w:val="auto"/>
          <w:sz w:val="24"/>
          <w:szCs w:val="24"/>
          <w:lang w:val="en-US" w:eastAsia="zh-CN"/>
        </w:rPr>
        <w:t>自湿式破碎生产线一破工序</w:t>
      </w:r>
      <w:r>
        <w:rPr>
          <w:color w:val="auto"/>
          <w:sz w:val="24"/>
          <w:szCs w:val="24"/>
        </w:rPr>
        <w:t>的粉尘</w:t>
      </w:r>
      <w:r>
        <w:rPr>
          <w:rFonts w:hint="eastAsia"/>
          <w:color w:val="auto"/>
          <w:sz w:val="24"/>
          <w:szCs w:val="24"/>
          <w:lang w:eastAsia="zh-CN"/>
        </w:rPr>
        <w:t>、</w:t>
      </w:r>
      <w:r>
        <w:rPr>
          <w:color w:val="auto"/>
          <w:sz w:val="24"/>
          <w:szCs w:val="24"/>
        </w:rPr>
        <w:t>卷材生产外溢的</w:t>
      </w:r>
      <w:r>
        <w:rPr>
          <w:rFonts w:hint="default" w:ascii="Times New Roman" w:hAnsi="Times New Roman" w:eastAsia="宋体" w:cs="Times New Roman"/>
          <w:color w:val="auto"/>
          <w:sz w:val="24"/>
          <w:szCs w:val="24"/>
        </w:rPr>
        <w:t>沥青烟</w:t>
      </w:r>
      <w:r>
        <w:rPr>
          <w:rFonts w:hint="default" w:ascii="Times New Roman" w:hAnsi="Times New Roman" w:eastAsia="宋体" w:cs="Times New Roman"/>
          <w:color w:val="auto"/>
          <w:sz w:val="24"/>
          <w:szCs w:val="24"/>
          <w:lang w:val="en-US" w:eastAsia="zh-CN"/>
        </w:rPr>
        <w:t>和投料粉尘</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对于湿式破碎生产线一破工序</w:t>
      </w:r>
      <w:r>
        <w:rPr>
          <w:rFonts w:hint="default" w:ascii="Times New Roman" w:hAnsi="Times New Roman" w:eastAsia="宋体" w:cs="Times New Roman"/>
          <w:color w:val="auto"/>
          <w:sz w:val="24"/>
          <w:szCs w:val="24"/>
        </w:rPr>
        <w:t>的粉尘</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企业应</w:t>
      </w:r>
      <w:r>
        <w:rPr>
          <w:rFonts w:hint="default" w:ascii="Times New Roman" w:hAnsi="Times New Roman" w:eastAsia="宋体" w:cs="Times New Roman"/>
          <w:color w:val="auto"/>
          <w:sz w:val="24"/>
          <w:szCs w:val="24"/>
          <w:lang w:val="en-US" w:eastAsia="zh-CN"/>
        </w:rPr>
        <w:t>按照</w:t>
      </w:r>
      <w:r>
        <w:rPr>
          <w:rFonts w:hint="default" w:ascii="Times New Roman" w:hAnsi="Times New Roman" w:eastAsia="宋体" w:cs="Times New Roman"/>
          <w:color w:val="auto"/>
          <w:sz w:val="24"/>
          <w:szCs w:val="24"/>
        </w:rPr>
        <w:t>加强生产</w:t>
      </w:r>
      <w:r>
        <w:rPr>
          <w:rFonts w:hint="default" w:ascii="Times New Roman" w:hAnsi="Times New Roman" w:eastAsia="宋体" w:cs="Times New Roman"/>
          <w:color w:val="auto"/>
          <w:sz w:val="24"/>
          <w:szCs w:val="24"/>
          <w:lang w:val="en-US" w:eastAsia="zh-CN"/>
        </w:rPr>
        <w:t>湿式破碎生产区的</w:t>
      </w:r>
      <w:r>
        <w:rPr>
          <w:rFonts w:hint="default" w:ascii="Times New Roman" w:hAnsi="Times New Roman" w:eastAsia="宋体" w:cs="Times New Roman"/>
          <w:color w:val="auto"/>
          <w:sz w:val="24"/>
          <w:szCs w:val="24"/>
        </w:rPr>
        <w:t>管理，合理安装集气罩，确保对</w:t>
      </w:r>
      <w:r>
        <w:rPr>
          <w:rFonts w:hint="default" w:ascii="Times New Roman" w:hAnsi="Times New Roman" w:eastAsia="宋体" w:cs="Times New Roman"/>
          <w:color w:val="auto"/>
          <w:sz w:val="24"/>
          <w:szCs w:val="24"/>
          <w:lang w:val="en-US" w:eastAsia="zh-CN"/>
        </w:rPr>
        <w:t>粉尘</w:t>
      </w:r>
      <w:r>
        <w:rPr>
          <w:rFonts w:hint="default" w:ascii="Times New Roman" w:hAnsi="Times New Roman" w:eastAsia="宋体" w:cs="Times New Roman"/>
          <w:color w:val="auto"/>
          <w:sz w:val="24"/>
          <w:szCs w:val="24"/>
        </w:rPr>
        <w:t>废气</w:t>
      </w:r>
      <w:r>
        <w:rPr>
          <w:rFonts w:hint="default"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sz w:val="24"/>
          <w:szCs w:val="24"/>
        </w:rPr>
        <w:t>收集效率，以减少无组织的排放，同时加强车间通风，以减少无组织排放废气对厂界的影响。</w:t>
      </w:r>
      <w:r>
        <w:rPr>
          <w:rFonts w:hint="default" w:ascii="Times New Roman" w:hAnsi="Times New Roman" w:eastAsia="宋体" w:cs="Times New Roman"/>
          <w:color w:val="auto"/>
          <w:sz w:val="24"/>
          <w:szCs w:val="24"/>
          <w:lang w:val="en-US" w:eastAsia="zh-CN"/>
        </w:rPr>
        <w:t>对于</w:t>
      </w:r>
      <w:r>
        <w:rPr>
          <w:rFonts w:hint="default" w:ascii="Times New Roman" w:hAnsi="Times New Roman" w:eastAsia="宋体" w:cs="Times New Roman"/>
          <w:color w:val="auto"/>
          <w:sz w:val="24"/>
          <w:szCs w:val="24"/>
        </w:rPr>
        <w:t>卷材生产外溢的沥青烟</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企业应按照《挥发性有机物无组织排放控制标准》（GB 37822-2019）的要求进行处理。主要要求如下：</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（1）沥青、软化油等涉及VOCs的物料应储存于密闭的容器、包装袋、储罐中</w:t>
      </w:r>
      <w:r>
        <w:rPr>
          <w:rFonts w:hint="eastAsia" w:ascii="Times New Roman" w:hAnsi="Times New Roman" w:eastAsia="宋体" w:cs="Times New Roman"/>
          <w:color w:val="auto"/>
          <w:sz w:val="24"/>
          <w:szCs w:val="24"/>
          <w:lang w:val="en-US" w:eastAsia="zh-CN"/>
        </w:rPr>
        <w:t>；</w:t>
      </w:r>
    </w:p>
    <w:p>
      <w:pPr>
        <w:pStyle w:val="6"/>
        <w:spacing w:line="360" w:lineRule="auto"/>
        <w:ind w:firstLine="48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（2）储罐等盛装VOCs物料的容器应存放在室内，或放于设有雨棚、遮阳和防渗设施的专用场地。容器在飞去用状态时应加盖、封口，保持密闭</w:t>
      </w:r>
      <w:r>
        <w:rPr>
          <w:rFonts w:hint="eastAsia" w:ascii="Times New Roman" w:hAnsi="Times New Roman" w:eastAsia="宋体" w:cs="Times New Roman"/>
          <w:color w:val="auto"/>
          <w:sz w:val="24"/>
          <w:szCs w:val="24"/>
          <w:lang w:val="en-US" w:eastAsia="zh-CN"/>
        </w:rPr>
        <w:t>；</w:t>
      </w:r>
    </w:p>
    <w:p>
      <w:pPr>
        <w:pStyle w:val="6"/>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（3）VOCs物料储罐应密封良好。其中沥青储罐应采用低压罐、压力罐或其他等效措施</w:t>
      </w:r>
      <w:r>
        <w:rPr>
          <w:rFonts w:hint="eastAsia" w:ascii="Times New Roman" w:hAnsi="Times New Roman" w:eastAsia="宋体" w:cs="Times New Roman"/>
          <w:color w:val="auto"/>
          <w:sz w:val="24"/>
          <w:szCs w:val="24"/>
          <w:lang w:val="en-US" w:eastAsia="zh-CN"/>
        </w:rPr>
        <w:t>；</w:t>
      </w:r>
    </w:p>
    <w:p>
      <w:pPr>
        <w:pStyle w:val="6"/>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转移时应采用密闭容器、罐车</w:t>
      </w:r>
      <w:r>
        <w:rPr>
          <w:rFonts w:hint="eastAsia" w:ascii="Times New Roman" w:hAnsi="Times New Roman" w:eastAsia="宋体" w:cs="Times New Roman"/>
          <w:color w:val="auto"/>
          <w:sz w:val="24"/>
          <w:szCs w:val="24"/>
          <w:lang w:val="en-US" w:eastAsia="zh-CN"/>
        </w:rPr>
        <w:t>；</w:t>
      </w:r>
    </w:p>
    <w:p>
      <w:pPr>
        <w:pStyle w:val="6"/>
        <w:spacing w:line="360" w:lineRule="auto"/>
        <w:ind w:firstLine="48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（5）投料时应采用密闭管道输送方式或采用高位槽（罐）、桶泵等给料方式密闭投加。无法密闭投加的，应在密闭空间内操作。</w:t>
      </w:r>
    </w:p>
    <w:p>
      <w:pPr>
        <w:pStyle w:val="44"/>
        <w:numPr>
          <w:ilvl w:val="2"/>
          <w:numId w:val="0"/>
        </w:numPr>
        <w:tabs>
          <w:tab w:val="clear" w:pos="720"/>
        </w:tabs>
        <w:spacing w:before="156" w:after="156" w:line="360" w:lineRule="auto"/>
        <w:rPr>
          <w:bCs/>
          <w:color w:val="auto"/>
          <w:kern w:val="2"/>
          <w:sz w:val="28"/>
          <w:szCs w:val="28"/>
        </w:rPr>
      </w:pPr>
      <w:bookmarkStart w:id="2685" w:name="_Toc22549"/>
      <w:bookmarkStart w:id="2686" w:name="_Toc1435"/>
      <w:r>
        <w:rPr>
          <w:rFonts w:hint="eastAsia"/>
          <w:bCs/>
          <w:color w:val="auto"/>
          <w:kern w:val="2"/>
          <w:sz w:val="28"/>
          <w:szCs w:val="28"/>
        </w:rPr>
        <w:t>8.1.2  废气收集可行性分析</w:t>
      </w:r>
      <w:bookmarkEnd w:id="2685"/>
      <w:bookmarkEnd w:id="2686"/>
    </w:p>
    <w:p>
      <w:pPr>
        <w:pStyle w:val="6"/>
        <w:spacing w:line="360" w:lineRule="auto"/>
        <w:ind w:firstLine="480"/>
        <w:rPr>
          <w:color w:val="auto"/>
          <w:sz w:val="24"/>
        </w:rPr>
      </w:pPr>
      <w:r>
        <w:rPr>
          <w:color w:val="auto"/>
          <w:sz w:val="24"/>
        </w:rPr>
        <w:t>1、</w:t>
      </w:r>
      <w:r>
        <w:rPr>
          <w:rFonts w:hint="eastAsia"/>
          <w:color w:val="auto"/>
          <w:sz w:val="24"/>
        </w:rPr>
        <w:t>湿式破碎生产线</w:t>
      </w:r>
    </w:p>
    <w:p>
      <w:pPr>
        <w:pStyle w:val="52"/>
        <w:spacing w:line="360" w:lineRule="auto"/>
        <w:ind w:firstLine="480" w:firstLineChars="200"/>
        <w:rPr>
          <w:color w:val="auto"/>
        </w:rPr>
      </w:pPr>
      <w:r>
        <w:rPr>
          <w:rFonts w:hint="eastAsia"/>
          <w:color w:val="auto"/>
        </w:rPr>
        <w:t>湿式破碎生产线的粉尘主要来自于一破工序中一级破碎机对覆铜板的直接破碎。粉尘在一级破碎机内形成，主要通过其出料口排出。为保证对此工序产生的粉尘的收集和处理，项目拟在一级破碎机的出料口上方安装集气罩。项目在湿式破碎生产线中共设有8条生产线，每条生产线各设置1台一级破碎机，则需要的集气罩数量为8个。</w:t>
      </w:r>
    </w:p>
    <w:p>
      <w:pPr>
        <w:pStyle w:val="52"/>
        <w:spacing w:line="360" w:lineRule="auto"/>
        <w:ind w:firstLine="480" w:firstLineChars="200"/>
        <w:rPr>
          <w:color w:val="auto"/>
        </w:rPr>
      </w:pPr>
      <w:r>
        <w:rPr>
          <w:color w:val="auto"/>
        </w:rPr>
        <w:t>按照《简明通风设计手册》P128中的表5-3，</w:t>
      </w:r>
      <w:r>
        <w:rPr>
          <w:rFonts w:hint="eastAsia"/>
          <w:color w:val="auto"/>
          <w:szCs w:val="24"/>
        </w:rPr>
        <w:t>一级破碎机出料</w:t>
      </w:r>
      <w:r>
        <w:rPr>
          <w:color w:val="auto"/>
        </w:rPr>
        <w:t>口处废气外溢的</w:t>
      </w:r>
      <w:r>
        <w:rPr>
          <w:color w:val="auto"/>
          <w:szCs w:val="24"/>
        </w:rPr>
        <w:t>情况</w:t>
      </w:r>
      <w:r>
        <w:rPr>
          <w:color w:val="auto"/>
        </w:rPr>
        <w:t>属于“以</w:t>
      </w:r>
      <w:r>
        <w:rPr>
          <w:rFonts w:hint="eastAsia"/>
          <w:color w:val="auto"/>
        </w:rPr>
        <w:t>较低</w:t>
      </w:r>
      <w:r>
        <w:rPr>
          <w:color w:val="auto"/>
        </w:rPr>
        <w:t>的</w:t>
      </w:r>
      <w:r>
        <w:rPr>
          <w:rFonts w:hint="eastAsia"/>
          <w:color w:val="auto"/>
        </w:rPr>
        <w:t>初速放</w:t>
      </w:r>
      <w:r>
        <w:rPr>
          <w:color w:val="auto"/>
        </w:rPr>
        <w:t>散到</w:t>
      </w:r>
      <w:r>
        <w:rPr>
          <w:rFonts w:hint="eastAsia"/>
          <w:color w:val="auto"/>
        </w:rPr>
        <w:t>尚属</w:t>
      </w:r>
      <w:r>
        <w:rPr>
          <w:color w:val="auto"/>
        </w:rPr>
        <w:t>平静的空气中”。若对其进行收集，废气收集系统的控制风速要在0.5</w:t>
      </w:r>
      <w:r>
        <w:rPr>
          <w:rFonts w:hint="eastAsia"/>
          <w:color w:val="auto"/>
        </w:rPr>
        <w:t>~1.0</w:t>
      </w:r>
      <w:r>
        <w:rPr>
          <w:color w:val="auto"/>
        </w:rPr>
        <w:t>m/s</w:t>
      </w:r>
      <w:r>
        <w:rPr>
          <w:rFonts w:hint="eastAsia"/>
          <w:color w:val="auto"/>
        </w:rPr>
        <w:t>，</w:t>
      </w:r>
      <w:r>
        <w:rPr>
          <w:color w:val="auto"/>
        </w:rPr>
        <w:t>本报告保守取值</w:t>
      </w:r>
      <w:r>
        <w:rPr>
          <w:rFonts w:hint="eastAsia"/>
          <w:color w:val="auto"/>
        </w:rPr>
        <w:t>1.0</w:t>
      </w:r>
      <w:r>
        <w:rPr>
          <w:color w:val="auto"/>
        </w:rPr>
        <w:t>m/s。</w:t>
      </w:r>
      <w:r>
        <w:rPr>
          <w:rFonts w:hint="eastAsia"/>
          <w:color w:val="auto"/>
        </w:rPr>
        <w:t>为加强废气的收集效率，项目拟使用在左右两边加装挡板的上吸式集气罩进行收集。集气罩紧靠出料口安装，则仅有一面敞开，可有效改善废气收集情况，使收集效率达90%。</w:t>
      </w:r>
    </w:p>
    <w:p>
      <w:pPr>
        <w:pStyle w:val="32"/>
        <w:spacing w:line="360" w:lineRule="auto"/>
        <w:ind w:firstLine="480" w:firstLineChars="200"/>
        <w:jc w:val="both"/>
        <w:rPr>
          <w:color w:val="auto"/>
        </w:rPr>
      </w:pPr>
      <w:r>
        <w:rPr>
          <w:color w:val="auto"/>
        </w:rPr>
        <w:t>上吸式</w:t>
      </w:r>
      <w:r>
        <w:rPr>
          <w:rFonts w:hint="eastAsia"/>
          <w:color w:val="auto"/>
        </w:rPr>
        <w:t>集气罩的</w:t>
      </w:r>
      <w:r>
        <w:rPr>
          <w:color w:val="auto"/>
        </w:rPr>
        <w:t>排气量L（m</w:t>
      </w:r>
      <w:r>
        <w:rPr>
          <w:color w:val="auto"/>
          <w:vertAlign w:val="superscript"/>
        </w:rPr>
        <w:t>3</w:t>
      </w:r>
      <w:r>
        <w:rPr>
          <w:color w:val="auto"/>
        </w:rPr>
        <w:t>/s）可通过下式进行计算。</w:t>
      </w:r>
    </w:p>
    <w:p>
      <w:pPr>
        <w:pStyle w:val="32"/>
        <w:spacing w:line="360" w:lineRule="auto"/>
        <w:ind w:firstLine="480" w:firstLineChars="200"/>
        <w:jc w:val="center"/>
        <w:rPr>
          <w:color w:val="auto"/>
          <w:vertAlign w:val="subscript"/>
        </w:rPr>
      </w:pPr>
      <w:r>
        <w:rPr>
          <w:color w:val="auto"/>
        </w:rPr>
        <w:t>L=K·P·H·v</w:t>
      </w:r>
      <w:r>
        <w:rPr>
          <w:color w:val="auto"/>
          <w:vertAlign w:val="subscript"/>
        </w:rPr>
        <w:t>x</w:t>
      </w:r>
    </w:p>
    <w:p>
      <w:pPr>
        <w:pStyle w:val="32"/>
        <w:spacing w:line="360" w:lineRule="auto"/>
        <w:ind w:firstLine="480" w:firstLineChars="200"/>
        <w:jc w:val="both"/>
        <w:rPr>
          <w:color w:val="auto"/>
        </w:rPr>
      </w:pPr>
      <w:r>
        <w:rPr>
          <w:color w:val="auto"/>
        </w:rPr>
        <w:t>式中，P——集气罩敞开面的周长，m；</w:t>
      </w:r>
    </w:p>
    <w:p>
      <w:pPr>
        <w:pStyle w:val="32"/>
        <w:spacing w:line="360" w:lineRule="auto"/>
        <w:ind w:firstLine="1200" w:firstLineChars="500"/>
        <w:jc w:val="both"/>
        <w:rPr>
          <w:color w:val="auto"/>
        </w:rPr>
      </w:pPr>
      <w:r>
        <w:rPr>
          <w:color w:val="auto"/>
        </w:rPr>
        <w:t>H——罩口至有害物源的距离，m；</w:t>
      </w:r>
    </w:p>
    <w:p>
      <w:pPr>
        <w:pStyle w:val="32"/>
        <w:spacing w:line="360" w:lineRule="auto"/>
        <w:ind w:firstLine="1200" w:firstLineChars="500"/>
        <w:jc w:val="both"/>
        <w:rPr>
          <w:color w:val="auto"/>
          <w:vertAlign w:val="subscript"/>
        </w:rPr>
      </w:pPr>
      <w:r>
        <w:rPr>
          <w:color w:val="auto"/>
        </w:rPr>
        <w:t>V</w:t>
      </w:r>
      <w:r>
        <w:rPr>
          <w:color w:val="auto"/>
          <w:vertAlign w:val="subscript"/>
        </w:rPr>
        <w:t>x</w:t>
      </w:r>
      <w:r>
        <w:rPr>
          <w:color w:val="auto"/>
        </w:rPr>
        <w:t>——边缘控制点的控制风速，m/s；</w:t>
      </w:r>
    </w:p>
    <w:p>
      <w:pPr>
        <w:pStyle w:val="32"/>
        <w:spacing w:line="360" w:lineRule="auto"/>
        <w:ind w:firstLine="1200" w:firstLineChars="500"/>
        <w:jc w:val="both"/>
        <w:rPr>
          <w:color w:val="auto"/>
        </w:rPr>
      </w:pPr>
      <w:r>
        <w:rPr>
          <w:color w:val="auto"/>
        </w:rPr>
        <w:t>K——考虑沿高度分布不均匀的安全系数，通常取K=1.4。</w:t>
      </w:r>
    </w:p>
    <w:p>
      <w:pPr>
        <w:spacing w:line="360" w:lineRule="auto"/>
        <w:ind w:firstLine="480" w:firstLineChars="200"/>
        <w:rPr>
          <w:color w:val="auto"/>
          <w:sz w:val="24"/>
        </w:rPr>
      </w:pPr>
      <w:r>
        <w:rPr>
          <w:rFonts w:hint="eastAsia"/>
          <w:color w:val="auto"/>
          <w:kern w:val="0"/>
          <w:sz w:val="24"/>
        </w:rPr>
        <w:t>集气罩尺寸为0.5m×1m，则其</w:t>
      </w:r>
      <w:r>
        <w:rPr>
          <w:color w:val="auto"/>
          <w:kern w:val="0"/>
          <w:sz w:val="24"/>
        </w:rPr>
        <w:t>周长为</w:t>
      </w:r>
      <w:r>
        <w:rPr>
          <w:rFonts w:hint="eastAsia"/>
          <w:color w:val="auto"/>
          <w:kern w:val="0"/>
          <w:sz w:val="24"/>
        </w:rPr>
        <w:t>3</w:t>
      </w:r>
      <w:r>
        <w:rPr>
          <w:color w:val="auto"/>
          <w:kern w:val="0"/>
          <w:sz w:val="24"/>
        </w:rPr>
        <w:t>m，H约0.1m，代入上式可得单个集气罩的排气量L为</w:t>
      </w:r>
      <w:r>
        <w:rPr>
          <w:rFonts w:hint="eastAsia"/>
          <w:color w:val="auto"/>
          <w:kern w:val="0"/>
          <w:sz w:val="24"/>
        </w:rPr>
        <w:t>0.42</w:t>
      </w:r>
      <w:r>
        <w:rPr>
          <w:color w:val="auto"/>
          <w:kern w:val="0"/>
          <w:sz w:val="24"/>
        </w:rPr>
        <w:t>m</w:t>
      </w:r>
      <w:r>
        <w:rPr>
          <w:color w:val="auto"/>
          <w:kern w:val="0"/>
          <w:sz w:val="24"/>
          <w:vertAlign w:val="superscript"/>
        </w:rPr>
        <w:t>3</w:t>
      </w:r>
      <w:r>
        <w:rPr>
          <w:color w:val="auto"/>
          <w:kern w:val="0"/>
          <w:sz w:val="24"/>
        </w:rPr>
        <w:t>/s，折合</w:t>
      </w:r>
      <w:r>
        <w:rPr>
          <w:rFonts w:hint="eastAsia"/>
          <w:color w:val="auto"/>
          <w:kern w:val="0"/>
          <w:sz w:val="24"/>
        </w:rPr>
        <w:t>1512</w:t>
      </w:r>
      <w:r>
        <w:rPr>
          <w:color w:val="auto"/>
          <w:kern w:val="0"/>
          <w:sz w:val="24"/>
        </w:rPr>
        <w:t>m</w:t>
      </w:r>
      <w:r>
        <w:rPr>
          <w:color w:val="auto"/>
          <w:kern w:val="0"/>
          <w:sz w:val="24"/>
          <w:vertAlign w:val="superscript"/>
        </w:rPr>
        <w:t>3</w:t>
      </w:r>
      <w:r>
        <w:rPr>
          <w:color w:val="auto"/>
          <w:kern w:val="0"/>
          <w:sz w:val="24"/>
        </w:rPr>
        <w:t>/h。</w:t>
      </w:r>
      <w:r>
        <w:rPr>
          <w:rFonts w:hint="eastAsia"/>
          <w:color w:val="auto"/>
          <w:kern w:val="0"/>
          <w:sz w:val="24"/>
        </w:rPr>
        <w:t>项目</w:t>
      </w:r>
      <w:r>
        <w:rPr>
          <w:color w:val="auto"/>
          <w:kern w:val="0"/>
          <w:sz w:val="24"/>
        </w:rPr>
        <w:t>共需要集气罩</w:t>
      </w:r>
      <w:r>
        <w:rPr>
          <w:rFonts w:hint="eastAsia"/>
          <w:color w:val="auto"/>
          <w:kern w:val="0"/>
          <w:sz w:val="24"/>
        </w:rPr>
        <w:t>8</w:t>
      </w:r>
      <w:r>
        <w:rPr>
          <w:color w:val="auto"/>
          <w:kern w:val="0"/>
          <w:sz w:val="24"/>
        </w:rPr>
        <w:t>个，则</w:t>
      </w:r>
      <w:r>
        <w:rPr>
          <w:rFonts w:hint="eastAsia"/>
          <w:color w:val="auto"/>
          <w:kern w:val="0"/>
          <w:sz w:val="24"/>
        </w:rPr>
        <w:t>合计最低所</w:t>
      </w:r>
      <w:r>
        <w:rPr>
          <w:color w:val="auto"/>
          <w:sz w:val="24"/>
        </w:rPr>
        <w:t>需风量为</w:t>
      </w:r>
      <w:r>
        <w:rPr>
          <w:rFonts w:hint="eastAsia"/>
          <w:color w:val="auto"/>
          <w:sz w:val="24"/>
        </w:rPr>
        <w:t>12096</w:t>
      </w:r>
      <w:r>
        <w:rPr>
          <w:color w:val="auto"/>
          <w:sz w:val="24"/>
        </w:rPr>
        <w:t>m</w:t>
      </w:r>
      <w:r>
        <w:rPr>
          <w:color w:val="auto"/>
          <w:sz w:val="24"/>
          <w:vertAlign w:val="superscript"/>
        </w:rPr>
        <w:t>3</w:t>
      </w:r>
      <w:r>
        <w:rPr>
          <w:color w:val="auto"/>
          <w:sz w:val="24"/>
        </w:rPr>
        <w:t>/h。</w:t>
      </w:r>
    </w:p>
    <w:p>
      <w:pPr>
        <w:ind w:firstLine="480" w:firstLineChars="200"/>
        <w:rPr>
          <w:color w:val="auto"/>
          <w:sz w:val="24"/>
        </w:rPr>
      </w:pPr>
      <w:r>
        <w:rPr>
          <w:rFonts w:hint="eastAsia"/>
          <w:color w:val="auto"/>
          <w:sz w:val="24"/>
        </w:rPr>
        <w:t>2、卷材生产线</w:t>
      </w:r>
    </w:p>
    <w:p>
      <w:pPr>
        <w:spacing w:line="360" w:lineRule="auto"/>
        <w:ind w:firstLine="480" w:firstLineChars="200"/>
        <w:rPr>
          <w:color w:val="auto"/>
          <w:sz w:val="24"/>
        </w:rPr>
      </w:pPr>
      <w:r>
        <w:rPr>
          <w:rFonts w:hint="eastAsia"/>
          <w:color w:val="auto"/>
          <w:sz w:val="24"/>
        </w:rPr>
        <w:t>卷材生产线的废气产生于配料、预浸、浸涂、覆膜和冷却工序。项目拟采用墙体、玻璃等对这些工序的操作范围进行围蔽，</w:t>
      </w:r>
      <w:r>
        <w:rPr>
          <w:color w:val="auto"/>
          <w:kern w:val="0"/>
          <w:sz w:val="24"/>
        </w:rPr>
        <w:t>门口处设有PVC塑料门帘，形成密闭、独立的区域。</w:t>
      </w:r>
      <w:r>
        <w:rPr>
          <w:rFonts w:hint="eastAsia"/>
          <w:color w:val="auto"/>
          <w:kern w:val="0"/>
          <w:sz w:val="24"/>
        </w:rPr>
        <w:t>该面积长26m，宽22m，高5m，</w:t>
      </w:r>
      <w:r>
        <w:rPr>
          <w:rFonts w:hint="eastAsia"/>
          <w:color w:val="auto"/>
          <w:sz w:val="24"/>
        </w:rPr>
        <w:t>内设集气罩、吸风口等对废气进行收集，在风机的作用下，该区域将形成负压，对废气的收集效率可达99%。</w:t>
      </w:r>
    </w:p>
    <w:p>
      <w:pPr>
        <w:spacing w:line="360" w:lineRule="auto"/>
        <w:ind w:firstLine="480" w:firstLineChars="200"/>
        <w:rPr>
          <w:color w:val="auto"/>
          <w:sz w:val="24"/>
        </w:rPr>
      </w:pPr>
      <w:r>
        <w:rPr>
          <w:rFonts w:hint="eastAsia"/>
          <w:color w:val="auto"/>
          <w:sz w:val="24"/>
        </w:rPr>
        <w:t>该区域内对空气的洁净程度要求</w:t>
      </w:r>
      <w:r>
        <w:rPr>
          <w:color w:val="auto"/>
          <w:sz w:val="24"/>
        </w:rPr>
        <w:t>不高，处于《洁净厂房设计规范》（GB50073-2001）的空气洁净度8~9级水平，车间内的气流流型为非单向流，换气次数以10~15次/小时适宜。</w:t>
      </w:r>
      <w:r>
        <w:rPr>
          <w:rFonts w:hint="eastAsia"/>
          <w:color w:val="auto"/>
          <w:sz w:val="24"/>
        </w:rPr>
        <w:t>本报告取值10</w:t>
      </w:r>
      <w:r>
        <w:rPr>
          <w:color w:val="auto"/>
          <w:sz w:val="24"/>
        </w:rPr>
        <w:t>次/小时</w:t>
      </w:r>
      <w:r>
        <w:rPr>
          <w:rFonts w:hint="eastAsia"/>
          <w:color w:val="auto"/>
          <w:sz w:val="24"/>
        </w:rPr>
        <w:t>，</w:t>
      </w:r>
      <w:r>
        <w:rPr>
          <w:color w:val="auto"/>
          <w:sz w:val="24"/>
        </w:rPr>
        <w:t>则最小通风量应大于：</w:t>
      </w:r>
    </w:p>
    <w:p>
      <w:pPr>
        <w:spacing w:line="360" w:lineRule="auto"/>
        <w:ind w:firstLine="480" w:firstLineChars="200"/>
        <w:jc w:val="center"/>
        <w:rPr>
          <w:color w:val="auto"/>
          <w:sz w:val="24"/>
        </w:rPr>
      </w:pPr>
      <w:r>
        <w:rPr>
          <w:color w:val="auto"/>
          <w:sz w:val="24"/>
        </w:rPr>
        <w:t>风量Q =面积×高度×换气次数</w:t>
      </w:r>
    </w:p>
    <w:p>
      <w:pPr>
        <w:spacing w:line="360" w:lineRule="auto"/>
        <w:ind w:firstLine="480" w:firstLineChars="200"/>
        <w:jc w:val="center"/>
        <w:rPr>
          <w:color w:val="auto"/>
          <w:sz w:val="24"/>
        </w:rPr>
      </w:pPr>
      <w:r>
        <w:rPr>
          <w:color w:val="auto"/>
          <w:sz w:val="24"/>
        </w:rPr>
        <w:t xml:space="preserve">  </w:t>
      </w:r>
      <w:r>
        <w:rPr>
          <w:rFonts w:hint="eastAsia"/>
          <w:color w:val="auto"/>
          <w:sz w:val="24"/>
        </w:rPr>
        <w:t xml:space="preserve">      </w:t>
      </w:r>
      <w:r>
        <w:rPr>
          <w:color w:val="auto"/>
          <w:sz w:val="24"/>
        </w:rPr>
        <w:t>=</w:t>
      </w:r>
      <w:r>
        <w:rPr>
          <w:rFonts w:hint="eastAsia"/>
          <w:color w:val="auto"/>
          <w:sz w:val="24"/>
        </w:rPr>
        <w:t>24</w:t>
      </w:r>
      <w:r>
        <w:rPr>
          <w:color w:val="auto"/>
          <w:sz w:val="24"/>
        </w:rPr>
        <w:t>m×</w:t>
      </w:r>
      <w:r>
        <w:rPr>
          <w:rFonts w:hint="eastAsia"/>
          <w:color w:val="auto"/>
          <w:sz w:val="24"/>
        </w:rPr>
        <w:t>20m×</w:t>
      </w:r>
      <w:r>
        <w:rPr>
          <w:color w:val="auto"/>
          <w:sz w:val="24"/>
        </w:rPr>
        <w:t>5m×</w:t>
      </w:r>
      <w:r>
        <w:rPr>
          <w:rFonts w:hint="eastAsia"/>
          <w:color w:val="auto"/>
          <w:sz w:val="24"/>
        </w:rPr>
        <w:t>10</w:t>
      </w:r>
      <w:r>
        <w:rPr>
          <w:color w:val="auto"/>
          <w:sz w:val="24"/>
        </w:rPr>
        <w:t>次/h</w:t>
      </w:r>
    </w:p>
    <w:p>
      <w:pPr>
        <w:spacing w:line="360" w:lineRule="auto"/>
        <w:ind w:firstLine="3840" w:firstLineChars="1600"/>
        <w:rPr>
          <w:color w:val="auto"/>
          <w:sz w:val="24"/>
        </w:rPr>
      </w:pPr>
      <w:r>
        <w:rPr>
          <w:color w:val="auto"/>
          <w:sz w:val="24"/>
        </w:rPr>
        <w:t>=</w:t>
      </w:r>
      <w:r>
        <w:rPr>
          <w:rFonts w:hint="eastAsia"/>
          <w:color w:val="auto"/>
          <w:sz w:val="24"/>
        </w:rPr>
        <w:t>24000</w:t>
      </w:r>
      <w:r>
        <w:rPr>
          <w:color w:val="auto"/>
          <w:sz w:val="24"/>
        </w:rPr>
        <w:t>m</w:t>
      </w:r>
      <w:r>
        <w:rPr>
          <w:color w:val="auto"/>
          <w:sz w:val="24"/>
          <w:vertAlign w:val="superscript"/>
        </w:rPr>
        <w:t>3</w:t>
      </w:r>
      <w:r>
        <w:rPr>
          <w:color w:val="auto"/>
          <w:sz w:val="24"/>
        </w:rPr>
        <w:t>/h；</w:t>
      </w:r>
    </w:p>
    <w:p>
      <w:pPr>
        <w:pStyle w:val="6"/>
        <w:spacing w:line="360" w:lineRule="auto"/>
        <w:ind w:firstLine="480"/>
        <w:rPr>
          <w:color w:val="auto"/>
          <w:sz w:val="24"/>
        </w:rPr>
      </w:pPr>
      <w:r>
        <w:rPr>
          <w:rFonts w:hint="eastAsia"/>
          <w:color w:val="auto"/>
          <w:sz w:val="24"/>
        </w:rPr>
        <w:t>3、导热油炉燃烧废气</w:t>
      </w:r>
    </w:p>
    <w:p>
      <w:pPr>
        <w:pStyle w:val="6"/>
        <w:spacing w:line="360" w:lineRule="auto"/>
        <w:ind w:firstLine="480"/>
        <w:rPr>
          <w:color w:val="auto"/>
          <w:sz w:val="24"/>
        </w:rPr>
      </w:pPr>
      <w:r>
        <w:rPr>
          <w:rFonts w:hint="eastAsia"/>
          <w:color w:val="auto"/>
          <w:sz w:val="24"/>
        </w:rPr>
        <w:t>项目的导热油炉使用天然气作为原料，以间接加热的方式加热导热油为项目个设备传输热量。天然气的燃烧在燃烧室内进行，采用自然吸气的方式即可满足供气需求。燃烧室内设有尾气收集口，燃烧尾气产生后将在热力的推动下往上飘散，最后从15m高的排气筒G3外排。尾气的收集效率可达100%。</w:t>
      </w:r>
    </w:p>
    <w:p>
      <w:pPr>
        <w:spacing w:line="360" w:lineRule="auto"/>
        <w:ind w:firstLine="480" w:firstLineChars="200"/>
        <w:jc w:val="left"/>
        <w:rPr>
          <w:color w:val="auto"/>
          <w:sz w:val="24"/>
        </w:rPr>
      </w:pPr>
      <w:r>
        <w:rPr>
          <w:color w:val="auto"/>
          <w:sz w:val="24"/>
        </w:rPr>
        <w:t>4、废气收集分析小结</w:t>
      </w:r>
    </w:p>
    <w:p>
      <w:pPr>
        <w:spacing w:line="360" w:lineRule="auto"/>
        <w:ind w:firstLine="480" w:firstLineChars="200"/>
        <w:jc w:val="left"/>
        <w:rPr>
          <w:color w:val="auto"/>
          <w:sz w:val="24"/>
        </w:rPr>
      </w:pPr>
      <w:r>
        <w:rPr>
          <w:rFonts w:hint="eastAsia"/>
          <w:color w:val="auto"/>
          <w:sz w:val="24"/>
        </w:rPr>
        <w:t>根据</w:t>
      </w:r>
      <w:r>
        <w:rPr>
          <w:color w:val="auto"/>
          <w:sz w:val="24"/>
        </w:rPr>
        <w:t>《</w:t>
      </w:r>
      <w:r>
        <w:rPr>
          <w:color w:val="auto"/>
        </w:rPr>
        <w:fldChar w:fldCharType="begin"/>
      </w:r>
      <w:r>
        <w:rPr>
          <w:color w:val="auto"/>
        </w:rPr>
        <w:instrText xml:space="preserve"> HYPERLINK "http://www.baidu.com/link?url=aF4HSIC57nBgXa_QnMLbgbUtMuoOx8ZMreaELLnoOwYaWYN7LIwYXlqVJbRnqeCQw6hsP7t_mxClmfrlw_nVAa" \t "https://www.baidu.com/_blank" </w:instrText>
      </w:r>
      <w:r>
        <w:rPr>
          <w:color w:val="auto"/>
        </w:rPr>
        <w:fldChar w:fldCharType="separate"/>
      </w:r>
      <w:r>
        <w:rPr>
          <w:color w:val="auto"/>
          <w:sz w:val="24"/>
        </w:rPr>
        <w:t>吸附法工业有机废气治理工程技术规范</w:t>
      </w:r>
      <w:r>
        <w:rPr>
          <w:color w:val="auto"/>
          <w:sz w:val="24"/>
        </w:rPr>
        <w:fldChar w:fldCharType="end"/>
      </w:r>
      <w:r>
        <w:rPr>
          <w:color w:val="auto"/>
          <w:sz w:val="24"/>
        </w:rPr>
        <w:t>》（HJ2026—2013）规定：设计风量宜按照最大废气排放量的120%进行设计</w:t>
      </w:r>
      <w:r>
        <w:rPr>
          <w:rFonts w:hint="eastAsia"/>
          <w:color w:val="auto"/>
          <w:sz w:val="24"/>
        </w:rPr>
        <w:t>。因此</w:t>
      </w:r>
      <w:r>
        <w:rPr>
          <w:color w:val="auto"/>
          <w:sz w:val="24"/>
        </w:rPr>
        <w:t>，项目的各</w:t>
      </w:r>
      <w:r>
        <w:rPr>
          <w:rFonts w:hint="eastAsia"/>
          <w:color w:val="auto"/>
          <w:sz w:val="24"/>
        </w:rPr>
        <w:t>处</w:t>
      </w:r>
      <w:r>
        <w:rPr>
          <w:color w:val="auto"/>
          <w:sz w:val="24"/>
        </w:rPr>
        <w:t>废气收集所需风量如下表。</w:t>
      </w:r>
    </w:p>
    <w:p>
      <w:pPr>
        <w:pStyle w:val="32"/>
        <w:spacing w:line="360" w:lineRule="auto"/>
        <w:jc w:val="center"/>
        <w:rPr>
          <w:b/>
          <w:bCs/>
          <w:color w:val="auto"/>
          <w:sz w:val="21"/>
          <w:szCs w:val="21"/>
        </w:rPr>
      </w:pPr>
      <w:r>
        <w:rPr>
          <w:b/>
          <w:bCs/>
          <w:color w:val="auto"/>
          <w:sz w:val="21"/>
          <w:szCs w:val="21"/>
        </w:rPr>
        <w:t>表</w:t>
      </w:r>
      <w:r>
        <w:rPr>
          <w:rFonts w:hint="eastAsia"/>
          <w:b/>
          <w:bCs/>
          <w:color w:val="auto"/>
          <w:sz w:val="21"/>
          <w:szCs w:val="21"/>
        </w:rPr>
        <w:t>8</w:t>
      </w:r>
      <w:r>
        <w:rPr>
          <w:b/>
          <w:bCs/>
          <w:color w:val="auto"/>
          <w:sz w:val="21"/>
          <w:szCs w:val="21"/>
        </w:rPr>
        <w:t xml:space="preserve">.1-2 </w:t>
      </w:r>
      <w:r>
        <w:rPr>
          <w:rFonts w:hint="eastAsia"/>
          <w:b/>
          <w:bCs/>
          <w:color w:val="auto"/>
          <w:sz w:val="21"/>
          <w:szCs w:val="21"/>
        </w:rPr>
        <w:t xml:space="preserve"> </w:t>
      </w:r>
      <w:r>
        <w:rPr>
          <w:b/>
          <w:bCs/>
          <w:color w:val="auto"/>
          <w:sz w:val="21"/>
          <w:szCs w:val="21"/>
        </w:rPr>
        <w:t>项目各</w:t>
      </w:r>
      <w:r>
        <w:rPr>
          <w:rFonts w:hint="eastAsia"/>
          <w:b/>
          <w:bCs/>
          <w:color w:val="auto"/>
          <w:sz w:val="21"/>
          <w:szCs w:val="21"/>
        </w:rPr>
        <w:t>处</w:t>
      </w:r>
      <w:r>
        <w:rPr>
          <w:b/>
          <w:bCs/>
          <w:color w:val="auto"/>
          <w:sz w:val="21"/>
          <w:szCs w:val="21"/>
        </w:rPr>
        <w:t>废气收集所需风量汇总表</w:t>
      </w:r>
    </w:p>
    <w:tbl>
      <w:tblPr>
        <w:tblStyle w:val="24"/>
        <w:tblW w:w="89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811"/>
        <w:gridCol w:w="1080"/>
        <w:gridCol w:w="1581"/>
        <w:gridCol w:w="1150"/>
        <w:gridCol w:w="1525"/>
        <w:gridCol w:w="1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78" w:type="dxa"/>
            <w:tcBorders>
              <w:tl2br w:val="nil"/>
              <w:tr2bl w:val="nil"/>
            </w:tcBorders>
            <w:vAlign w:val="center"/>
          </w:tcPr>
          <w:p>
            <w:pPr>
              <w:pStyle w:val="32"/>
              <w:jc w:val="center"/>
              <w:rPr>
                <w:color w:val="auto"/>
                <w:sz w:val="21"/>
                <w:szCs w:val="21"/>
              </w:rPr>
            </w:pPr>
            <w:r>
              <w:rPr>
                <w:color w:val="auto"/>
                <w:sz w:val="21"/>
                <w:szCs w:val="21"/>
              </w:rPr>
              <w:t>工序</w:t>
            </w:r>
          </w:p>
        </w:tc>
        <w:tc>
          <w:tcPr>
            <w:tcW w:w="811" w:type="dxa"/>
            <w:tcBorders>
              <w:tl2br w:val="nil"/>
              <w:tr2bl w:val="nil"/>
            </w:tcBorders>
            <w:vAlign w:val="center"/>
          </w:tcPr>
          <w:p>
            <w:pPr>
              <w:pStyle w:val="32"/>
              <w:jc w:val="center"/>
              <w:rPr>
                <w:color w:val="auto"/>
                <w:sz w:val="21"/>
                <w:szCs w:val="21"/>
              </w:rPr>
            </w:pPr>
            <w:r>
              <w:rPr>
                <w:color w:val="auto"/>
                <w:sz w:val="21"/>
                <w:szCs w:val="21"/>
              </w:rPr>
              <w:t>位置</w:t>
            </w:r>
          </w:p>
        </w:tc>
        <w:tc>
          <w:tcPr>
            <w:tcW w:w="1080" w:type="dxa"/>
            <w:tcBorders>
              <w:tl2br w:val="nil"/>
              <w:tr2bl w:val="nil"/>
            </w:tcBorders>
            <w:vAlign w:val="center"/>
          </w:tcPr>
          <w:p>
            <w:pPr>
              <w:pStyle w:val="32"/>
              <w:jc w:val="center"/>
              <w:rPr>
                <w:color w:val="auto"/>
                <w:sz w:val="21"/>
                <w:szCs w:val="21"/>
              </w:rPr>
            </w:pPr>
            <w:r>
              <w:rPr>
                <w:rFonts w:hint="eastAsia"/>
                <w:color w:val="auto"/>
                <w:sz w:val="21"/>
                <w:szCs w:val="21"/>
              </w:rPr>
              <w:t>收集措施</w:t>
            </w:r>
          </w:p>
        </w:tc>
        <w:tc>
          <w:tcPr>
            <w:tcW w:w="1581" w:type="dxa"/>
            <w:tcBorders>
              <w:tl2br w:val="nil"/>
              <w:tr2bl w:val="nil"/>
            </w:tcBorders>
            <w:vAlign w:val="center"/>
          </w:tcPr>
          <w:p>
            <w:pPr>
              <w:pStyle w:val="32"/>
              <w:jc w:val="center"/>
              <w:rPr>
                <w:color w:val="auto"/>
                <w:sz w:val="21"/>
                <w:szCs w:val="21"/>
              </w:rPr>
            </w:pPr>
            <w:r>
              <w:rPr>
                <w:color w:val="auto"/>
                <w:sz w:val="21"/>
                <w:szCs w:val="21"/>
              </w:rPr>
              <w:t>单个措施所需风量（m</w:t>
            </w:r>
            <w:r>
              <w:rPr>
                <w:color w:val="auto"/>
                <w:sz w:val="21"/>
                <w:szCs w:val="21"/>
                <w:vertAlign w:val="superscript"/>
              </w:rPr>
              <w:t>3</w:t>
            </w:r>
            <w:r>
              <w:rPr>
                <w:color w:val="auto"/>
                <w:sz w:val="21"/>
                <w:szCs w:val="21"/>
              </w:rPr>
              <w:t>/h）</w:t>
            </w:r>
          </w:p>
        </w:tc>
        <w:tc>
          <w:tcPr>
            <w:tcW w:w="1150" w:type="dxa"/>
            <w:tcBorders>
              <w:tl2br w:val="nil"/>
              <w:tr2bl w:val="nil"/>
            </w:tcBorders>
            <w:vAlign w:val="center"/>
          </w:tcPr>
          <w:p>
            <w:pPr>
              <w:pStyle w:val="32"/>
              <w:jc w:val="center"/>
              <w:rPr>
                <w:color w:val="auto"/>
                <w:sz w:val="21"/>
                <w:szCs w:val="21"/>
              </w:rPr>
            </w:pPr>
            <w:r>
              <w:rPr>
                <w:color w:val="auto"/>
                <w:sz w:val="21"/>
                <w:szCs w:val="21"/>
              </w:rPr>
              <w:t>措施数量</w:t>
            </w:r>
          </w:p>
          <w:p>
            <w:pPr>
              <w:pStyle w:val="32"/>
              <w:jc w:val="center"/>
              <w:rPr>
                <w:color w:val="auto"/>
                <w:sz w:val="21"/>
                <w:szCs w:val="21"/>
              </w:rPr>
            </w:pPr>
            <w:r>
              <w:rPr>
                <w:color w:val="auto"/>
                <w:sz w:val="21"/>
                <w:szCs w:val="21"/>
              </w:rPr>
              <w:t>（个）</w:t>
            </w:r>
          </w:p>
        </w:tc>
        <w:tc>
          <w:tcPr>
            <w:tcW w:w="1525" w:type="dxa"/>
            <w:tcBorders>
              <w:tl2br w:val="nil"/>
              <w:tr2bl w:val="nil"/>
            </w:tcBorders>
            <w:vAlign w:val="center"/>
          </w:tcPr>
          <w:p>
            <w:pPr>
              <w:pStyle w:val="32"/>
              <w:jc w:val="center"/>
              <w:rPr>
                <w:color w:val="auto"/>
                <w:sz w:val="21"/>
                <w:szCs w:val="21"/>
              </w:rPr>
            </w:pPr>
            <w:r>
              <w:rPr>
                <w:rFonts w:hint="eastAsia"/>
                <w:color w:val="auto"/>
                <w:sz w:val="21"/>
                <w:szCs w:val="21"/>
              </w:rPr>
              <w:t>最低</w:t>
            </w:r>
            <w:r>
              <w:rPr>
                <w:color w:val="auto"/>
                <w:sz w:val="21"/>
                <w:szCs w:val="21"/>
              </w:rPr>
              <w:t>所需风量（m</w:t>
            </w:r>
            <w:r>
              <w:rPr>
                <w:color w:val="auto"/>
                <w:sz w:val="21"/>
                <w:szCs w:val="21"/>
                <w:vertAlign w:val="superscript"/>
              </w:rPr>
              <w:t>3</w:t>
            </w:r>
            <w:r>
              <w:rPr>
                <w:color w:val="auto"/>
                <w:sz w:val="21"/>
                <w:szCs w:val="21"/>
              </w:rPr>
              <w:t>/h）</w:t>
            </w:r>
          </w:p>
        </w:tc>
        <w:tc>
          <w:tcPr>
            <w:tcW w:w="1407" w:type="dxa"/>
            <w:tcBorders>
              <w:tl2br w:val="nil"/>
              <w:tr2bl w:val="nil"/>
            </w:tcBorders>
            <w:vAlign w:val="center"/>
          </w:tcPr>
          <w:p>
            <w:pPr>
              <w:pStyle w:val="32"/>
              <w:jc w:val="center"/>
              <w:rPr>
                <w:color w:val="auto"/>
                <w:sz w:val="21"/>
                <w:szCs w:val="21"/>
              </w:rPr>
            </w:pPr>
            <w:r>
              <w:rPr>
                <w:rFonts w:hint="eastAsia"/>
                <w:color w:val="auto"/>
                <w:sz w:val="21"/>
                <w:szCs w:val="21"/>
              </w:rPr>
              <w:t>设计风量</w:t>
            </w:r>
            <w:r>
              <w:rPr>
                <w:color w:val="auto"/>
                <w:sz w:val="21"/>
                <w:szCs w:val="21"/>
              </w:rPr>
              <w:t>（m</w:t>
            </w:r>
            <w:r>
              <w:rPr>
                <w:color w:val="auto"/>
                <w:sz w:val="21"/>
                <w:szCs w:val="21"/>
                <w:vertAlign w:val="superscript"/>
              </w:rPr>
              <w:t>3</w:t>
            </w:r>
            <w:r>
              <w:rPr>
                <w:color w:val="auto"/>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78" w:type="dxa"/>
            <w:tcBorders>
              <w:tl2br w:val="nil"/>
              <w:tr2bl w:val="nil"/>
            </w:tcBorders>
            <w:vAlign w:val="center"/>
          </w:tcPr>
          <w:p>
            <w:pPr>
              <w:pStyle w:val="32"/>
              <w:jc w:val="center"/>
              <w:rPr>
                <w:color w:val="auto"/>
                <w:sz w:val="21"/>
                <w:szCs w:val="21"/>
              </w:rPr>
            </w:pPr>
            <w:r>
              <w:rPr>
                <w:rFonts w:hint="eastAsia"/>
                <w:color w:val="auto"/>
                <w:sz w:val="21"/>
                <w:szCs w:val="21"/>
              </w:rPr>
              <w:t>一破工序</w:t>
            </w:r>
          </w:p>
        </w:tc>
        <w:tc>
          <w:tcPr>
            <w:tcW w:w="811" w:type="dxa"/>
            <w:tcBorders>
              <w:tl2br w:val="nil"/>
              <w:tr2bl w:val="nil"/>
            </w:tcBorders>
            <w:vAlign w:val="center"/>
          </w:tcPr>
          <w:p>
            <w:pPr>
              <w:pStyle w:val="32"/>
              <w:jc w:val="center"/>
              <w:rPr>
                <w:color w:val="auto"/>
                <w:sz w:val="21"/>
                <w:szCs w:val="21"/>
              </w:rPr>
            </w:pPr>
            <w:r>
              <w:rPr>
                <w:color w:val="auto"/>
                <w:sz w:val="21"/>
                <w:szCs w:val="21"/>
              </w:rPr>
              <w:t>混炼车间</w:t>
            </w:r>
          </w:p>
        </w:tc>
        <w:tc>
          <w:tcPr>
            <w:tcW w:w="1080" w:type="dxa"/>
            <w:tcBorders>
              <w:tl2br w:val="nil"/>
              <w:tr2bl w:val="nil"/>
            </w:tcBorders>
            <w:vAlign w:val="center"/>
          </w:tcPr>
          <w:p>
            <w:pPr>
              <w:pStyle w:val="32"/>
              <w:jc w:val="center"/>
              <w:rPr>
                <w:color w:val="auto"/>
                <w:sz w:val="21"/>
                <w:szCs w:val="21"/>
              </w:rPr>
            </w:pPr>
            <w:r>
              <w:rPr>
                <w:rFonts w:hint="eastAsia"/>
                <w:color w:val="auto"/>
                <w:sz w:val="21"/>
                <w:szCs w:val="21"/>
              </w:rPr>
              <w:t>上吸式集气罩</w:t>
            </w:r>
          </w:p>
        </w:tc>
        <w:tc>
          <w:tcPr>
            <w:tcW w:w="1581" w:type="dxa"/>
            <w:tcBorders>
              <w:tl2br w:val="nil"/>
              <w:tr2bl w:val="nil"/>
            </w:tcBorders>
            <w:vAlign w:val="center"/>
          </w:tcPr>
          <w:p>
            <w:pPr>
              <w:pStyle w:val="32"/>
              <w:jc w:val="center"/>
              <w:rPr>
                <w:color w:val="auto"/>
                <w:sz w:val="21"/>
                <w:szCs w:val="21"/>
              </w:rPr>
            </w:pPr>
            <w:r>
              <w:rPr>
                <w:rFonts w:hint="eastAsia"/>
                <w:color w:val="auto"/>
                <w:sz w:val="21"/>
                <w:szCs w:val="21"/>
              </w:rPr>
              <w:t>1512</w:t>
            </w:r>
          </w:p>
        </w:tc>
        <w:tc>
          <w:tcPr>
            <w:tcW w:w="1150" w:type="dxa"/>
            <w:tcBorders>
              <w:tl2br w:val="nil"/>
              <w:tr2bl w:val="nil"/>
            </w:tcBorders>
            <w:vAlign w:val="center"/>
          </w:tcPr>
          <w:p>
            <w:pPr>
              <w:pStyle w:val="32"/>
              <w:jc w:val="center"/>
              <w:rPr>
                <w:color w:val="auto"/>
                <w:sz w:val="21"/>
                <w:szCs w:val="21"/>
              </w:rPr>
            </w:pPr>
            <w:r>
              <w:rPr>
                <w:rFonts w:hint="eastAsia"/>
                <w:color w:val="auto"/>
                <w:sz w:val="21"/>
                <w:szCs w:val="21"/>
              </w:rPr>
              <w:t>8</w:t>
            </w:r>
          </w:p>
        </w:tc>
        <w:tc>
          <w:tcPr>
            <w:tcW w:w="1525" w:type="dxa"/>
            <w:tcBorders>
              <w:tl2br w:val="nil"/>
              <w:tr2bl w:val="nil"/>
            </w:tcBorders>
            <w:vAlign w:val="center"/>
          </w:tcPr>
          <w:p>
            <w:pPr>
              <w:pStyle w:val="32"/>
              <w:jc w:val="center"/>
              <w:rPr>
                <w:color w:val="auto"/>
                <w:sz w:val="21"/>
                <w:szCs w:val="21"/>
              </w:rPr>
            </w:pPr>
            <w:r>
              <w:rPr>
                <w:rFonts w:hint="eastAsia"/>
                <w:color w:val="auto"/>
                <w:sz w:val="21"/>
                <w:szCs w:val="21"/>
              </w:rPr>
              <w:t>12096</w:t>
            </w:r>
          </w:p>
        </w:tc>
        <w:tc>
          <w:tcPr>
            <w:tcW w:w="1407" w:type="dxa"/>
            <w:tcBorders>
              <w:tl2br w:val="nil"/>
              <w:tr2bl w:val="nil"/>
            </w:tcBorders>
            <w:vAlign w:val="center"/>
          </w:tcPr>
          <w:p>
            <w:pPr>
              <w:pStyle w:val="32"/>
              <w:jc w:val="center"/>
              <w:rPr>
                <w:color w:val="auto"/>
                <w:sz w:val="21"/>
                <w:szCs w:val="21"/>
              </w:rPr>
            </w:pPr>
            <w:r>
              <w:rPr>
                <w:rFonts w:hint="eastAsia"/>
                <w:color w:val="auto"/>
                <w:sz w:val="21"/>
                <w:szCs w:val="21"/>
              </w:rPr>
              <w:t>14515.2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78" w:type="dxa"/>
            <w:tcBorders>
              <w:tl2br w:val="nil"/>
              <w:tr2bl w:val="nil"/>
            </w:tcBorders>
            <w:vAlign w:val="center"/>
          </w:tcPr>
          <w:p>
            <w:pPr>
              <w:pStyle w:val="32"/>
              <w:jc w:val="center"/>
              <w:rPr>
                <w:color w:val="auto"/>
                <w:sz w:val="21"/>
                <w:szCs w:val="21"/>
              </w:rPr>
            </w:pPr>
            <w:r>
              <w:rPr>
                <w:rFonts w:hint="eastAsia"/>
                <w:color w:val="auto"/>
                <w:kern w:val="2"/>
                <w:sz w:val="21"/>
                <w:szCs w:val="21"/>
              </w:rPr>
              <w:t>配料、预浸、浸涂、覆膜和冷却工序</w:t>
            </w:r>
          </w:p>
        </w:tc>
        <w:tc>
          <w:tcPr>
            <w:tcW w:w="811" w:type="dxa"/>
            <w:vMerge w:val="restart"/>
            <w:tcBorders>
              <w:tl2br w:val="nil"/>
              <w:tr2bl w:val="nil"/>
            </w:tcBorders>
            <w:vAlign w:val="center"/>
          </w:tcPr>
          <w:p>
            <w:pPr>
              <w:pStyle w:val="32"/>
              <w:jc w:val="center"/>
              <w:rPr>
                <w:color w:val="auto"/>
                <w:sz w:val="21"/>
                <w:szCs w:val="21"/>
              </w:rPr>
            </w:pPr>
            <w:r>
              <w:rPr>
                <w:rFonts w:hint="eastAsia"/>
                <w:color w:val="auto"/>
                <w:sz w:val="21"/>
                <w:szCs w:val="21"/>
              </w:rPr>
              <w:t>卷材生产区</w:t>
            </w:r>
          </w:p>
        </w:tc>
        <w:tc>
          <w:tcPr>
            <w:tcW w:w="1080" w:type="dxa"/>
            <w:tcBorders>
              <w:tl2br w:val="nil"/>
              <w:tr2bl w:val="nil"/>
            </w:tcBorders>
            <w:vAlign w:val="center"/>
          </w:tcPr>
          <w:p>
            <w:pPr>
              <w:pStyle w:val="32"/>
              <w:jc w:val="center"/>
              <w:rPr>
                <w:color w:val="auto"/>
                <w:sz w:val="21"/>
                <w:szCs w:val="21"/>
              </w:rPr>
            </w:pPr>
            <w:r>
              <w:rPr>
                <w:rFonts w:hint="eastAsia"/>
                <w:color w:val="auto"/>
                <w:sz w:val="21"/>
                <w:szCs w:val="21"/>
              </w:rPr>
              <w:t>整室收集</w:t>
            </w:r>
          </w:p>
        </w:tc>
        <w:tc>
          <w:tcPr>
            <w:tcW w:w="1581" w:type="dxa"/>
            <w:tcBorders>
              <w:tl2br w:val="nil"/>
              <w:tr2bl w:val="nil"/>
            </w:tcBorders>
            <w:vAlign w:val="center"/>
          </w:tcPr>
          <w:p>
            <w:pPr>
              <w:pStyle w:val="32"/>
              <w:jc w:val="center"/>
              <w:rPr>
                <w:color w:val="auto"/>
                <w:sz w:val="21"/>
                <w:szCs w:val="21"/>
              </w:rPr>
            </w:pPr>
            <w:r>
              <w:rPr>
                <w:rFonts w:hint="eastAsia"/>
                <w:color w:val="auto"/>
                <w:sz w:val="21"/>
                <w:szCs w:val="21"/>
              </w:rPr>
              <w:t>24000</w:t>
            </w:r>
          </w:p>
        </w:tc>
        <w:tc>
          <w:tcPr>
            <w:tcW w:w="1150" w:type="dxa"/>
            <w:tcBorders>
              <w:tl2br w:val="nil"/>
              <w:tr2bl w:val="nil"/>
            </w:tcBorders>
            <w:vAlign w:val="center"/>
          </w:tcPr>
          <w:p>
            <w:pPr>
              <w:pStyle w:val="32"/>
              <w:jc w:val="center"/>
              <w:rPr>
                <w:color w:val="auto"/>
                <w:sz w:val="21"/>
                <w:szCs w:val="21"/>
              </w:rPr>
            </w:pPr>
            <w:r>
              <w:rPr>
                <w:color w:val="auto"/>
                <w:sz w:val="21"/>
                <w:szCs w:val="21"/>
              </w:rPr>
              <w:t>1</w:t>
            </w:r>
          </w:p>
        </w:tc>
        <w:tc>
          <w:tcPr>
            <w:tcW w:w="1525" w:type="dxa"/>
            <w:tcBorders>
              <w:tl2br w:val="nil"/>
              <w:tr2bl w:val="nil"/>
            </w:tcBorders>
            <w:vAlign w:val="center"/>
          </w:tcPr>
          <w:p>
            <w:pPr>
              <w:pStyle w:val="32"/>
              <w:jc w:val="center"/>
              <w:rPr>
                <w:color w:val="auto"/>
                <w:sz w:val="21"/>
                <w:szCs w:val="21"/>
              </w:rPr>
            </w:pPr>
            <w:r>
              <w:rPr>
                <w:rFonts w:hint="eastAsia"/>
                <w:color w:val="auto"/>
                <w:sz w:val="21"/>
                <w:szCs w:val="21"/>
              </w:rPr>
              <w:t>24000</w:t>
            </w:r>
          </w:p>
        </w:tc>
        <w:tc>
          <w:tcPr>
            <w:tcW w:w="1407" w:type="dxa"/>
            <w:tcBorders>
              <w:tl2br w:val="nil"/>
              <w:tr2bl w:val="nil"/>
            </w:tcBorders>
            <w:vAlign w:val="center"/>
          </w:tcPr>
          <w:p>
            <w:pPr>
              <w:pStyle w:val="32"/>
              <w:jc w:val="center"/>
              <w:rPr>
                <w:color w:val="auto"/>
                <w:sz w:val="21"/>
                <w:szCs w:val="21"/>
              </w:rPr>
            </w:pPr>
            <w:r>
              <w:rPr>
                <w:rFonts w:hint="eastAsia"/>
                <w:color w:val="auto"/>
                <w:sz w:val="21"/>
                <w:szCs w:val="21"/>
              </w:rPr>
              <w:t>28800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78" w:type="dxa"/>
            <w:tcBorders>
              <w:tl2br w:val="nil"/>
              <w:tr2bl w:val="nil"/>
            </w:tcBorders>
            <w:vAlign w:val="center"/>
          </w:tcPr>
          <w:p>
            <w:pPr>
              <w:pStyle w:val="32"/>
              <w:jc w:val="center"/>
              <w:rPr>
                <w:color w:val="auto"/>
                <w:sz w:val="21"/>
                <w:szCs w:val="21"/>
              </w:rPr>
            </w:pPr>
            <w:r>
              <w:rPr>
                <w:rFonts w:hint="eastAsia"/>
                <w:color w:val="auto"/>
                <w:sz w:val="21"/>
                <w:szCs w:val="21"/>
              </w:rPr>
              <w:t>导热油炉</w:t>
            </w:r>
          </w:p>
        </w:tc>
        <w:tc>
          <w:tcPr>
            <w:tcW w:w="811" w:type="dxa"/>
            <w:vMerge w:val="continue"/>
            <w:tcBorders>
              <w:tl2br w:val="nil"/>
              <w:tr2bl w:val="nil"/>
            </w:tcBorders>
            <w:vAlign w:val="center"/>
          </w:tcPr>
          <w:p>
            <w:pPr>
              <w:pStyle w:val="32"/>
              <w:jc w:val="center"/>
              <w:rPr>
                <w:color w:val="auto"/>
                <w:sz w:val="21"/>
                <w:szCs w:val="21"/>
              </w:rPr>
            </w:pPr>
          </w:p>
        </w:tc>
        <w:tc>
          <w:tcPr>
            <w:tcW w:w="1080" w:type="dxa"/>
            <w:tcBorders>
              <w:tl2br w:val="nil"/>
              <w:tr2bl w:val="nil"/>
            </w:tcBorders>
            <w:vAlign w:val="center"/>
          </w:tcPr>
          <w:p>
            <w:pPr>
              <w:pStyle w:val="32"/>
              <w:jc w:val="center"/>
              <w:rPr>
                <w:color w:val="auto"/>
                <w:sz w:val="21"/>
                <w:szCs w:val="21"/>
              </w:rPr>
            </w:pPr>
            <w:r>
              <w:rPr>
                <w:rFonts w:hint="eastAsia"/>
                <w:color w:val="auto"/>
                <w:sz w:val="21"/>
                <w:szCs w:val="21"/>
              </w:rPr>
              <w:t>管道收集</w:t>
            </w:r>
          </w:p>
        </w:tc>
        <w:tc>
          <w:tcPr>
            <w:tcW w:w="1581" w:type="dxa"/>
            <w:tcBorders>
              <w:tl2br w:val="nil"/>
              <w:tr2bl w:val="nil"/>
            </w:tcBorders>
            <w:vAlign w:val="center"/>
          </w:tcPr>
          <w:p>
            <w:pPr>
              <w:pStyle w:val="32"/>
              <w:jc w:val="center"/>
              <w:rPr>
                <w:color w:val="auto"/>
                <w:sz w:val="21"/>
                <w:szCs w:val="21"/>
              </w:rPr>
            </w:pPr>
            <w:r>
              <w:rPr>
                <w:rFonts w:hint="eastAsia"/>
                <w:color w:val="auto"/>
                <w:sz w:val="21"/>
                <w:szCs w:val="21"/>
              </w:rPr>
              <w:t>/</w:t>
            </w:r>
          </w:p>
        </w:tc>
        <w:tc>
          <w:tcPr>
            <w:tcW w:w="1150" w:type="dxa"/>
            <w:tcBorders>
              <w:tl2br w:val="nil"/>
              <w:tr2bl w:val="nil"/>
            </w:tcBorders>
            <w:vAlign w:val="center"/>
          </w:tcPr>
          <w:p>
            <w:pPr>
              <w:pStyle w:val="32"/>
              <w:jc w:val="center"/>
              <w:rPr>
                <w:color w:val="auto"/>
                <w:sz w:val="21"/>
                <w:szCs w:val="21"/>
              </w:rPr>
            </w:pPr>
            <w:r>
              <w:rPr>
                <w:rFonts w:hint="eastAsia"/>
                <w:color w:val="auto"/>
                <w:sz w:val="21"/>
                <w:szCs w:val="21"/>
              </w:rPr>
              <w:t>1</w:t>
            </w:r>
          </w:p>
        </w:tc>
        <w:tc>
          <w:tcPr>
            <w:tcW w:w="1525" w:type="dxa"/>
            <w:tcBorders>
              <w:tl2br w:val="nil"/>
              <w:tr2bl w:val="nil"/>
            </w:tcBorders>
            <w:vAlign w:val="center"/>
          </w:tcPr>
          <w:p>
            <w:pPr>
              <w:pStyle w:val="32"/>
              <w:jc w:val="center"/>
              <w:rPr>
                <w:color w:val="auto"/>
                <w:sz w:val="21"/>
                <w:szCs w:val="21"/>
              </w:rPr>
            </w:pPr>
            <w:r>
              <w:rPr>
                <w:rFonts w:hint="eastAsia"/>
                <w:color w:val="auto"/>
                <w:sz w:val="21"/>
                <w:szCs w:val="21"/>
              </w:rPr>
              <w:t>/</w:t>
            </w:r>
          </w:p>
        </w:tc>
        <w:tc>
          <w:tcPr>
            <w:tcW w:w="1407" w:type="dxa"/>
            <w:tcBorders>
              <w:tl2br w:val="nil"/>
              <w:tr2bl w:val="nil"/>
            </w:tcBorders>
            <w:vAlign w:val="center"/>
          </w:tcPr>
          <w:p>
            <w:pPr>
              <w:pStyle w:val="32"/>
              <w:jc w:val="center"/>
              <w:rPr>
                <w:color w:val="auto"/>
                <w:sz w:val="21"/>
                <w:szCs w:val="21"/>
              </w:rPr>
            </w:pPr>
            <w:r>
              <w:rPr>
                <w:rFonts w:hint="eastAsia"/>
                <w:color w:val="auto"/>
                <w:sz w:val="21"/>
                <w:szCs w:val="21"/>
              </w:rPr>
              <w:t>/</w:t>
            </w:r>
          </w:p>
        </w:tc>
      </w:tr>
    </w:tbl>
    <w:p>
      <w:pPr>
        <w:spacing w:line="360" w:lineRule="auto"/>
        <w:ind w:firstLine="480" w:firstLineChars="200"/>
        <w:rPr>
          <w:color w:val="auto"/>
          <w:sz w:val="24"/>
        </w:rPr>
      </w:pPr>
      <w:r>
        <w:rPr>
          <w:rFonts w:hint="eastAsia"/>
          <w:color w:val="auto"/>
          <w:sz w:val="24"/>
        </w:rPr>
        <w:t>由于实际运行</w:t>
      </w:r>
      <w:r>
        <w:rPr>
          <w:rFonts w:hint="default" w:ascii="Times New Roman" w:hAnsi="Times New Roman" w:eastAsia="宋体" w:cs="Times New Roman"/>
          <w:color w:val="auto"/>
          <w:sz w:val="24"/>
        </w:rPr>
        <w:t>时，由于管道阻力等因素，难免会存在一定的风量损失。为保证抽风效果，故建议项目</w:t>
      </w:r>
      <w:r>
        <w:rPr>
          <w:rFonts w:hint="default" w:ascii="Times New Roman" w:hAnsi="Times New Roman" w:eastAsia="宋体" w:cs="Times New Roman"/>
          <w:color w:val="auto"/>
          <w:sz w:val="24"/>
          <w:szCs w:val="24"/>
        </w:rPr>
        <w:t>一破工序</w:t>
      </w:r>
      <w:r>
        <w:rPr>
          <w:rFonts w:hint="default" w:ascii="Times New Roman" w:hAnsi="Times New Roman" w:eastAsia="宋体" w:cs="Times New Roman"/>
          <w:color w:val="auto"/>
          <w:sz w:val="24"/>
        </w:rPr>
        <w:t>采用风量在15000m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/h或以上的风机。卷材生产线的工艺废气收集采用风量在30000m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/h或以上的风机。</w:t>
      </w:r>
    </w:p>
    <w:p>
      <w:pPr>
        <w:pStyle w:val="44"/>
        <w:numPr>
          <w:ilvl w:val="2"/>
          <w:numId w:val="0"/>
        </w:numPr>
        <w:tabs>
          <w:tab w:val="clear" w:pos="720"/>
        </w:tabs>
        <w:spacing w:before="156" w:after="156" w:line="360" w:lineRule="auto"/>
        <w:rPr>
          <w:bCs/>
          <w:color w:val="auto"/>
          <w:kern w:val="2"/>
          <w:sz w:val="28"/>
          <w:szCs w:val="28"/>
        </w:rPr>
      </w:pPr>
      <w:bookmarkStart w:id="2687" w:name="_Toc15674"/>
      <w:r>
        <w:rPr>
          <w:rFonts w:hint="eastAsia"/>
          <w:bCs/>
          <w:color w:val="auto"/>
          <w:kern w:val="2"/>
          <w:sz w:val="28"/>
          <w:szCs w:val="28"/>
        </w:rPr>
        <w:t>8.1.3  废气治理方案比选</w:t>
      </w:r>
      <w:bookmarkEnd w:id="2687"/>
    </w:p>
    <w:p>
      <w:pPr>
        <w:pStyle w:val="6"/>
        <w:spacing w:line="360" w:lineRule="auto"/>
        <w:ind w:firstLine="480"/>
        <w:rPr>
          <w:color w:val="auto"/>
          <w:sz w:val="24"/>
        </w:rPr>
      </w:pPr>
      <w:r>
        <w:rPr>
          <w:color w:val="auto"/>
          <w:sz w:val="24"/>
        </w:rPr>
        <w:t>1、</w:t>
      </w:r>
      <w:r>
        <w:rPr>
          <w:rFonts w:hint="eastAsia"/>
          <w:color w:val="auto"/>
          <w:sz w:val="24"/>
        </w:rPr>
        <w:t>卷材生产线工艺废气治理方案比选</w:t>
      </w:r>
    </w:p>
    <w:p>
      <w:pPr>
        <w:spacing w:line="360" w:lineRule="auto"/>
        <w:ind w:firstLine="480" w:firstLineChars="200"/>
        <w:rPr>
          <w:color w:val="auto"/>
          <w:sz w:val="24"/>
        </w:rPr>
      </w:pPr>
      <w:r>
        <w:rPr>
          <w:rFonts w:hint="eastAsia"/>
          <w:color w:val="auto"/>
          <w:sz w:val="24"/>
        </w:rPr>
        <w:t>卷材生产线工艺废气主要包含投料粉尘和沥青烟。</w:t>
      </w:r>
    </w:p>
    <w:p>
      <w:pPr>
        <w:spacing w:line="360" w:lineRule="auto"/>
        <w:ind w:firstLine="480" w:firstLineChars="200"/>
        <w:rPr>
          <w:bCs/>
          <w:color w:val="auto"/>
          <w:sz w:val="24"/>
        </w:rPr>
      </w:pPr>
      <w:r>
        <w:rPr>
          <w:color w:val="auto"/>
          <w:sz w:val="24"/>
        </w:rPr>
        <w:t>沥青烟是以沥青为主，也包括煤炭、石油等燃料在高温下逸散到环境中的一种混合烟气。凡是在加工、制造和一切使用沥青、煤炭、石油的企业，在生产过程中均有不同浓度的沥青烟产生。含有沥青的物质，在加热与燃烧的过程中也会不同程度地产生沥青烟。</w:t>
      </w:r>
      <w:r>
        <w:rPr>
          <w:rFonts w:hint="eastAsia"/>
          <w:bCs/>
          <w:color w:val="auto"/>
          <w:sz w:val="24"/>
        </w:rPr>
        <w:t>从成分上分析，</w:t>
      </w:r>
      <w:r>
        <w:rPr>
          <w:color w:val="auto"/>
          <w:sz w:val="24"/>
        </w:rPr>
        <w:t>沥青中含有2.61%-40.7%的游离碳，其余为烃类及其衍生物等。</w:t>
      </w:r>
      <w:r>
        <w:rPr>
          <w:rFonts w:hint="eastAsia"/>
          <w:color w:val="auto"/>
          <w:sz w:val="24"/>
        </w:rPr>
        <w:t>上述物质主要以</w:t>
      </w:r>
      <w:r>
        <w:rPr>
          <w:bCs/>
          <w:color w:val="auto"/>
          <w:sz w:val="24"/>
        </w:rPr>
        <w:t>粒径在0.1-1.0μm的焦油细雾粒</w:t>
      </w:r>
      <w:r>
        <w:rPr>
          <w:rFonts w:hint="eastAsia"/>
          <w:bCs/>
          <w:color w:val="auto"/>
          <w:sz w:val="24"/>
        </w:rPr>
        <w:t>或有机气体的形式存在。概括来说，沥青烟中含有较多的焦油和有机废气。</w:t>
      </w:r>
      <w:r>
        <w:rPr>
          <w:bCs/>
          <w:color w:val="auto"/>
          <w:sz w:val="24"/>
        </w:rPr>
        <w:t>沥青烟气处理的主要任务就是对焦油细雾粒</w:t>
      </w:r>
      <w:r>
        <w:rPr>
          <w:rFonts w:hint="eastAsia"/>
          <w:bCs/>
          <w:color w:val="auto"/>
          <w:sz w:val="24"/>
        </w:rPr>
        <w:t>和有机废气</w:t>
      </w:r>
      <w:r>
        <w:rPr>
          <w:bCs/>
          <w:color w:val="auto"/>
          <w:sz w:val="24"/>
        </w:rPr>
        <w:t>进行处理，使得其不被排放到空气中，尽可能减少对环境想影响。</w:t>
      </w:r>
    </w:p>
    <w:p>
      <w:pPr>
        <w:spacing w:line="360" w:lineRule="auto"/>
        <w:ind w:firstLine="480" w:firstLineChars="200"/>
        <w:rPr>
          <w:bCs/>
          <w:color w:val="auto"/>
          <w:sz w:val="24"/>
        </w:rPr>
      </w:pPr>
      <w:r>
        <w:rPr>
          <w:rFonts w:hint="eastAsia"/>
          <w:bCs/>
          <w:color w:val="auto"/>
          <w:sz w:val="24"/>
        </w:rPr>
        <w:t>针对焦油的处理，一般常见的方法如下表8.1-3。</w:t>
      </w:r>
    </w:p>
    <w:p>
      <w:pPr>
        <w:spacing w:line="360" w:lineRule="auto"/>
        <w:ind w:firstLine="480" w:firstLineChars="200"/>
        <w:rPr>
          <w:bCs/>
          <w:color w:val="auto"/>
          <w:sz w:val="24"/>
        </w:rPr>
      </w:pPr>
      <w:r>
        <w:rPr>
          <w:rFonts w:hint="eastAsia"/>
          <w:bCs/>
          <w:color w:val="auto"/>
          <w:sz w:val="24"/>
        </w:rPr>
        <w:t>对于有机废气的治理，</w:t>
      </w:r>
      <w:r>
        <w:rPr>
          <w:bCs/>
          <w:color w:val="auto"/>
          <w:sz w:val="24"/>
        </w:rPr>
        <w:t>参考《大气污染治理工程技术导则》（HJ2000-2010）内容，挥发性有机化合物的基本处理方法包括回收类方法和消除类方法，回收类方法包括吸附法、吸收法、冷凝法、膜分离法；消除类方法包括燃烧法、生物法、低温等离子法和催化氧化法等。各种方法的适用范围和特点见下表</w:t>
      </w:r>
      <w:r>
        <w:rPr>
          <w:rFonts w:hint="eastAsia"/>
          <w:bCs/>
          <w:color w:val="auto"/>
          <w:sz w:val="24"/>
        </w:rPr>
        <w:t>8.1-4</w:t>
      </w:r>
      <w:r>
        <w:rPr>
          <w:bCs/>
          <w:color w:val="auto"/>
          <w:sz w:val="24"/>
        </w:rPr>
        <w:t>。</w:t>
      </w:r>
    </w:p>
    <w:p>
      <w:pPr>
        <w:pStyle w:val="32"/>
        <w:rPr>
          <w:color w:val="auto"/>
        </w:rPr>
        <w:sectPr>
          <w:pgSz w:w="11906" w:h="16838"/>
          <w:pgMar w:top="1417" w:right="1587" w:bottom="1417" w:left="1587" w:header="851" w:footer="992" w:gutter="0"/>
          <w:pgBorders>
            <w:top w:val="none" w:sz="0" w:space="0"/>
            <w:left w:val="none" w:sz="0" w:space="0"/>
            <w:bottom w:val="none" w:sz="0" w:space="0"/>
            <w:right w:val="none" w:sz="0" w:space="0"/>
          </w:pgBorders>
          <w:cols w:space="720" w:num="1"/>
          <w:docGrid w:type="lines" w:linePitch="312" w:charSpace="0"/>
        </w:sectPr>
      </w:pPr>
    </w:p>
    <w:p>
      <w:pPr>
        <w:spacing w:line="360" w:lineRule="auto"/>
        <w:ind w:firstLine="422" w:firstLineChars="200"/>
        <w:jc w:val="center"/>
        <w:rPr>
          <w:b/>
          <w:bCs/>
          <w:color w:val="auto"/>
          <w:kern w:val="0"/>
          <w:szCs w:val="21"/>
        </w:rPr>
      </w:pPr>
      <w:r>
        <w:rPr>
          <w:b/>
          <w:bCs/>
          <w:color w:val="auto"/>
          <w:kern w:val="0"/>
          <w:szCs w:val="21"/>
        </w:rPr>
        <w:t>表</w:t>
      </w:r>
      <w:r>
        <w:rPr>
          <w:rFonts w:hint="eastAsia"/>
          <w:b/>
          <w:bCs/>
          <w:color w:val="auto"/>
          <w:kern w:val="0"/>
          <w:szCs w:val="21"/>
        </w:rPr>
        <w:t>8</w:t>
      </w:r>
      <w:r>
        <w:rPr>
          <w:b/>
          <w:bCs/>
          <w:color w:val="auto"/>
          <w:kern w:val="0"/>
          <w:szCs w:val="21"/>
        </w:rPr>
        <w:t>.1-</w:t>
      </w:r>
      <w:r>
        <w:rPr>
          <w:rFonts w:hint="eastAsia"/>
          <w:b/>
          <w:bCs/>
          <w:color w:val="auto"/>
          <w:kern w:val="0"/>
          <w:szCs w:val="21"/>
        </w:rPr>
        <w:t xml:space="preserve">3  </w:t>
      </w:r>
      <w:r>
        <w:rPr>
          <w:b/>
          <w:bCs/>
          <w:color w:val="auto"/>
          <w:kern w:val="0"/>
          <w:szCs w:val="21"/>
        </w:rPr>
        <w:t>焦油微粒治理方案对比</w:t>
      </w:r>
    </w:p>
    <w:tbl>
      <w:tblPr>
        <w:tblStyle w:val="24"/>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3340"/>
        <w:gridCol w:w="1597"/>
        <w:gridCol w:w="3063"/>
        <w:gridCol w:w="2557"/>
        <w:gridCol w:w="2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rPr>
            </w:pPr>
            <w:bookmarkStart w:id="2688" w:name="_Toc23945"/>
            <w:bookmarkStart w:id="2689" w:name="_Toc19093"/>
            <w:bookmarkStart w:id="2690" w:name="_Toc15465"/>
            <w:bookmarkStart w:id="2691" w:name="_Toc7617"/>
            <w:r>
              <w:rPr>
                <w:color w:val="auto"/>
                <w:szCs w:val="21"/>
              </w:rPr>
              <w:t>方法</w:t>
            </w:r>
            <w:bookmarkEnd w:id="2688"/>
            <w:bookmarkEnd w:id="2689"/>
            <w:bookmarkEnd w:id="2690"/>
            <w:bookmarkEnd w:id="2691"/>
          </w:p>
        </w:tc>
        <w:tc>
          <w:tcPr>
            <w:tcW w:w="3340" w:type="dxa"/>
            <w:tcBorders>
              <w:tl2br w:val="nil"/>
              <w:tr2bl w:val="nil"/>
            </w:tcBorders>
            <w:vAlign w:val="center"/>
          </w:tcPr>
          <w:p>
            <w:pPr>
              <w:jc w:val="center"/>
              <w:outlineLvl w:val="1"/>
              <w:rPr>
                <w:color w:val="auto"/>
                <w:szCs w:val="21"/>
              </w:rPr>
            </w:pPr>
            <w:bookmarkStart w:id="2692" w:name="_Toc20667"/>
            <w:bookmarkStart w:id="2693" w:name="_Toc27402"/>
            <w:bookmarkStart w:id="2694" w:name="_Toc23350"/>
            <w:bookmarkStart w:id="2695" w:name="_Toc31996"/>
            <w:r>
              <w:rPr>
                <w:color w:val="auto"/>
                <w:szCs w:val="21"/>
              </w:rPr>
              <w:t>吸收净化法</w:t>
            </w:r>
            <w:bookmarkEnd w:id="2692"/>
            <w:bookmarkEnd w:id="2693"/>
            <w:bookmarkEnd w:id="2694"/>
            <w:bookmarkEnd w:id="2695"/>
          </w:p>
        </w:tc>
        <w:tc>
          <w:tcPr>
            <w:tcW w:w="1597" w:type="dxa"/>
            <w:tcBorders>
              <w:tl2br w:val="nil"/>
              <w:tr2bl w:val="nil"/>
            </w:tcBorders>
            <w:vAlign w:val="center"/>
          </w:tcPr>
          <w:p>
            <w:pPr>
              <w:jc w:val="center"/>
              <w:outlineLvl w:val="1"/>
              <w:rPr>
                <w:color w:val="auto"/>
                <w:szCs w:val="21"/>
              </w:rPr>
            </w:pPr>
            <w:bookmarkStart w:id="2696" w:name="_Toc16266"/>
            <w:bookmarkStart w:id="2697" w:name="_Toc31108"/>
            <w:bookmarkStart w:id="2698" w:name="_Toc6374"/>
            <w:bookmarkStart w:id="2699" w:name="_Toc32591"/>
            <w:r>
              <w:rPr>
                <w:color w:val="auto"/>
                <w:szCs w:val="21"/>
              </w:rPr>
              <w:t>过滤法</w:t>
            </w:r>
            <w:bookmarkEnd w:id="2696"/>
            <w:bookmarkEnd w:id="2697"/>
            <w:bookmarkEnd w:id="2698"/>
            <w:bookmarkEnd w:id="2699"/>
          </w:p>
        </w:tc>
        <w:tc>
          <w:tcPr>
            <w:tcW w:w="3063" w:type="dxa"/>
            <w:tcBorders>
              <w:tl2br w:val="nil"/>
              <w:tr2bl w:val="nil"/>
            </w:tcBorders>
            <w:vAlign w:val="center"/>
          </w:tcPr>
          <w:p>
            <w:pPr>
              <w:jc w:val="center"/>
              <w:outlineLvl w:val="1"/>
              <w:rPr>
                <w:color w:val="auto"/>
                <w:szCs w:val="21"/>
              </w:rPr>
            </w:pPr>
            <w:bookmarkStart w:id="2700" w:name="_Toc6844"/>
            <w:bookmarkStart w:id="2701" w:name="_Toc1051"/>
            <w:bookmarkStart w:id="2702" w:name="_Toc5214"/>
            <w:bookmarkStart w:id="2703" w:name="_Toc1298"/>
            <w:r>
              <w:rPr>
                <w:color w:val="auto"/>
                <w:szCs w:val="21"/>
              </w:rPr>
              <w:t>吸附净化法</w:t>
            </w:r>
            <w:bookmarkEnd w:id="2700"/>
            <w:bookmarkEnd w:id="2701"/>
            <w:bookmarkEnd w:id="2702"/>
            <w:bookmarkEnd w:id="2703"/>
          </w:p>
        </w:tc>
        <w:tc>
          <w:tcPr>
            <w:tcW w:w="2557" w:type="dxa"/>
            <w:tcBorders>
              <w:tl2br w:val="nil"/>
              <w:tr2bl w:val="nil"/>
            </w:tcBorders>
            <w:vAlign w:val="center"/>
          </w:tcPr>
          <w:p>
            <w:pPr>
              <w:jc w:val="center"/>
              <w:outlineLvl w:val="1"/>
              <w:rPr>
                <w:color w:val="auto"/>
                <w:szCs w:val="21"/>
              </w:rPr>
            </w:pPr>
            <w:bookmarkStart w:id="2704" w:name="_Toc610"/>
            <w:bookmarkStart w:id="2705" w:name="_Toc30244"/>
            <w:bookmarkStart w:id="2706" w:name="_Toc1200"/>
            <w:bookmarkStart w:id="2707" w:name="_Toc319"/>
            <w:r>
              <w:rPr>
                <w:color w:val="auto"/>
                <w:szCs w:val="21"/>
              </w:rPr>
              <w:t>冷凝法</w:t>
            </w:r>
            <w:bookmarkEnd w:id="2704"/>
            <w:bookmarkEnd w:id="2705"/>
            <w:bookmarkEnd w:id="2706"/>
            <w:bookmarkEnd w:id="2707"/>
          </w:p>
        </w:tc>
        <w:tc>
          <w:tcPr>
            <w:tcW w:w="2555" w:type="dxa"/>
            <w:tcBorders>
              <w:tl2br w:val="nil"/>
              <w:tr2bl w:val="nil"/>
            </w:tcBorders>
            <w:vAlign w:val="center"/>
          </w:tcPr>
          <w:p>
            <w:pPr>
              <w:jc w:val="center"/>
              <w:outlineLvl w:val="1"/>
              <w:rPr>
                <w:color w:val="auto"/>
                <w:szCs w:val="21"/>
              </w:rPr>
            </w:pPr>
            <w:bookmarkStart w:id="2708" w:name="_Toc14750"/>
            <w:bookmarkStart w:id="2709" w:name="_Toc5655"/>
            <w:bookmarkStart w:id="2710" w:name="_Toc9416"/>
            <w:bookmarkStart w:id="2711" w:name="_Toc459"/>
            <w:r>
              <w:rPr>
                <w:rFonts w:hint="eastAsia"/>
                <w:color w:val="auto"/>
                <w:szCs w:val="21"/>
              </w:rPr>
              <w:t>电捕集法</w:t>
            </w:r>
            <w:bookmarkEnd w:id="2708"/>
            <w:bookmarkEnd w:id="2709"/>
            <w:bookmarkEnd w:id="2710"/>
            <w:bookmarkEnd w:id="271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szCs w:val="21"/>
              </w:rPr>
            </w:pPr>
            <w:bookmarkStart w:id="2712" w:name="_Toc9986"/>
            <w:bookmarkStart w:id="2713" w:name="_Toc28846"/>
            <w:bookmarkStart w:id="2714" w:name="_Toc22539"/>
            <w:bookmarkStart w:id="2715" w:name="_Toc24796"/>
            <w:r>
              <w:rPr>
                <w:color w:val="auto"/>
                <w:szCs w:val="21"/>
              </w:rPr>
              <w:t>原理</w:t>
            </w:r>
            <w:bookmarkEnd w:id="2712"/>
            <w:bookmarkEnd w:id="2713"/>
            <w:bookmarkEnd w:id="2714"/>
            <w:bookmarkEnd w:id="2715"/>
          </w:p>
        </w:tc>
        <w:tc>
          <w:tcPr>
            <w:tcW w:w="3340" w:type="dxa"/>
            <w:tcBorders>
              <w:tl2br w:val="nil"/>
              <w:tr2bl w:val="nil"/>
            </w:tcBorders>
            <w:vAlign w:val="center"/>
          </w:tcPr>
          <w:p>
            <w:pPr>
              <w:jc w:val="center"/>
              <w:outlineLvl w:val="1"/>
              <w:rPr>
                <w:color w:val="auto"/>
                <w:szCs w:val="21"/>
              </w:rPr>
            </w:pPr>
            <w:bookmarkStart w:id="2716" w:name="_Toc27536"/>
            <w:bookmarkStart w:id="2717" w:name="_Toc17508"/>
            <w:bookmarkStart w:id="2718" w:name="_Toc22132"/>
            <w:bookmarkStart w:id="2719" w:name="_Toc11628"/>
            <w:r>
              <w:rPr>
                <w:color w:val="auto"/>
                <w:szCs w:val="21"/>
              </w:rPr>
              <w:t>吸收法即采用有机类液体做吸收剂，使沥青烟的混合烟气与吸收剂逆流充分接触并被洗涤，除去烟气有毒组分，达到净化的目的；现使用过的吸附剂有洗油、柴油和水</w:t>
            </w:r>
            <w:bookmarkEnd w:id="2716"/>
            <w:bookmarkEnd w:id="2717"/>
            <w:bookmarkEnd w:id="2718"/>
            <w:bookmarkEnd w:id="2719"/>
          </w:p>
        </w:tc>
        <w:tc>
          <w:tcPr>
            <w:tcW w:w="1597" w:type="dxa"/>
            <w:tcBorders>
              <w:tl2br w:val="nil"/>
              <w:tr2bl w:val="nil"/>
            </w:tcBorders>
            <w:vAlign w:val="center"/>
          </w:tcPr>
          <w:p>
            <w:pPr>
              <w:jc w:val="center"/>
              <w:outlineLvl w:val="1"/>
              <w:rPr>
                <w:color w:val="auto"/>
                <w:szCs w:val="21"/>
              </w:rPr>
            </w:pPr>
            <w:bookmarkStart w:id="2720" w:name="_Toc2581"/>
            <w:bookmarkStart w:id="2721" w:name="_Toc3727"/>
            <w:bookmarkStart w:id="2722" w:name="_Toc4760"/>
            <w:bookmarkStart w:id="2723" w:name="_Toc25066"/>
            <w:r>
              <w:rPr>
                <w:color w:val="auto"/>
                <w:szCs w:val="21"/>
              </w:rPr>
              <w:t>利用过滤装置吸附沥青烟气中的焦油细雾粒</w:t>
            </w:r>
            <w:bookmarkEnd w:id="2720"/>
            <w:bookmarkEnd w:id="2721"/>
            <w:bookmarkEnd w:id="2722"/>
            <w:bookmarkEnd w:id="2723"/>
          </w:p>
        </w:tc>
        <w:tc>
          <w:tcPr>
            <w:tcW w:w="3063" w:type="dxa"/>
            <w:tcBorders>
              <w:tl2br w:val="nil"/>
              <w:tr2bl w:val="nil"/>
            </w:tcBorders>
            <w:vAlign w:val="center"/>
          </w:tcPr>
          <w:p>
            <w:pPr>
              <w:jc w:val="center"/>
              <w:outlineLvl w:val="1"/>
              <w:rPr>
                <w:color w:val="auto"/>
                <w:szCs w:val="21"/>
              </w:rPr>
            </w:pPr>
            <w:bookmarkStart w:id="2724" w:name="_Toc30038"/>
            <w:bookmarkStart w:id="2725" w:name="_Toc28552"/>
            <w:bookmarkStart w:id="2726" w:name="_Toc7907"/>
            <w:bookmarkStart w:id="2727" w:name="_Toc26586"/>
            <w:r>
              <w:rPr>
                <w:color w:val="auto"/>
                <w:szCs w:val="21"/>
              </w:rPr>
              <w:t>吸附法即采用各种颗粒小或多孔具有较大比表面积的物质（如焦炭粉、氧化铝、白云石粉或滑石粉等）作吸附剂，吸附烟气中的物质</w:t>
            </w:r>
            <w:bookmarkEnd w:id="2724"/>
            <w:bookmarkEnd w:id="2725"/>
            <w:bookmarkEnd w:id="2726"/>
            <w:bookmarkEnd w:id="2727"/>
          </w:p>
        </w:tc>
        <w:tc>
          <w:tcPr>
            <w:tcW w:w="2557" w:type="dxa"/>
            <w:tcBorders>
              <w:tl2br w:val="nil"/>
              <w:tr2bl w:val="nil"/>
            </w:tcBorders>
            <w:vAlign w:val="center"/>
          </w:tcPr>
          <w:p>
            <w:pPr>
              <w:jc w:val="center"/>
              <w:outlineLvl w:val="1"/>
              <w:rPr>
                <w:color w:val="auto"/>
                <w:szCs w:val="21"/>
              </w:rPr>
            </w:pPr>
            <w:bookmarkStart w:id="2728" w:name="_Toc6222"/>
            <w:bookmarkStart w:id="2729" w:name="_Toc11348"/>
            <w:bookmarkStart w:id="2730" w:name="_Toc12302"/>
            <w:bookmarkStart w:id="2731" w:name="_Toc31756"/>
            <w:r>
              <w:rPr>
                <w:color w:val="auto"/>
                <w:szCs w:val="21"/>
              </w:rPr>
              <w:t>根据沥青烟在低温条件下(低于70℃)易于冷凝的特性，采用直接或冷却的方法，使沥青烟冷凝分离出来</w:t>
            </w:r>
            <w:bookmarkEnd w:id="2728"/>
            <w:bookmarkEnd w:id="2729"/>
            <w:bookmarkEnd w:id="2730"/>
            <w:bookmarkEnd w:id="2731"/>
          </w:p>
        </w:tc>
        <w:tc>
          <w:tcPr>
            <w:tcW w:w="2555" w:type="dxa"/>
            <w:tcBorders>
              <w:tl2br w:val="nil"/>
              <w:tr2bl w:val="nil"/>
            </w:tcBorders>
            <w:vAlign w:val="center"/>
          </w:tcPr>
          <w:p>
            <w:pPr>
              <w:jc w:val="center"/>
              <w:outlineLvl w:val="1"/>
              <w:rPr>
                <w:color w:val="auto"/>
                <w:szCs w:val="21"/>
              </w:rPr>
            </w:pPr>
            <w:bookmarkStart w:id="2732" w:name="_Toc20070"/>
            <w:bookmarkStart w:id="2733" w:name="_Toc24075"/>
            <w:bookmarkStart w:id="2734" w:name="_Toc1933"/>
            <w:bookmarkStart w:id="2735" w:name="_Toc22057"/>
            <w:r>
              <w:rPr>
                <w:rFonts w:hint="eastAsia"/>
                <w:color w:val="auto"/>
                <w:szCs w:val="21"/>
              </w:rPr>
              <w:t>在静电场的作用下，使颗粒及大分子载上不同电荷，利用电荷的引力使其驱向极板，在被捕集后聚集成液体状靠自身重力作用顺板流下</w:t>
            </w:r>
            <w:bookmarkEnd w:id="2732"/>
            <w:bookmarkEnd w:id="2733"/>
            <w:bookmarkEnd w:id="2734"/>
            <w:bookmarkEnd w:id="273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szCs w:val="21"/>
              </w:rPr>
            </w:pPr>
            <w:bookmarkStart w:id="2736" w:name="_Toc25759"/>
            <w:bookmarkStart w:id="2737" w:name="_Toc8308"/>
            <w:bookmarkStart w:id="2738" w:name="_Toc10178"/>
            <w:bookmarkStart w:id="2739" w:name="_Toc10625"/>
            <w:r>
              <w:rPr>
                <w:color w:val="auto"/>
                <w:szCs w:val="21"/>
              </w:rPr>
              <w:t>优点</w:t>
            </w:r>
            <w:bookmarkEnd w:id="2736"/>
            <w:bookmarkEnd w:id="2737"/>
            <w:bookmarkEnd w:id="2738"/>
            <w:bookmarkEnd w:id="2739"/>
          </w:p>
        </w:tc>
        <w:tc>
          <w:tcPr>
            <w:tcW w:w="3340" w:type="dxa"/>
            <w:tcBorders>
              <w:tl2br w:val="nil"/>
              <w:tr2bl w:val="nil"/>
            </w:tcBorders>
            <w:vAlign w:val="center"/>
          </w:tcPr>
          <w:p>
            <w:pPr>
              <w:jc w:val="center"/>
              <w:outlineLvl w:val="1"/>
              <w:rPr>
                <w:color w:val="auto"/>
                <w:szCs w:val="21"/>
              </w:rPr>
            </w:pPr>
            <w:bookmarkStart w:id="2740" w:name="_Toc11572"/>
            <w:bookmarkStart w:id="2741" w:name="_Toc32617"/>
            <w:bookmarkStart w:id="2742" w:name="_Toc10361"/>
            <w:bookmarkStart w:id="2743" w:name="_Toc17692"/>
            <w:r>
              <w:rPr>
                <w:color w:val="auto"/>
                <w:szCs w:val="21"/>
              </w:rPr>
              <w:t>防水材料生产过程中的沥青烟气一般较少，可以使用经济实用的水作为吸收剂，设备工艺都较简单，容易安装</w:t>
            </w:r>
            <w:bookmarkEnd w:id="2740"/>
            <w:bookmarkEnd w:id="2741"/>
            <w:bookmarkEnd w:id="2742"/>
            <w:bookmarkEnd w:id="2743"/>
          </w:p>
        </w:tc>
        <w:tc>
          <w:tcPr>
            <w:tcW w:w="1597" w:type="dxa"/>
            <w:tcBorders>
              <w:tl2br w:val="nil"/>
              <w:tr2bl w:val="nil"/>
            </w:tcBorders>
            <w:vAlign w:val="center"/>
          </w:tcPr>
          <w:p>
            <w:pPr>
              <w:jc w:val="center"/>
              <w:outlineLvl w:val="1"/>
              <w:rPr>
                <w:color w:val="auto"/>
                <w:szCs w:val="21"/>
              </w:rPr>
            </w:pPr>
            <w:bookmarkStart w:id="2744" w:name="_Toc16723"/>
            <w:bookmarkStart w:id="2745" w:name="_Toc17143"/>
            <w:bookmarkStart w:id="2746" w:name="_Toc23918"/>
            <w:bookmarkStart w:id="2747" w:name="_Toc7782"/>
            <w:r>
              <w:rPr>
                <w:color w:val="auto"/>
                <w:szCs w:val="21"/>
              </w:rPr>
              <w:t>可以通过设置多道过滤提升净化效率</w:t>
            </w:r>
            <w:bookmarkEnd w:id="2744"/>
            <w:bookmarkEnd w:id="2745"/>
            <w:bookmarkEnd w:id="2746"/>
            <w:bookmarkEnd w:id="2747"/>
          </w:p>
        </w:tc>
        <w:tc>
          <w:tcPr>
            <w:tcW w:w="3063" w:type="dxa"/>
            <w:tcBorders>
              <w:tl2br w:val="nil"/>
              <w:tr2bl w:val="nil"/>
            </w:tcBorders>
            <w:vAlign w:val="center"/>
          </w:tcPr>
          <w:p>
            <w:pPr>
              <w:jc w:val="center"/>
              <w:outlineLvl w:val="1"/>
              <w:rPr>
                <w:color w:val="auto"/>
                <w:szCs w:val="21"/>
              </w:rPr>
            </w:pPr>
            <w:bookmarkStart w:id="2748" w:name="_Toc28620"/>
            <w:bookmarkStart w:id="2749" w:name="_Toc25580"/>
            <w:bookmarkStart w:id="2750" w:name="_Toc26415"/>
            <w:bookmarkStart w:id="2751" w:name="_Toc32444"/>
            <w:r>
              <w:rPr>
                <w:color w:val="auto"/>
                <w:szCs w:val="21"/>
              </w:rPr>
              <w:t>工艺简单，净化效率高；吸附剂无需再生，可直接返回生产系统；投资省、运行费用低，操作维修方便，无二次污染</w:t>
            </w:r>
            <w:bookmarkEnd w:id="2748"/>
            <w:bookmarkEnd w:id="2749"/>
            <w:bookmarkEnd w:id="2750"/>
            <w:bookmarkEnd w:id="2751"/>
          </w:p>
        </w:tc>
        <w:tc>
          <w:tcPr>
            <w:tcW w:w="2557" w:type="dxa"/>
            <w:tcBorders>
              <w:tl2br w:val="nil"/>
              <w:tr2bl w:val="nil"/>
            </w:tcBorders>
            <w:vAlign w:val="center"/>
          </w:tcPr>
          <w:p>
            <w:pPr>
              <w:jc w:val="center"/>
              <w:outlineLvl w:val="1"/>
              <w:rPr>
                <w:color w:val="auto"/>
                <w:szCs w:val="21"/>
              </w:rPr>
            </w:pPr>
            <w:bookmarkStart w:id="2752" w:name="_Toc9790"/>
            <w:bookmarkStart w:id="2753" w:name="_Toc12687"/>
            <w:bookmarkStart w:id="2754" w:name="_Toc27062"/>
            <w:bookmarkStart w:id="2755" w:name="_Toc2680"/>
            <w:r>
              <w:rPr>
                <w:color w:val="auto"/>
                <w:szCs w:val="21"/>
              </w:rPr>
              <w:t>增加烟气中雾粒的粒径，以提高后续净化效果</w:t>
            </w:r>
            <w:bookmarkEnd w:id="2752"/>
            <w:bookmarkEnd w:id="2753"/>
            <w:bookmarkEnd w:id="2754"/>
            <w:bookmarkEnd w:id="2755"/>
          </w:p>
        </w:tc>
        <w:tc>
          <w:tcPr>
            <w:tcW w:w="2555" w:type="dxa"/>
            <w:tcBorders>
              <w:tl2br w:val="nil"/>
              <w:tr2bl w:val="nil"/>
            </w:tcBorders>
            <w:vAlign w:val="center"/>
          </w:tcPr>
          <w:p>
            <w:pPr>
              <w:jc w:val="center"/>
              <w:outlineLvl w:val="1"/>
              <w:rPr>
                <w:color w:val="auto"/>
                <w:szCs w:val="21"/>
              </w:rPr>
            </w:pPr>
            <w:bookmarkStart w:id="2756" w:name="_Toc23001"/>
            <w:bookmarkStart w:id="2757" w:name="_Toc14947"/>
            <w:bookmarkStart w:id="2758" w:name="_Toc4493"/>
            <w:bookmarkStart w:id="2759" w:name="_Toc12347"/>
            <w:r>
              <w:rPr>
                <w:rFonts w:hint="eastAsia"/>
                <w:color w:val="auto"/>
                <w:szCs w:val="21"/>
              </w:rPr>
              <w:t>占地小、操作管理简单、净化效率高、无二次污染、其脱除焦油可回收利用</w:t>
            </w:r>
            <w:bookmarkEnd w:id="2756"/>
            <w:bookmarkEnd w:id="2757"/>
            <w:bookmarkEnd w:id="2758"/>
            <w:bookmarkEnd w:id="275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szCs w:val="21"/>
              </w:rPr>
            </w:pPr>
            <w:bookmarkStart w:id="2760" w:name="_Toc240"/>
            <w:bookmarkStart w:id="2761" w:name="_Toc24022"/>
            <w:bookmarkStart w:id="2762" w:name="_Toc6260"/>
            <w:bookmarkStart w:id="2763" w:name="_Toc1077"/>
            <w:r>
              <w:rPr>
                <w:color w:val="auto"/>
                <w:szCs w:val="21"/>
              </w:rPr>
              <w:t>缺点</w:t>
            </w:r>
            <w:bookmarkEnd w:id="2760"/>
            <w:bookmarkEnd w:id="2761"/>
            <w:bookmarkEnd w:id="2762"/>
            <w:bookmarkEnd w:id="2763"/>
          </w:p>
        </w:tc>
        <w:tc>
          <w:tcPr>
            <w:tcW w:w="3340" w:type="dxa"/>
            <w:tcBorders>
              <w:tl2br w:val="nil"/>
              <w:tr2bl w:val="nil"/>
            </w:tcBorders>
            <w:vAlign w:val="center"/>
          </w:tcPr>
          <w:p>
            <w:pPr>
              <w:jc w:val="center"/>
              <w:outlineLvl w:val="1"/>
              <w:rPr>
                <w:color w:val="auto"/>
                <w:szCs w:val="21"/>
              </w:rPr>
            </w:pPr>
            <w:bookmarkStart w:id="2764" w:name="_Toc30538"/>
            <w:bookmarkStart w:id="2765" w:name="_Toc30106"/>
            <w:bookmarkStart w:id="2766" w:name="_Toc31579"/>
            <w:bookmarkStart w:id="2767" w:name="_Toc17433"/>
            <w:r>
              <w:rPr>
                <w:color w:val="auto"/>
                <w:szCs w:val="21"/>
              </w:rPr>
              <w:t>存在二次污染，净化效率不高</w:t>
            </w:r>
            <w:bookmarkEnd w:id="2764"/>
            <w:bookmarkEnd w:id="2765"/>
            <w:bookmarkEnd w:id="2766"/>
            <w:bookmarkEnd w:id="2767"/>
          </w:p>
        </w:tc>
        <w:tc>
          <w:tcPr>
            <w:tcW w:w="1597" w:type="dxa"/>
            <w:tcBorders>
              <w:tl2br w:val="nil"/>
              <w:tr2bl w:val="nil"/>
            </w:tcBorders>
            <w:vAlign w:val="center"/>
          </w:tcPr>
          <w:p>
            <w:pPr>
              <w:jc w:val="center"/>
              <w:outlineLvl w:val="1"/>
              <w:rPr>
                <w:color w:val="auto"/>
                <w:szCs w:val="21"/>
              </w:rPr>
            </w:pPr>
            <w:bookmarkStart w:id="2768" w:name="_Toc30001"/>
            <w:bookmarkStart w:id="2769" w:name="_Toc31141"/>
            <w:bookmarkStart w:id="2770" w:name="_Toc30135"/>
            <w:bookmarkStart w:id="2771" w:name="_Toc3671"/>
            <w:r>
              <w:rPr>
                <w:color w:val="auto"/>
                <w:szCs w:val="21"/>
              </w:rPr>
              <w:t>需要及时更换过滤器</w:t>
            </w:r>
            <w:bookmarkEnd w:id="2768"/>
            <w:bookmarkEnd w:id="2769"/>
            <w:bookmarkEnd w:id="2770"/>
            <w:bookmarkEnd w:id="2771"/>
          </w:p>
        </w:tc>
        <w:tc>
          <w:tcPr>
            <w:tcW w:w="3063" w:type="dxa"/>
            <w:tcBorders>
              <w:tl2br w:val="nil"/>
              <w:tr2bl w:val="nil"/>
            </w:tcBorders>
            <w:vAlign w:val="center"/>
          </w:tcPr>
          <w:p>
            <w:pPr>
              <w:jc w:val="center"/>
              <w:outlineLvl w:val="1"/>
              <w:rPr>
                <w:color w:val="auto"/>
                <w:szCs w:val="21"/>
              </w:rPr>
            </w:pPr>
            <w:bookmarkStart w:id="2772" w:name="_Toc18277"/>
            <w:bookmarkStart w:id="2773" w:name="_Toc18776"/>
            <w:bookmarkStart w:id="2774" w:name="_Toc16198"/>
            <w:bookmarkStart w:id="2775" w:name="_Toc3368"/>
            <w:r>
              <w:rPr>
                <w:color w:val="auto"/>
                <w:szCs w:val="21"/>
              </w:rPr>
              <w:t>系统阻力太大，占地面积大，吸附管较长</w:t>
            </w:r>
            <w:bookmarkEnd w:id="2772"/>
            <w:bookmarkEnd w:id="2773"/>
            <w:bookmarkEnd w:id="2774"/>
            <w:bookmarkEnd w:id="2775"/>
          </w:p>
        </w:tc>
        <w:tc>
          <w:tcPr>
            <w:tcW w:w="2557" w:type="dxa"/>
            <w:tcBorders>
              <w:tl2br w:val="nil"/>
              <w:tr2bl w:val="nil"/>
            </w:tcBorders>
            <w:vAlign w:val="center"/>
          </w:tcPr>
          <w:p>
            <w:pPr>
              <w:jc w:val="center"/>
              <w:outlineLvl w:val="1"/>
              <w:rPr>
                <w:color w:val="auto"/>
                <w:szCs w:val="21"/>
              </w:rPr>
            </w:pPr>
            <w:bookmarkStart w:id="2776" w:name="_Toc10691"/>
            <w:bookmarkStart w:id="2777" w:name="_Toc3180"/>
            <w:bookmarkStart w:id="2778" w:name="_Toc32494"/>
            <w:bookmarkStart w:id="2779" w:name="_Toc21052"/>
            <w:r>
              <w:rPr>
                <w:color w:val="auto"/>
                <w:szCs w:val="21"/>
              </w:rPr>
              <w:t>一般仅作为辅助手段，需要与其他净化方法结合使用</w:t>
            </w:r>
            <w:bookmarkEnd w:id="2776"/>
            <w:bookmarkEnd w:id="2777"/>
            <w:bookmarkEnd w:id="2778"/>
            <w:bookmarkEnd w:id="2779"/>
          </w:p>
        </w:tc>
        <w:tc>
          <w:tcPr>
            <w:tcW w:w="2555" w:type="dxa"/>
            <w:tcBorders>
              <w:tl2br w:val="nil"/>
              <w:tr2bl w:val="nil"/>
            </w:tcBorders>
            <w:vAlign w:val="center"/>
          </w:tcPr>
          <w:p>
            <w:pPr>
              <w:jc w:val="center"/>
              <w:outlineLvl w:val="1"/>
              <w:rPr>
                <w:color w:val="auto"/>
                <w:szCs w:val="21"/>
              </w:rPr>
            </w:pPr>
            <w:bookmarkStart w:id="2780" w:name="_Toc28809"/>
            <w:bookmarkStart w:id="2781" w:name="_Toc14108"/>
            <w:bookmarkStart w:id="2782" w:name="_Toc14265"/>
            <w:bookmarkStart w:id="2783" w:name="_Toc4160"/>
            <w:r>
              <w:rPr>
                <w:rFonts w:hint="eastAsia"/>
                <w:color w:val="auto"/>
                <w:szCs w:val="21"/>
              </w:rPr>
              <w:t>需要定期进行清理</w:t>
            </w:r>
            <w:bookmarkEnd w:id="2780"/>
            <w:bookmarkEnd w:id="2781"/>
            <w:bookmarkEnd w:id="2782"/>
            <w:bookmarkEnd w:id="278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szCs w:val="21"/>
              </w:rPr>
            </w:pPr>
            <w:bookmarkStart w:id="2784" w:name="_Toc11045"/>
            <w:bookmarkStart w:id="2785" w:name="_Toc24581"/>
            <w:bookmarkStart w:id="2786" w:name="_Toc31047"/>
            <w:bookmarkStart w:id="2787" w:name="_Toc10933"/>
            <w:r>
              <w:rPr>
                <w:color w:val="auto"/>
                <w:szCs w:val="21"/>
              </w:rPr>
              <w:t>投资</w:t>
            </w:r>
            <w:bookmarkEnd w:id="2784"/>
            <w:bookmarkEnd w:id="2785"/>
            <w:bookmarkEnd w:id="2786"/>
            <w:bookmarkEnd w:id="2787"/>
          </w:p>
          <w:p>
            <w:pPr>
              <w:jc w:val="center"/>
              <w:outlineLvl w:val="1"/>
              <w:rPr>
                <w:color w:val="auto"/>
                <w:szCs w:val="21"/>
              </w:rPr>
            </w:pPr>
            <w:bookmarkStart w:id="2788" w:name="_Toc29261"/>
            <w:bookmarkStart w:id="2789" w:name="_Toc18078"/>
            <w:bookmarkStart w:id="2790" w:name="_Toc24695"/>
            <w:bookmarkStart w:id="2791" w:name="_Toc8952"/>
            <w:r>
              <w:rPr>
                <w:color w:val="auto"/>
                <w:szCs w:val="21"/>
              </w:rPr>
              <w:t>额度</w:t>
            </w:r>
            <w:bookmarkEnd w:id="2788"/>
            <w:bookmarkEnd w:id="2789"/>
            <w:bookmarkEnd w:id="2790"/>
            <w:bookmarkEnd w:id="2791"/>
          </w:p>
        </w:tc>
        <w:tc>
          <w:tcPr>
            <w:tcW w:w="3340" w:type="dxa"/>
            <w:tcBorders>
              <w:tl2br w:val="nil"/>
              <w:tr2bl w:val="nil"/>
            </w:tcBorders>
            <w:vAlign w:val="center"/>
          </w:tcPr>
          <w:p>
            <w:pPr>
              <w:jc w:val="center"/>
              <w:outlineLvl w:val="1"/>
              <w:rPr>
                <w:color w:val="auto"/>
                <w:szCs w:val="21"/>
              </w:rPr>
            </w:pPr>
            <w:bookmarkStart w:id="2792" w:name="_Toc5824"/>
            <w:bookmarkStart w:id="2793" w:name="_Toc30363"/>
            <w:bookmarkStart w:id="2794" w:name="_Toc22963"/>
            <w:bookmarkStart w:id="2795" w:name="_Toc5200"/>
            <w:r>
              <w:rPr>
                <w:color w:val="auto"/>
                <w:szCs w:val="21"/>
              </w:rPr>
              <w:t>低</w:t>
            </w:r>
            <w:bookmarkEnd w:id="2792"/>
            <w:bookmarkEnd w:id="2793"/>
            <w:bookmarkEnd w:id="2794"/>
            <w:bookmarkEnd w:id="2795"/>
          </w:p>
        </w:tc>
        <w:tc>
          <w:tcPr>
            <w:tcW w:w="1597" w:type="dxa"/>
            <w:tcBorders>
              <w:tl2br w:val="nil"/>
              <w:tr2bl w:val="nil"/>
            </w:tcBorders>
            <w:vAlign w:val="center"/>
          </w:tcPr>
          <w:p>
            <w:pPr>
              <w:jc w:val="center"/>
              <w:outlineLvl w:val="1"/>
              <w:rPr>
                <w:color w:val="auto"/>
                <w:szCs w:val="21"/>
              </w:rPr>
            </w:pPr>
            <w:bookmarkStart w:id="2796" w:name="_Toc24289"/>
            <w:bookmarkStart w:id="2797" w:name="_Toc8217"/>
            <w:bookmarkStart w:id="2798" w:name="_Toc25148"/>
            <w:bookmarkStart w:id="2799" w:name="_Toc19258"/>
            <w:r>
              <w:rPr>
                <w:color w:val="auto"/>
                <w:szCs w:val="21"/>
              </w:rPr>
              <w:t>低</w:t>
            </w:r>
            <w:bookmarkEnd w:id="2796"/>
            <w:bookmarkEnd w:id="2797"/>
            <w:bookmarkEnd w:id="2798"/>
            <w:bookmarkEnd w:id="2799"/>
          </w:p>
        </w:tc>
        <w:tc>
          <w:tcPr>
            <w:tcW w:w="3063" w:type="dxa"/>
            <w:tcBorders>
              <w:tl2br w:val="nil"/>
              <w:tr2bl w:val="nil"/>
            </w:tcBorders>
            <w:vAlign w:val="center"/>
          </w:tcPr>
          <w:p>
            <w:pPr>
              <w:jc w:val="center"/>
              <w:outlineLvl w:val="1"/>
              <w:rPr>
                <w:color w:val="auto"/>
                <w:szCs w:val="21"/>
              </w:rPr>
            </w:pPr>
            <w:bookmarkStart w:id="2800" w:name="_Toc31693"/>
            <w:bookmarkStart w:id="2801" w:name="_Toc6339"/>
            <w:bookmarkStart w:id="2802" w:name="_Toc12963"/>
            <w:bookmarkStart w:id="2803" w:name="_Toc8619"/>
            <w:r>
              <w:rPr>
                <w:color w:val="auto"/>
                <w:szCs w:val="21"/>
              </w:rPr>
              <w:t>中</w:t>
            </w:r>
            <w:bookmarkEnd w:id="2800"/>
            <w:bookmarkEnd w:id="2801"/>
            <w:bookmarkEnd w:id="2802"/>
            <w:bookmarkEnd w:id="2803"/>
          </w:p>
        </w:tc>
        <w:tc>
          <w:tcPr>
            <w:tcW w:w="2557" w:type="dxa"/>
            <w:tcBorders>
              <w:tl2br w:val="nil"/>
              <w:tr2bl w:val="nil"/>
            </w:tcBorders>
            <w:vAlign w:val="center"/>
          </w:tcPr>
          <w:p>
            <w:pPr>
              <w:jc w:val="center"/>
              <w:outlineLvl w:val="1"/>
              <w:rPr>
                <w:color w:val="auto"/>
                <w:szCs w:val="21"/>
              </w:rPr>
            </w:pPr>
            <w:bookmarkStart w:id="2804" w:name="_Toc8829"/>
            <w:bookmarkStart w:id="2805" w:name="_Toc26081"/>
            <w:bookmarkStart w:id="2806" w:name="_Toc5553"/>
            <w:bookmarkStart w:id="2807" w:name="_Toc22683"/>
            <w:r>
              <w:rPr>
                <w:color w:val="auto"/>
                <w:szCs w:val="21"/>
              </w:rPr>
              <w:t>低</w:t>
            </w:r>
            <w:bookmarkEnd w:id="2804"/>
            <w:bookmarkEnd w:id="2805"/>
            <w:bookmarkEnd w:id="2806"/>
            <w:bookmarkEnd w:id="2807"/>
          </w:p>
        </w:tc>
        <w:tc>
          <w:tcPr>
            <w:tcW w:w="2555" w:type="dxa"/>
            <w:tcBorders>
              <w:tl2br w:val="nil"/>
              <w:tr2bl w:val="nil"/>
            </w:tcBorders>
            <w:vAlign w:val="center"/>
          </w:tcPr>
          <w:p>
            <w:pPr>
              <w:jc w:val="center"/>
              <w:outlineLvl w:val="1"/>
              <w:rPr>
                <w:color w:val="auto"/>
                <w:szCs w:val="21"/>
              </w:rPr>
            </w:pPr>
            <w:bookmarkStart w:id="2808" w:name="_Toc274"/>
            <w:bookmarkStart w:id="2809" w:name="_Toc25924"/>
            <w:bookmarkStart w:id="2810" w:name="_Toc21133"/>
            <w:bookmarkStart w:id="2811" w:name="_Toc25663"/>
            <w:r>
              <w:rPr>
                <w:rFonts w:hint="eastAsia"/>
                <w:color w:val="auto"/>
                <w:szCs w:val="21"/>
              </w:rPr>
              <w:t>低</w:t>
            </w:r>
            <w:bookmarkEnd w:id="2808"/>
            <w:bookmarkEnd w:id="2809"/>
            <w:bookmarkEnd w:id="2810"/>
            <w:bookmarkEnd w:id="281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8" w:type="dxa"/>
            <w:tcBorders>
              <w:tl2br w:val="nil"/>
              <w:tr2bl w:val="nil"/>
            </w:tcBorders>
            <w:vAlign w:val="center"/>
          </w:tcPr>
          <w:p>
            <w:pPr>
              <w:jc w:val="center"/>
              <w:outlineLvl w:val="1"/>
              <w:rPr>
                <w:color w:val="auto"/>
                <w:szCs w:val="21"/>
              </w:rPr>
            </w:pPr>
            <w:bookmarkStart w:id="2812" w:name="_Toc3942"/>
            <w:bookmarkStart w:id="2813" w:name="_Toc7428"/>
            <w:bookmarkStart w:id="2814" w:name="_Toc8276"/>
            <w:bookmarkStart w:id="2815" w:name="_Toc27521"/>
            <w:r>
              <w:rPr>
                <w:color w:val="auto"/>
                <w:szCs w:val="21"/>
              </w:rPr>
              <w:t>处理</w:t>
            </w:r>
            <w:bookmarkEnd w:id="2812"/>
            <w:bookmarkEnd w:id="2813"/>
            <w:bookmarkEnd w:id="2814"/>
            <w:bookmarkEnd w:id="2815"/>
          </w:p>
          <w:p>
            <w:pPr>
              <w:jc w:val="center"/>
              <w:outlineLvl w:val="1"/>
              <w:rPr>
                <w:color w:val="auto"/>
                <w:szCs w:val="21"/>
              </w:rPr>
            </w:pPr>
            <w:bookmarkStart w:id="2816" w:name="_Toc7566"/>
            <w:bookmarkStart w:id="2817" w:name="_Toc16417"/>
            <w:bookmarkStart w:id="2818" w:name="_Toc19830"/>
            <w:bookmarkStart w:id="2819" w:name="_Toc21404"/>
            <w:r>
              <w:rPr>
                <w:color w:val="auto"/>
                <w:szCs w:val="21"/>
              </w:rPr>
              <w:t>效果</w:t>
            </w:r>
            <w:bookmarkEnd w:id="2816"/>
            <w:bookmarkEnd w:id="2817"/>
            <w:bookmarkEnd w:id="2818"/>
            <w:bookmarkEnd w:id="2819"/>
          </w:p>
        </w:tc>
        <w:tc>
          <w:tcPr>
            <w:tcW w:w="3340" w:type="dxa"/>
            <w:tcBorders>
              <w:tl2br w:val="nil"/>
              <w:tr2bl w:val="nil"/>
            </w:tcBorders>
            <w:vAlign w:val="center"/>
          </w:tcPr>
          <w:p>
            <w:pPr>
              <w:jc w:val="center"/>
              <w:outlineLvl w:val="1"/>
              <w:rPr>
                <w:color w:val="auto"/>
                <w:szCs w:val="21"/>
              </w:rPr>
            </w:pPr>
            <w:bookmarkStart w:id="2820" w:name="_Toc6025"/>
            <w:bookmarkStart w:id="2821" w:name="_Toc1920"/>
            <w:bookmarkStart w:id="2822" w:name="_Toc26746"/>
            <w:bookmarkStart w:id="2823" w:name="_Toc12703"/>
            <w:r>
              <w:rPr>
                <w:color w:val="auto"/>
                <w:szCs w:val="21"/>
              </w:rPr>
              <w:t>低</w:t>
            </w:r>
            <w:bookmarkEnd w:id="2820"/>
            <w:bookmarkEnd w:id="2821"/>
            <w:bookmarkEnd w:id="2822"/>
            <w:bookmarkEnd w:id="2823"/>
          </w:p>
        </w:tc>
        <w:tc>
          <w:tcPr>
            <w:tcW w:w="1597" w:type="dxa"/>
            <w:tcBorders>
              <w:tl2br w:val="nil"/>
              <w:tr2bl w:val="nil"/>
            </w:tcBorders>
            <w:vAlign w:val="center"/>
          </w:tcPr>
          <w:p>
            <w:pPr>
              <w:jc w:val="center"/>
              <w:outlineLvl w:val="1"/>
              <w:rPr>
                <w:color w:val="auto"/>
                <w:szCs w:val="21"/>
              </w:rPr>
            </w:pPr>
            <w:bookmarkStart w:id="2824" w:name="_Toc7652"/>
            <w:bookmarkStart w:id="2825" w:name="_Toc5828"/>
            <w:bookmarkStart w:id="2826" w:name="_Toc6020"/>
            <w:bookmarkStart w:id="2827" w:name="_Toc21350"/>
            <w:r>
              <w:rPr>
                <w:color w:val="auto"/>
                <w:szCs w:val="21"/>
              </w:rPr>
              <w:t>中</w:t>
            </w:r>
            <w:bookmarkEnd w:id="2824"/>
            <w:bookmarkEnd w:id="2825"/>
            <w:bookmarkEnd w:id="2826"/>
            <w:bookmarkEnd w:id="2827"/>
          </w:p>
        </w:tc>
        <w:tc>
          <w:tcPr>
            <w:tcW w:w="3063" w:type="dxa"/>
            <w:tcBorders>
              <w:tl2br w:val="nil"/>
              <w:tr2bl w:val="nil"/>
            </w:tcBorders>
            <w:vAlign w:val="center"/>
          </w:tcPr>
          <w:p>
            <w:pPr>
              <w:jc w:val="center"/>
              <w:outlineLvl w:val="1"/>
              <w:rPr>
                <w:color w:val="auto"/>
                <w:szCs w:val="21"/>
              </w:rPr>
            </w:pPr>
            <w:bookmarkStart w:id="2828" w:name="_Toc4219"/>
            <w:bookmarkStart w:id="2829" w:name="_Toc20050"/>
            <w:bookmarkStart w:id="2830" w:name="_Toc32735"/>
            <w:bookmarkStart w:id="2831" w:name="_Toc20758"/>
            <w:r>
              <w:rPr>
                <w:color w:val="auto"/>
                <w:szCs w:val="21"/>
              </w:rPr>
              <w:t>中</w:t>
            </w:r>
            <w:bookmarkEnd w:id="2828"/>
            <w:bookmarkEnd w:id="2829"/>
            <w:bookmarkEnd w:id="2830"/>
            <w:bookmarkEnd w:id="2831"/>
          </w:p>
        </w:tc>
        <w:tc>
          <w:tcPr>
            <w:tcW w:w="2557" w:type="dxa"/>
            <w:tcBorders>
              <w:tl2br w:val="nil"/>
              <w:tr2bl w:val="nil"/>
            </w:tcBorders>
            <w:vAlign w:val="center"/>
          </w:tcPr>
          <w:p>
            <w:pPr>
              <w:jc w:val="center"/>
              <w:outlineLvl w:val="1"/>
              <w:rPr>
                <w:color w:val="auto"/>
                <w:szCs w:val="21"/>
              </w:rPr>
            </w:pPr>
            <w:bookmarkStart w:id="2832" w:name="_Toc24583"/>
            <w:bookmarkStart w:id="2833" w:name="_Toc17657"/>
            <w:bookmarkStart w:id="2834" w:name="_Toc24831"/>
            <w:bookmarkStart w:id="2835" w:name="_Toc2667"/>
            <w:r>
              <w:rPr>
                <w:rFonts w:hint="eastAsia"/>
                <w:color w:val="auto"/>
                <w:szCs w:val="21"/>
              </w:rPr>
              <w:t>低</w:t>
            </w:r>
            <w:bookmarkEnd w:id="2832"/>
            <w:bookmarkEnd w:id="2833"/>
            <w:bookmarkEnd w:id="2834"/>
            <w:bookmarkEnd w:id="2835"/>
          </w:p>
        </w:tc>
        <w:tc>
          <w:tcPr>
            <w:tcW w:w="2555" w:type="dxa"/>
            <w:tcBorders>
              <w:tl2br w:val="nil"/>
              <w:tr2bl w:val="nil"/>
            </w:tcBorders>
            <w:vAlign w:val="center"/>
          </w:tcPr>
          <w:p>
            <w:pPr>
              <w:jc w:val="center"/>
              <w:outlineLvl w:val="1"/>
              <w:rPr>
                <w:color w:val="auto"/>
                <w:szCs w:val="21"/>
              </w:rPr>
            </w:pPr>
            <w:bookmarkStart w:id="2836" w:name="_Toc2171"/>
            <w:bookmarkStart w:id="2837" w:name="_Toc2395"/>
            <w:bookmarkStart w:id="2838" w:name="_Toc32706"/>
            <w:bookmarkStart w:id="2839" w:name="_Toc5630"/>
            <w:r>
              <w:rPr>
                <w:rFonts w:hint="eastAsia"/>
                <w:color w:val="auto"/>
                <w:szCs w:val="21"/>
              </w:rPr>
              <w:t>中</w:t>
            </w:r>
            <w:bookmarkEnd w:id="2836"/>
            <w:bookmarkEnd w:id="2837"/>
            <w:bookmarkEnd w:id="2838"/>
            <w:bookmarkEnd w:id="2839"/>
          </w:p>
        </w:tc>
      </w:tr>
    </w:tbl>
    <w:p>
      <w:pPr>
        <w:pStyle w:val="32"/>
        <w:rPr>
          <w:color w:val="auto"/>
        </w:rPr>
        <w:sectPr>
          <w:pgSz w:w="16838" w:h="11906" w:orient="landscape"/>
          <w:pgMar w:top="1587" w:right="1417" w:bottom="1587" w:left="1417" w:header="851" w:footer="992" w:gutter="0"/>
          <w:pgBorders>
            <w:top w:val="none" w:sz="0" w:space="0"/>
            <w:left w:val="none" w:sz="0" w:space="0"/>
            <w:bottom w:val="none" w:sz="0" w:space="0"/>
            <w:right w:val="none" w:sz="0" w:space="0"/>
          </w:pgBorders>
          <w:cols w:space="720" w:num="1"/>
          <w:docGrid w:type="lines" w:linePitch="312" w:charSpace="0"/>
        </w:sectPr>
      </w:pPr>
    </w:p>
    <w:p>
      <w:pPr>
        <w:spacing w:line="360" w:lineRule="auto"/>
        <w:jc w:val="center"/>
        <w:rPr>
          <w:b/>
          <w:bCs/>
          <w:color w:val="auto"/>
          <w:kern w:val="0"/>
          <w:sz w:val="24"/>
        </w:rPr>
      </w:pPr>
      <w:r>
        <w:rPr>
          <w:b/>
          <w:bCs/>
          <w:color w:val="auto"/>
          <w:kern w:val="0"/>
          <w:szCs w:val="21"/>
        </w:rPr>
        <w:t>表</w:t>
      </w:r>
      <w:r>
        <w:rPr>
          <w:rFonts w:hint="eastAsia"/>
          <w:b/>
          <w:bCs/>
          <w:color w:val="auto"/>
          <w:kern w:val="0"/>
          <w:szCs w:val="21"/>
        </w:rPr>
        <w:t>8</w:t>
      </w:r>
      <w:r>
        <w:rPr>
          <w:b/>
          <w:bCs/>
          <w:color w:val="auto"/>
          <w:kern w:val="0"/>
          <w:szCs w:val="21"/>
        </w:rPr>
        <w:t>.1-</w:t>
      </w:r>
      <w:r>
        <w:rPr>
          <w:rFonts w:hint="eastAsia"/>
          <w:b/>
          <w:bCs/>
          <w:color w:val="auto"/>
          <w:kern w:val="0"/>
          <w:szCs w:val="21"/>
        </w:rPr>
        <w:t xml:space="preserve">4 </w:t>
      </w:r>
      <w:r>
        <w:rPr>
          <w:b/>
          <w:bCs/>
          <w:color w:val="auto"/>
          <w:kern w:val="0"/>
          <w:szCs w:val="21"/>
        </w:rPr>
        <w:t xml:space="preserve"> 挥发性有机化合物治理方案对比</w:t>
      </w:r>
    </w:p>
    <w:tbl>
      <w:tblPr>
        <w:tblStyle w:val="24"/>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3367"/>
        <w:gridCol w:w="2138"/>
        <w:gridCol w:w="1737"/>
        <w:gridCol w:w="2463"/>
        <w:gridCol w:w="2713"/>
        <w:gridCol w:w="1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rPr>
            </w:pPr>
            <w:bookmarkStart w:id="2840" w:name="_Toc21050"/>
            <w:bookmarkStart w:id="2841" w:name="_Toc2544"/>
            <w:bookmarkStart w:id="2842" w:name="_Toc23971"/>
            <w:bookmarkStart w:id="2843" w:name="_Toc25419"/>
            <w:bookmarkStart w:id="2844" w:name="_Toc13637"/>
            <w:bookmarkStart w:id="2845" w:name="_Toc7347"/>
            <w:r>
              <w:rPr>
                <w:color w:val="auto"/>
                <w:szCs w:val="21"/>
              </w:rPr>
              <w:t>方法</w:t>
            </w:r>
            <w:bookmarkEnd w:id="2840"/>
            <w:bookmarkEnd w:id="2841"/>
            <w:bookmarkEnd w:id="2842"/>
            <w:bookmarkEnd w:id="2843"/>
            <w:bookmarkEnd w:id="2844"/>
            <w:bookmarkEnd w:id="2845"/>
          </w:p>
        </w:tc>
        <w:tc>
          <w:tcPr>
            <w:tcW w:w="3367" w:type="dxa"/>
            <w:tcBorders>
              <w:tl2br w:val="nil"/>
              <w:tr2bl w:val="nil"/>
            </w:tcBorders>
          </w:tcPr>
          <w:p>
            <w:pPr>
              <w:jc w:val="center"/>
              <w:outlineLvl w:val="1"/>
              <w:rPr>
                <w:bCs/>
                <w:color w:val="auto"/>
                <w:szCs w:val="21"/>
              </w:rPr>
            </w:pPr>
            <w:bookmarkStart w:id="2846" w:name="_Toc28554"/>
            <w:bookmarkStart w:id="2847" w:name="_Toc24544"/>
            <w:bookmarkStart w:id="2848" w:name="_Toc2725"/>
            <w:bookmarkStart w:id="2849" w:name="_Toc15283"/>
            <w:bookmarkStart w:id="2850" w:name="_Toc21862"/>
            <w:bookmarkStart w:id="2851" w:name="_Toc17281"/>
            <w:r>
              <w:rPr>
                <w:bCs/>
                <w:color w:val="auto"/>
                <w:szCs w:val="21"/>
              </w:rPr>
              <w:t>光氧化分解法</w:t>
            </w:r>
            <w:bookmarkEnd w:id="2846"/>
            <w:bookmarkEnd w:id="2847"/>
            <w:bookmarkEnd w:id="2848"/>
            <w:bookmarkEnd w:id="2849"/>
            <w:bookmarkEnd w:id="2850"/>
            <w:bookmarkEnd w:id="2851"/>
          </w:p>
        </w:tc>
        <w:tc>
          <w:tcPr>
            <w:tcW w:w="2138" w:type="dxa"/>
            <w:tcBorders>
              <w:tl2br w:val="nil"/>
              <w:tr2bl w:val="nil"/>
            </w:tcBorders>
          </w:tcPr>
          <w:p>
            <w:pPr>
              <w:jc w:val="center"/>
              <w:outlineLvl w:val="1"/>
              <w:rPr>
                <w:bCs/>
                <w:color w:val="auto"/>
                <w:szCs w:val="21"/>
              </w:rPr>
            </w:pPr>
            <w:bookmarkStart w:id="2852" w:name="_Toc26393"/>
            <w:bookmarkStart w:id="2853" w:name="_Toc7379"/>
            <w:bookmarkStart w:id="2854" w:name="_Toc21681"/>
            <w:bookmarkStart w:id="2855" w:name="_Toc5347"/>
            <w:bookmarkStart w:id="2856" w:name="_Toc15474"/>
            <w:bookmarkStart w:id="2857" w:name="_Toc12927"/>
            <w:r>
              <w:rPr>
                <w:bCs/>
                <w:color w:val="auto"/>
                <w:szCs w:val="21"/>
              </w:rPr>
              <w:t>活性炭吸附法</w:t>
            </w:r>
            <w:bookmarkEnd w:id="2852"/>
            <w:bookmarkEnd w:id="2853"/>
            <w:bookmarkEnd w:id="2854"/>
            <w:bookmarkEnd w:id="2855"/>
            <w:bookmarkEnd w:id="2856"/>
            <w:bookmarkEnd w:id="2857"/>
          </w:p>
        </w:tc>
        <w:tc>
          <w:tcPr>
            <w:tcW w:w="1737" w:type="dxa"/>
            <w:tcBorders>
              <w:tl2br w:val="nil"/>
              <w:tr2bl w:val="nil"/>
            </w:tcBorders>
          </w:tcPr>
          <w:p>
            <w:pPr>
              <w:jc w:val="center"/>
              <w:outlineLvl w:val="1"/>
              <w:rPr>
                <w:bCs/>
                <w:color w:val="auto"/>
                <w:szCs w:val="21"/>
              </w:rPr>
            </w:pPr>
            <w:bookmarkStart w:id="2858" w:name="_Toc15024"/>
            <w:bookmarkStart w:id="2859" w:name="_Toc17025"/>
            <w:bookmarkStart w:id="2860" w:name="_Toc382"/>
            <w:bookmarkStart w:id="2861" w:name="_Toc11570"/>
            <w:bookmarkStart w:id="2862" w:name="_Toc21710"/>
            <w:bookmarkStart w:id="2863" w:name="_Toc31118"/>
            <w:r>
              <w:rPr>
                <w:bCs/>
                <w:color w:val="auto"/>
                <w:szCs w:val="21"/>
              </w:rPr>
              <w:t>吸收法</w:t>
            </w:r>
            <w:bookmarkEnd w:id="2858"/>
            <w:bookmarkEnd w:id="2859"/>
            <w:bookmarkEnd w:id="2860"/>
            <w:bookmarkEnd w:id="2861"/>
            <w:bookmarkEnd w:id="2862"/>
            <w:bookmarkEnd w:id="2863"/>
          </w:p>
        </w:tc>
        <w:tc>
          <w:tcPr>
            <w:tcW w:w="2463" w:type="dxa"/>
            <w:tcBorders>
              <w:tl2br w:val="nil"/>
              <w:tr2bl w:val="nil"/>
            </w:tcBorders>
          </w:tcPr>
          <w:p>
            <w:pPr>
              <w:jc w:val="center"/>
              <w:outlineLvl w:val="1"/>
              <w:rPr>
                <w:bCs/>
                <w:color w:val="auto"/>
                <w:szCs w:val="21"/>
              </w:rPr>
            </w:pPr>
            <w:bookmarkStart w:id="2864" w:name="_Toc16941"/>
            <w:bookmarkStart w:id="2865" w:name="_Toc9832"/>
            <w:bookmarkStart w:id="2866" w:name="_Toc7943"/>
            <w:bookmarkStart w:id="2867" w:name="_Toc27886"/>
            <w:bookmarkStart w:id="2868" w:name="_Toc28026"/>
            <w:bookmarkStart w:id="2869" w:name="_Toc7854"/>
            <w:r>
              <w:rPr>
                <w:bCs/>
                <w:color w:val="auto"/>
                <w:szCs w:val="21"/>
              </w:rPr>
              <w:t>催化燃烧法</w:t>
            </w:r>
            <w:bookmarkEnd w:id="2864"/>
            <w:bookmarkEnd w:id="2865"/>
            <w:bookmarkEnd w:id="2866"/>
            <w:bookmarkEnd w:id="2867"/>
            <w:bookmarkEnd w:id="2868"/>
            <w:bookmarkEnd w:id="2869"/>
          </w:p>
        </w:tc>
        <w:tc>
          <w:tcPr>
            <w:tcW w:w="2713" w:type="dxa"/>
            <w:tcBorders>
              <w:tl2br w:val="nil"/>
              <w:tr2bl w:val="nil"/>
            </w:tcBorders>
          </w:tcPr>
          <w:p>
            <w:pPr>
              <w:jc w:val="center"/>
              <w:outlineLvl w:val="1"/>
              <w:rPr>
                <w:bCs/>
                <w:color w:val="auto"/>
                <w:szCs w:val="21"/>
              </w:rPr>
            </w:pPr>
            <w:bookmarkStart w:id="2870" w:name="_Toc2450"/>
            <w:bookmarkStart w:id="2871" w:name="_Toc26519"/>
            <w:bookmarkStart w:id="2872" w:name="_Toc8116"/>
            <w:bookmarkStart w:id="2873" w:name="_Toc14370"/>
            <w:bookmarkStart w:id="2874" w:name="_Toc28085"/>
            <w:bookmarkStart w:id="2875" w:name="_Toc21266"/>
            <w:r>
              <w:rPr>
                <w:bCs/>
                <w:color w:val="auto"/>
                <w:szCs w:val="21"/>
              </w:rPr>
              <w:t>等离子净化法</w:t>
            </w:r>
            <w:bookmarkEnd w:id="2870"/>
            <w:bookmarkEnd w:id="2871"/>
            <w:bookmarkEnd w:id="2872"/>
            <w:bookmarkEnd w:id="2873"/>
            <w:bookmarkEnd w:id="2874"/>
            <w:bookmarkEnd w:id="2875"/>
          </w:p>
        </w:tc>
        <w:tc>
          <w:tcPr>
            <w:tcW w:w="1163" w:type="dxa"/>
            <w:tcBorders>
              <w:tl2br w:val="nil"/>
              <w:tr2bl w:val="nil"/>
            </w:tcBorders>
          </w:tcPr>
          <w:p>
            <w:pPr>
              <w:jc w:val="center"/>
              <w:outlineLvl w:val="1"/>
              <w:rPr>
                <w:bCs/>
                <w:color w:val="auto"/>
                <w:szCs w:val="21"/>
              </w:rPr>
            </w:pPr>
            <w:bookmarkStart w:id="2876" w:name="_Toc24076"/>
            <w:bookmarkStart w:id="2877" w:name="_Toc9232"/>
            <w:bookmarkStart w:id="2878" w:name="_Toc10939"/>
            <w:bookmarkStart w:id="2879" w:name="_Toc9471"/>
            <w:bookmarkStart w:id="2880" w:name="_Toc830"/>
            <w:bookmarkStart w:id="2881" w:name="_Toc2536"/>
            <w:r>
              <w:rPr>
                <w:bCs/>
                <w:color w:val="auto"/>
                <w:szCs w:val="21"/>
              </w:rPr>
              <w:t>冷凝法</w:t>
            </w:r>
            <w:bookmarkEnd w:id="2876"/>
            <w:bookmarkEnd w:id="2877"/>
            <w:bookmarkEnd w:id="2878"/>
            <w:bookmarkEnd w:id="2879"/>
            <w:bookmarkEnd w:id="2880"/>
            <w:bookmarkEnd w:id="288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2882" w:name="_Toc18801"/>
            <w:bookmarkStart w:id="2883" w:name="_Toc5011"/>
            <w:bookmarkStart w:id="2884" w:name="_Toc16515"/>
            <w:bookmarkStart w:id="2885" w:name="_Toc26164"/>
            <w:bookmarkStart w:id="2886" w:name="_Toc10473"/>
            <w:bookmarkStart w:id="2887" w:name="_Toc31335"/>
            <w:r>
              <w:rPr>
                <w:color w:val="auto"/>
                <w:szCs w:val="21"/>
              </w:rPr>
              <w:t>原理</w:t>
            </w:r>
            <w:bookmarkEnd w:id="2882"/>
            <w:bookmarkEnd w:id="2883"/>
            <w:bookmarkEnd w:id="2884"/>
            <w:bookmarkEnd w:id="2885"/>
            <w:bookmarkEnd w:id="2886"/>
            <w:bookmarkEnd w:id="2887"/>
          </w:p>
        </w:tc>
        <w:tc>
          <w:tcPr>
            <w:tcW w:w="3367" w:type="dxa"/>
            <w:tcBorders>
              <w:tl2br w:val="nil"/>
              <w:tr2bl w:val="nil"/>
            </w:tcBorders>
            <w:vAlign w:val="center"/>
          </w:tcPr>
          <w:p>
            <w:pPr>
              <w:jc w:val="center"/>
              <w:outlineLvl w:val="1"/>
              <w:rPr>
                <w:bCs/>
                <w:color w:val="auto"/>
                <w:szCs w:val="21"/>
              </w:rPr>
            </w:pPr>
            <w:bookmarkStart w:id="2888" w:name="_Toc29967"/>
            <w:bookmarkStart w:id="2889" w:name="_Toc5114"/>
            <w:bookmarkStart w:id="2890" w:name="_Toc16236"/>
            <w:bookmarkStart w:id="2891" w:name="_Toc13641"/>
            <w:bookmarkStart w:id="2892" w:name="_Toc31621"/>
            <w:bookmarkStart w:id="2893" w:name="_Toc2647"/>
            <w:r>
              <w:rPr>
                <w:bCs/>
                <w:color w:val="auto"/>
                <w:szCs w:val="21"/>
              </w:rPr>
              <w:t>利用高能紫外线光束与空气、TiO</w:t>
            </w:r>
            <w:r>
              <w:rPr>
                <w:bCs/>
                <w:color w:val="auto"/>
                <w:szCs w:val="21"/>
                <w:vertAlign w:val="subscript"/>
              </w:rPr>
              <w:t>2</w:t>
            </w:r>
            <w:r>
              <w:rPr>
                <w:bCs/>
                <w:color w:val="auto"/>
                <w:szCs w:val="21"/>
              </w:rPr>
              <w:t>反应产生的臭氧、•OH(羟基自由基)对恶臭气体进行协同分解氧化反应，同时大分子恶臭气体在紫外线作用下使其链结构断裂，使恶臭气体物质转化为无臭味的小分子化合物或者完全矿化，生成水和CO</w:t>
            </w:r>
            <w:r>
              <w:rPr>
                <w:bCs/>
                <w:color w:val="auto"/>
                <w:szCs w:val="21"/>
                <w:vertAlign w:val="subscript"/>
              </w:rPr>
              <w:t>2</w:t>
            </w:r>
            <w:bookmarkEnd w:id="2888"/>
            <w:bookmarkEnd w:id="2889"/>
            <w:bookmarkEnd w:id="2890"/>
            <w:bookmarkEnd w:id="2891"/>
            <w:bookmarkEnd w:id="2892"/>
            <w:bookmarkEnd w:id="2893"/>
          </w:p>
        </w:tc>
        <w:tc>
          <w:tcPr>
            <w:tcW w:w="2138" w:type="dxa"/>
            <w:tcBorders>
              <w:tl2br w:val="nil"/>
              <w:tr2bl w:val="nil"/>
            </w:tcBorders>
            <w:vAlign w:val="center"/>
          </w:tcPr>
          <w:p>
            <w:pPr>
              <w:jc w:val="center"/>
              <w:outlineLvl w:val="1"/>
              <w:rPr>
                <w:bCs/>
                <w:color w:val="auto"/>
                <w:szCs w:val="21"/>
              </w:rPr>
            </w:pPr>
            <w:bookmarkStart w:id="2894" w:name="_Toc6422"/>
            <w:bookmarkStart w:id="2895" w:name="_Toc2149"/>
            <w:bookmarkStart w:id="2896" w:name="_Toc16374"/>
            <w:bookmarkStart w:id="2897" w:name="_Toc21106"/>
            <w:bookmarkStart w:id="2898" w:name="_Toc28781"/>
            <w:bookmarkStart w:id="2899" w:name="_Toc4453"/>
            <w:r>
              <w:rPr>
                <w:bCs/>
                <w:color w:val="auto"/>
                <w:szCs w:val="21"/>
              </w:rPr>
              <w:t>废气的分子扩散到固体吸附剂表面，有害成分被吸附而达到净化</w:t>
            </w:r>
            <w:bookmarkEnd w:id="2894"/>
            <w:bookmarkEnd w:id="2895"/>
            <w:bookmarkEnd w:id="2896"/>
            <w:bookmarkEnd w:id="2897"/>
            <w:bookmarkEnd w:id="2898"/>
            <w:bookmarkEnd w:id="2899"/>
          </w:p>
        </w:tc>
        <w:tc>
          <w:tcPr>
            <w:tcW w:w="1737" w:type="dxa"/>
            <w:tcBorders>
              <w:tl2br w:val="nil"/>
              <w:tr2bl w:val="nil"/>
            </w:tcBorders>
            <w:vAlign w:val="center"/>
          </w:tcPr>
          <w:p>
            <w:pPr>
              <w:jc w:val="center"/>
              <w:outlineLvl w:val="1"/>
              <w:rPr>
                <w:bCs/>
                <w:color w:val="auto"/>
                <w:szCs w:val="21"/>
              </w:rPr>
            </w:pPr>
            <w:bookmarkStart w:id="2900" w:name="_Toc5915"/>
            <w:bookmarkStart w:id="2901" w:name="_Toc23278"/>
            <w:bookmarkStart w:id="2902" w:name="_Toc130"/>
            <w:bookmarkStart w:id="2903" w:name="_Toc2035"/>
            <w:bookmarkStart w:id="2904" w:name="_Toc24757"/>
            <w:bookmarkStart w:id="2905" w:name="_Toc20357"/>
            <w:r>
              <w:rPr>
                <w:bCs/>
                <w:color w:val="auto"/>
                <w:szCs w:val="21"/>
              </w:rPr>
              <w:t>液体作为吸收剂，使废气中有害气体被吸收剂所吸收从而达到净化</w:t>
            </w:r>
            <w:bookmarkEnd w:id="2900"/>
            <w:bookmarkEnd w:id="2901"/>
            <w:bookmarkEnd w:id="2902"/>
            <w:bookmarkEnd w:id="2903"/>
            <w:bookmarkEnd w:id="2904"/>
            <w:bookmarkEnd w:id="2905"/>
          </w:p>
        </w:tc>
        <w:tc>
          <w:tcPr>
            <w:tcW w:w="2463" w:type="dxa"/>
            <w:tcBorders>
              <w:tl2br w:val="nil"/>
              <w:tr2bl w:val="nil"/>
            </w:tcBorders>
            <w:vAlign w:val="center"/>
          </w:tcPr>
          <w:p>
            <w:pPr>
              <w:jc w:val="center"/>
              <w:outlineLvl w:val="1"/>
              <w:rPr>
                <w:bCs/>
                <w:color w:val="auto"/>
                <w:szCs w:val="21"/>
              </w:rPr>
            </w:pPr>
            <w:bookmarkStart w:id="2906" w:name="_Toc25535"/>
            <w:bookmarkStart w:id="2907" w:name="_Toc1251"/>
            <w:bookmarkStart w:id="2908" w:name="_Toc10507"/>
            <w:bookmarkStart w:id="2909" w:name="_Toc20848"/>
            <w:bookmarkStart w:id="2910" w:name="_Toc18588"/>
            <w:bookmarkStart w:id="2911" w:name="_Toc4542"/>
            <w:r>
              <w:rPr>
                <w:bCs/>
                <w:color w:val="auto"/>
                <w:szCs w:val="21"/>
              </w:rPr>
              <w:t>在催化剂作用下，使有机物废气在引燃点温度以下燃烧生成CO</w:t>
            </w:r>
            <w:r>
              <w:rPr>
                <w:bCs/>
                <w:color w:val="auto"/>
                <w:szCs w:val="21"/>
                <w:vertAlign w:val="subscript"/>
              </w:rPr>
              <w:t>2</w:t>
            </w:r>
            <w:r>
              <w:rPr>
                <w:bCs/>
                <w:color w:val="auto"/>
                <w:szCs w:val="21"/>
              </w:rPr>
              <w:t>和 H2O而被净化</w:t>
            </w:r>
            <w:bookmarkEnd w:id="2906"/>
            <w:bookmarkEnd w:id="2907"/>
            <w:bookmarkEnd w:id="2908"/>
            <w:bookmarkEnd w:id="2909"/>
            <w:bookmarkEnd w:id="2910"/>
            <w:bookmarkEnd w:id="2911"/>
          </w:p>
        </w:tc>
        <w:tc>
          <w:tcPr>
            <w:tcW w:w="2713" w:type="dxa"/>
            <w:tcBorders>
              <w:tl2br w:val="nil"/>
              <w:tr2bl w:val="nil"/>
            </w:tcBorders>
            <w:vAlign w:val="center"/>
          </w:tcPr>
          <w:p>
            <w:pPr>
              <w:jc w:val="center"/>
              <w:outlineLvl w:val="1"/>
              <w:rPr>
                <w:bCs/>
                <w:color w:val="auto"/>
                <w:szCs w:val="21"/>
              </w:rPr>
            </w:pPr>
            <w:bookmarkStart w:id="2912" w:name="_Toc820"/>
            <w:bookmarkStart w:id="2913" w:name="_Toc15846"/>
            <w:bookmarkStart w:id="2914" w:name="_Toc22217"/>
            <w:bookmarkStart w:id="2915" w:name="_Toc12788"/>
            <w:bookmarkStart w:id="2916" w:name="_Toc2511"/>
            <w:bookmarkStart w:id="2917" w:name="_Toc13376"/>
            <w:r>
              <w:rPr>
                <w:bCs/>
                <w:color w:val="auto"/>
                <w:szCs w:val="21"/>
              </w:rPr>
              <w:t>采用高压发生器形成低温等离子体，在平面能量约5ev的大量电子作用下，使通过净化器的有机废气分子转化成各种活性粒子，与空气中 O</w:t>
            </w:r>
            <w:r>
              <w:rPr>
                <w:bCs/>
                <w:color w:val="auto"/>
                <w:szCs w:val="21"/>
                <w:vertAlign w:val="subscript"/>
              </w:rPr>
              <w:t>2</w:t>
            </w:r>
            <w:r>
              <w:rPr>
                <w:bCs/>
                <w:color w:val="auto"/>
                <w:szCs w:val="21"/>
              </w:rPr>
              <w:t>结合生成H</w:t>
            </w:r>
            <w:r>
              <w:rPr>
                <w:bCs/>
                <w:color w:val="auto"/>
                <w:szCs w:val="21"/>
                <w:vertAlign w:val="subscript"/>
              </w:rPr>
              <w:t>2</w:t>
            </w:r>
            <w:r>
              <w:rPr>
                <w:bCs/>
                <w:color w:val="auto"/>
                <w:szCs w:val="21"/>
              </w:rPr>
              <w:t>O、CO</w:t>
            </w:r>
            <w:r>
              <w:rPr>
                <w:bCs/>
                <w:color w:val="auto"/>
                <w:szCs w:val="21"/>
                <w:vertAlign w:val="subscript"/>
              </w:rPr>
              <w:t>2</w:t>
            </w:r>
            <w:r>
              <w:rPr>
                <w:bCs/>
                <w:color w:val="auto"/>
                <w:szCs w:val="21"/>
              </w:rPr>
              <w:t>等低分子无害物质</w:t>
            </w:r>
            <w:bookmarkEnd w:id="2912"/>
            <w:bookmarkEnd w:id="2913"/>
            <w:bookmarkEnd w:id="2914"/>
            <w:bookmarkEnd w:id="2915"/>
            <w:bookmarkEnd w:id="2916"/>
            <w:bookmarkEnd w:id="2917"/>
          </w:p>
        </w:tc>
        <w:tc>
          <w:tcPr>
            <w:tcW w:w="1163" w:type="dxa"/>
            <w:tcBorders>
              <w:tl2br w:val="nil"/>
              <w:tr2bl w:val="nil"/>
            </w:tcBorders>
            <w:vAlign w:val="center"/>
          </w:tcPr>
          <w:p>
            <w:pPr>
              <w:jc w:val="center"/>
              <w:outlineLvl w:val="1"/>
              <w:rPr>
                <w:bCs/>
                <w:color w:val="auto"/>
                <w:szCs w:val="21"/>
              </w:rPr>
            </w:pPr>
            <w:bookmarkStart w:id="2918" w:name="_Toc32068"/>
            <w:bookmarkStart w:id="2919" w:name="_Toc32174"/>
            <w:bookmarkStart w:id="2920" w:name="_Toc11092"/>
            <w:bookmarkStart w:id="2921" w:name="_Toc19043"/>
            <w:bookmarkStart w:id="2922" w:name="_Toc18937"/>
            <w:bookmarkStart w:id="2923" w:name="_Toc26386"/>
            <w:r>
              <w:rPr>
                <w:bCs/>
                <w:color w:val="auto"/>
                <w:szCs w:val="21"/>
              </w:rPr>
              <w:t>降低有害气体的温度，能使其某些成分冷凝成液体的原理</w:t>
            </w:r>
            <w:bookmarkEnd w:id="2918"/>
            <w:bookmarkEnd w:id="2919"/>
            <w:bookmarkEnd w:id="2920"/>
            <w:bookmarkEnd w:id="2921"/>
            <w:bookmarkEnd w:id="2922"/>
            <w:bookmarkEnd w:id="292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2924" w:name="_Toc12173"/>
            <w:bookmarkStart w:id="2925" w:name="_Toc2531"/>
            <w:bookmarkStart w:id="2926" w:name="_Toc23135"/>
            <w:bookmarkStart w:id="2927" w:name="_Toc24659"/>
            <w:bookmarkStart w:id="2928" w:name="_Toc25186"/>
            <w:bookmarkStart w:id="2929" w:name="_Toc14101"/>
            <w:r>
              <w:rPr>
                <w:color w:val="auto"/>
                <w:szCs w:val="21"/>
              </w:rPr>
              <w:t>优点</w:t>
            </w:r>
            <w:bookmarkEnd w:id="2924"/>
            <w:bookmarkEnd w:id="2925"/>
            <w:bookmarkEnd w:id="2926"/>
            <w:bookmarkEnd w:id="2927"/>
            <w:bookmarkEnd w:id="2928"/>
            <w:bookmarkEnd w:id="2929"/>
          </w:p>
        </w:tc>
        <w:tc>
          <w:tcPr>
            <w:tcW w:w="3367" w:type="dxa"/>
            <w:tcBorders>
              <w:tl2br w:val="nil"/>
              <w:tr2bl w:val="nil"/>
            </w:tcBorders>
            <w:vAlign w:val="center"/>
          </w:tcPr>
          <w:p>
            <w:pPr>
              <w:jc w:val="center"/>
              <w:outlineLvl w:val="1"/>
              <w:rPr>
                <w:bCs/>
                <w:color w:val="auto"/>
                <w:szCs w:val="21"/>
              </w:rPr>
            </w:pPr>
            <w:bookmarkStart w:id="2930" w:name="_Toc9770"/>
            <w:bookmarkStart w:id="2931" w:name="_Toc23858"/>
            <w:bookmarkStart w:id="2932" w:name="_Toc15802"/>
            <w:bookmarkStart w:id="2933" w:name="_Toc24166"/>
            <w:bookmarkStart w:id="2934" w:name="_Toc25675"/>
            <w:bookmarkStart w:id="2935" w:name="_Toc14299"/>
            <w:r>
              <w:rPr>
                <w:bCs/>
                <w:color w:val="auto"/>
                <w:szCs w:val="21"/>
              </w:rPr>
              <w:t>去除率高，可以达标；</w:t>
            </w:r>
            <w:bookmarkEnd w:id="2930"/>
            <w:bookmarkEnd w:id="2931"/>
            <w:bookmarkEnd w:id="2932"/>
            <w:bookmarkEnd w:id="2933"/>
            <w:bookmarkEnd w:id="2934"/>
            <w:bookmarkEnd w:id="2935"/>
          </w:p>
          <w:p>
            <w:pPr>
              <w:jc w:val="center"/>
              <w:outlineLvl w:val="1"/>
              <w:rPr>
                <w:bCs/>
                <w:color w:val="auto"/>
                <w:szCs w:val="21"/>
              </w:rPr>
            </w:pPr>
            <w:bookmarkStart w:id="2936" w:name="_Toc30063"/>
            <w:bookmarkStart w:id="2937" w:name="_Toc6114"/>
            <w:bookmarkStart w:id="2938" w:name="_Toc30039"/>
            <w:bookmarkStart w:id="2939" w:name="_Toc20116"/>
            <w:bookmarkStart w:id="2940" w:name="_Toc28995"/>
            <w:bookmarkStart w:id="2941" w:name="_Toc15730"/>
            <w:r>
              <w:rPr>
                <w:bCs/>
                <w:color w:val="auto"/>
                <w:szCs w:val="21"/>
              </w:rPr>
              <w:t>分解为 CO</w:t>
            </w:r>
            <w:r>
              <w:rPr>
                <w:bCs/>
                <w:color w:val="auto"/>
                <w:szCs w:val="21"/>
                <w:vertAlign w:val="subscript"/>
              </w:rPr>
              <w:t>2</w:t>
            </w:r>
            <w:r>
              <w:rPr>
                <w:bCs/>
                <w:color w:val="auto"/>
                <w:szCs w:val="21"/>
              </w:rPr>
              <w:t>、H</w:t>
            </w:r>
            <w:r>
              <w:rPr>
                <w:bCs/>
                <w:color w:val="auto"/>
                <w:szCs w:val="21"/>
                <w:vertAlign w:val="subscript"/>
              </w:rPr>
              <w:t>2</w:t>
            </w:r>
            <w:r>
              <w:rPr>
                <w:bCs/>
                <w:color w:val="auto"/>
                <w:szCs w:val="21"/>
              </w:rPr>
              <w:t>O和其他组分的氧化物，无二次污染；适用于各种气量</w:t>
            </w:r>
            <w:bookmarkEnd w:id="2936"/>
            <w:bookmarkEnd w:id="2937"/>
            <w:bookmarkEnd w:id="2938"/>
            <w:bookmarkEnd w:id="2939"/>
            <w:bookmarkEnd w:id="2940"/>
            <w:bookmarkEnd w:id="2941"/>
          </w:p>
        </w:tc>
        <w:tc>
          <w:tcPr>
            <w:tcW w:w="2138" w:type="dxa"/>
            <w:tcBorders>
              <w:tl2br w:val="nil"/>
              <w:tr2bl w:val="nil"/>
            </w:tcBorders>
            <w:vAlign w:val="center"/>
          </w:tcPr>
          <w:p>
            <w:pPr>
              <w:jc w:val="center"/>
              <w:outlineLvl w:val="1"/>
              <w:rPr>
                <w:bCs/>
                <w:color w:val="auto"/>
                <w:szCs w:val="21"/>
              </w:rPr>
            </w:pPr>
            <w:bookmarkStart w:id="2942" w:name="_Toc14294"/>
            <w:bookmarkStart w:id="2943" w:name="_Toc27436"/>
            <w:bookmarkStart w:id="2944" w:name="_Toc29587"/>
            <w:bookmarkStart w:id="2945" w:name="_Toc2911"/>
            <w:bookmarkStart w:id="2946" w:name="_Toc30937"/>
            <w:bookmarkStart w:id="2947" w:name="_Toc10245"/>
            <w:r>
              <w:rPr>
                <w:bCs/>
                <w:color w:val="auto"/>
                <w:szCs w:val="21"/>
              </w:rPr>
              <w:t>可处理含有低浓度的碳氢化合物和低温废气；溶剂可回收，进行有效利用；处理程度可以控制；效率高，运转费用低</w:t>
            </w:r>
            <w:bookmarkEnd w:id="2942"/>
            <w:bookmarkEnd w:id="2943"/>
            <w:bookmarkEnd w:id="2944"/>
            <w:bookmarkEnd w:id="2945"/>
            <w:bookmarkEnd w:id="2946"/>
            <w:bookmarkEnd w:id="2947"/>
          </w:p>
        </w:tc>
        <w:tc>
          <w:tcPr>
            <w:tcW w:w="1737" w:type="dxa"/>
            <w:tcBorders>
              <w:tl2br w:val="nil"/>
              <w:tr2bl w:val="nil"/>
            </w:tcBorders>
            <w:vAlign w:val="center"/>
          </w:tcPr>
          <w:p>
            <w:pPr>
              <w:jc w:val="center"/>
              <w:outlineLvl w:val="1"/>
              <w:rPr>
                <w:bCs/>
                <w:color w:val="auto"/>
                <w:szCs w:val="21"/>
              </w:rPr>
            </w:pPr>
            <w:bookmarkStart w:id="2948" w:name="_Toc12493"/>
            <w:bookmarkStart w:id="2949" w:name="_Toc18745"/>
            <w:bookmarkStart w:id="2950" w:name="_Toc31457"/>
            <w:bookmarkStart w:id="2951" w:name="_Toc25212"/>
            <w:bookmarkStart w:id="2952" w:name="_Toc1939"/>
            <w:bookmarkStart w:id="2953" w:name="_Toc2490"/>
            <w:r>
              <w:rPr>
                <w:bCs/>
                <w:color w:val="auto"/>
                <w:szCs w:val="21"/>
              </w:rPr>
              <w:t>设备费用低，运转费用少；无爆炸、火灾等危险，安全性高；适宜处理喷漆室和挥发室排出废气</w:t>
            </w:r>
            <w:bookmarkEnd w:id="2948"/>
            <w:bookmarkEnd w:id="2949"/>
            <w:bookmarkEnd w:id="2950"/>
            <w:bookmarkEnd w:id="2951"/>
            <w:bookmarkEnd w:id="2952"/>
            <w:bookmarkEnd w:id="2953"/>
          </w:p>
        </w:tc>
        <w:tc>
          <w:tcPr>
            <w:tcW w:w="2463" w:type="dxa"/>
            <w:tcBorders>
              <w:tl2br w:val="nil"/>
              <w:tr2bl w:val="nil"/>
            </w:tcBorders>
            <w:vAlign w:val="center"/>
          </w:tcPr>
          <w:p>
            <w:pPr>
              <w:jc w:val="center"/>
              <w:outlineLvl w:val="1"/>
              <w:rPr>
                <w:bCs/>
                <w:color w:val="auto"/>
                <w:szCs w:val="21"/>
              </w:rPr>
            </w:pPr>
            <w:bookmarkStart w:id="2954" w:name="_Toc26692"/>
            <w:bookmarkStart w:id="2955" w:name="_Toc29526"/>
            <w:bookmarkStart w:id="2956" w:name="_Toc4000"/>
            <w:bookmarkStart w:id="2957" w:name="_Toc21864"/>
            <w:bookmarkStart w:id="2958" w:name="_Toc9901"/>
            <w:bookmarkStart w:id="2959" w:name="_Toc21671"/>
            <w:r>
              <w:rPr>
                <w:bCs/>
                <w:color w:val="auto"/>
                <w:szCs w:val="21"/>
              </w:rPr>
              <w:t>与直接燃烧法相比，能在低温下氧化分解，燃料费可省1/2；装置占地面积小；NOx生成少</w:t>
            </w:r>
            <w:bookmarkEnd w:id="2954"/>
            <w:bookmarkEnd w:id="2955"/>
            <w:bookmarkEnd w:id="2956"/>
            <w:bookmarkEnd w:id="2957"/>
            <w:bookmarkEnd w:id="2958"/>
            <w:bookmarkEnd w:id="2959"/>
          </w:p>
          <w:p>
            <w:pPr>
              <w:jc w:val="center"/>
              <w:outlineLvl w:val="1"/>
              <w:rPr>
                <w:bCs/>
                <w:color w:val="auto"/>
                <w:szCs w:val="21"/>
              </w:rPr>
            </w:pPr>
          </w:p>
        </w:tc>
        <w:tc>
          <w:tcPr>
            <w:tcW w:w="2713" w:type="dxa"/>
            <w:tcBorders>
              <w:tl2br w:val="nil"/>
              <w:tr2bl w:val="nil"/>
            </w:tcBorders>
            <w:vAlign w:val="center"/>
          </w:tcPr>
          <w:p>
            <w:pPr>
              <w:jc w:val="center"/>
              <w:outlineLvl w:val="1"/>
              <w:rPr>
                <w:bCs/>
                <w:color w:val="auto"/>
                <w:szCs w:val="21"/>
              </w:rPr>
            </w:pPr>
            <w:bookmarkStart w:id="2960" w:name="_Toc28804"/>
            <w:bookmarkStart w:id="2961" w:name="_Toc26904"/>
            <w:bookmarkStart w:id="2962" w:name="_Toc2830"/>
            <w:bookmarkStart w:id="2963" w:name="_Toc32038"/>
            <w:bookmarkStart w:id="2964" w:name="_Toc20420"/>
            <w:bookmarkStart w:id="2965" w:name="_Toc553"/>
            <w:r>
              <w:rPr>
                <w:bCs/>
                <w:color w:val="auto"/>
                <w:szCs w:val="21"/>
              </w:rPr>
              <w:t>占地少，设备体积小；维护方便，使用寿命长；无二次污染</w:t>
            </w:r>
            <w:bookmarkEnd w:id="2960"/>
            <w:bookmarkEnd w:id="2961"/>
            <w:bookmarkEnd w:id="2962"/>
            <w:bookmarkEnd w:id="2963"/>
            <w:bookmarkEnd w:id="2964"/>
            <w:bookmarkEnd w:id="2965"/>
          </w:p>
        </w:tc>
        <w:tc>
          <w:tcPr>
            <w:tcW w:w="1163" w:type="dxa"/>
            <w:tcBorders>
              <w:tl2br w:val="nil"/>
              <w:tr2bl w:val="nil"/>
            </w:tcBorders>
            <w:vAlign w:val="center"/>
          </w:tcPr>
          <w:p>
            <w:pPr>
              <w:jc w:val="center"/>
              <w:outlineLvl w:val="1"/>
              <w:rPr>
                <w:bCs/>
                <w:color w:val="auto"/>
                <w:szCs w:val="21"/>
              </w:rPr>
            </w:pPr>
            <w:bookmarkStart w:id="2966" w:name="_Toc26155"/>
            <w:bookmarkStart w:id="2967" w:name="_Toc8464"/>
            <w:bookmarkStart w:id="2968" w:name="_Toc20779"/>
            <w:bookmarkStart w:id="2969" w:name="_Toc17857"/>
            <w:bookmarkStart w:id="2970" w:name="_Toc9727"/>
            <w:bookmarkStart w:id="2971" w:name="_Toc26602"/>
            <w:r>
              <w:rPr>
                <w:bCs/>
                <w:color w:val="auto"/>
                <w:szCs w:val="21"/>
              </w:rPr>
              <w:t>设备、操作条件简单，回收物质纯度高</w:t>
            </w:r>
            <w:bookmarkEnd w:id="2966"/>
            <w:bookmarkEnd w:id="2967"/>
            <w:bookmarkEnd w:id="2968"/>
            <w:bookmarkEnd w:id="2969"/>
            <w:bookmarkEnd w:id="2970"/>
            <w:bookmarkEnd w:id="297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2972" w:name="_Toc25393"/>
            <w:bookmarkStart w:id="2973" w:name="_Toc16460"/>
            <w:bookmarkStart w:id="2974" w:name="_Toc20018"/>
            <w:bookmarkStart w:id="2975" w:name="_Toc29517"/>
            <w:bookmarkStart w:id="2976" w:name="_Toc9166"/>
            <w:bookmarkStart w:id="2977" w:name="_Toc18604"/>
            <w:r>
              <w:rPr>
                <w:color w:val="auto"/>
                <w:szCs w:val="21"/>
              </w:rPr>
              <w:t>缺点</w:t>
            </w:r>
            <w:bookmarkEnd w:id="2972"/>
            <w:bookmarkEnd w:id="2973"/>
            <w:bookmarkEnd w:id="2974"/>
            <w:bookmarkEnd w:id="2975"/>
            <w:bookmarkEnd w:id="2976"/>
            <w:bookmarkEnd w:id="2977"/>
          </w:p>
        </w:tc>
        <w:tc>
          <w:tcPr>
            <w:tcW w:w="3367" w:type="dxa"/>
            <w:tcBorders>
              <w:tl2br w:val="nil"/>
              <w:tr2bl w:val="nil"/>
            </w:tcBorders>
            <w:vAlign w:val="center"/>
          </w:tcPr>
          <w:p>
            <w:pPr>
              <w:jc w:val="center"/>
              <w:outlineLvl w:val="1"/>
              <w:rPr>
                <w:bCs/>
                <w:color w:val="auto"/>
                <w:szCs w:val="21"/>
              </w:rPr>
            </w:pPr>
            <w:bookmarkStart w:id="2978" w:name="_Toc19448"/>
            <w:bookmarkStart w:id="2979" w:name="_Toc886"/>
            <w:bookmarkStart w:id="2980" w:name="_Toc13099"/>
            <w:bookmarkStart w:id="2981" w:name="_Toc15298"/>
            <w:bookmarkStart w:id="2982" w:name="_Toc25925"/>
            <w:bookmarkStart w:id="2983" w:name="_Toc4322"/>
            <w:r>
              <w:rPr>
                <w:bCs/>
                <w:color w:val="auto"/>
                <w:szCs w:val="21"/>
              </w:rPr>
              <w:t>紫外光的吸收范围较</w:t>
            </w:r>
            <w:bookmarkEnd w:id="2978"/>
            <w:bookmarkEnd w:id="2979"/>
            <w:bookmarkEnd w:id="2980"/>
            <w:bookmarkEnd w:id="2981"/>
            <w:bookmarkEnd w:id="2982"/>
            <w:bookmarkEnd w:id="2983"/>
          </w:p>
          <w:p>
            <w:pPr>
              <w:jc w:val="center"/>
              <w:outlineLvl w:val="1"/>
              <w:rPr>
                <w:bCs/>
                <w:color w:val="auto"/>
                <w:szCs w:val="21"/>
              </w:rPr>
            </w:pPr>
            <w:bookmarkStart w:id="2984" w:name="_Toc25742"/>
            <w:bookmarkStart w:id="2985" w:name="_Toc18802"/>
            <w:bookmarkStart w:id="2986" w:name="_Toc8219"/>
            <w:bookmarkStart w:id="2987" w:name="_Toc21426"/>
            <w:bookmarkStart w:id="2988" w:name="_Toc12057"/>
            <w:bookmarkStart w:id="2989" w:name="_Toc19891"/>
            <w:r>
              <w:rPr>
                <w:bCs/>
                <w:color w:val="auto"/>
                <w:szCs w:val="21"/>
              </w:rPr>
              <w:t>窄，处理效率受催化剂性质、紫外线波长和反应器的限制</w:t>
            </w:r>
            <w:bookmarkEnd w:id="2984"/>
            <w:bookmarkEnd w:id="2985"/>
            <w:bookmarkEnd w:id="2986"/>
            <w:bookmarkEnd w:id="2987"/>
            <w:bookmarkEnd w:id="2988"/>
            <w:bookmarkEnd w:id="2989"/>
          </w:p>
        </w:tc>
        <w:tc>
          <w:tcPr>
            <w:tcW w:w="2138" w:type="dxa"/>
            <w:tcBorders>
              <w:tl2br w:val="nil"/>
              <w:tr2bl w:val="nil"/>
            </w:tcBorders>
            <w:vAlign w:val="center"/>
          </w:tcPr>
          <w:p>
            <w:pPr>
              <w:jc w:val="center"/>
              <w:outlineLvl w:val="1"/>
              <w:rPr>
                <w:bCs/>
                <w:color w:val="auto"/>
                <w:szCs w:val="21"/>
              </w:rPr>
            </w:pPr>
            <w:bookmarkStart w:id="2990" w:name="_Toc13749"/>
            <w:bookmarkStart w:id="2991" w:name="_Toc4352"/>
            <w:bookmarkStart w:id="2992" w:name="_Toc13946"/>
            <w:bookmarkStart w:id="2993" w:name="_Toc11205"/>
            <w:bookmarkStart w:id="2994" w:name="_Toc28353"/>
            <w:bookmarkStart w:id="2995" w:name="_Toc31168"/>
            <w:r>
              <w:rPr>
                <w:bCs/>
                <w:color w:val="auto"/>
                <w:szCs w:val="21"/>
              </w:rPr>
              <w:t>活性炭的再生和补充需要花费的费用多；在处理喷漆室废气时要预先除漆雾</w:t>
            </w:r>
            <w:bookmarkEnd w:id="2990"/>
            <w:bookmarkEnd w:id="2991"/>
            <w:bookmarkEnd w:id="2992"/>
            <w:bookmarkEnd w:id="2993"/>
            <w:bookmarkEnd w:id="2994"/>
            <w:bookmarkEnd w:id="2995"/>
          </w:p>
        </w:tc>
        <w:tc>
          <w:tcPr>
            <w:tcW w:w="1737" w:type="dxa"/>
            <w:tcBorders>
              <w:tl2br w:val="nil"/>
              <w:tr2bl w:val="nil"/>
            </w:tcBorders>
            <w:vAlign w:val="center"/>
          </w:tcPr>
          <w:p>
            <w:pPr>
              <w:jc w:val="center"/>
              <w:outlineLvl w:val="1"/>
              <w:rPr>
                <w:bCs/>
                <w:color w:val="auto"/>
                <w:szCs w:val="21"/>
              </w:rPr>
            </w:pPr>
            <w:bookmarkStart w:id="2996" w:name="_Toc31383"/>
            <w:bookmarkStart w:id="2997" w:name="_Toc25812"/>
            <w:bookmarkStart w:id="2998" w:name="_Toc6984"/>
            <w:bookmarkStart w:id="2999" w:name="_Toc23684"/>
            <w:bookmarkStart w:id="3000" w:name="_Toc25780"/>
            <w:bookmarkStart w:id="3001" w:name="_Toc32748"/>
            <w:r>
              <w:rPr>
                <w:bCs/>
                <w:color w:val="auto"/>
                <w:szCs w:val="21"/>
              </w:rPr>
              <w:t>需要对产生废水进行</w:t>
            </w:r>
            <w:bookmarkEnd w:id="2996"/>
            <w:bookmarkEnd w:id="2997"/>
            <w:bookmarkEnd w:id="2998"/>
            <w:bookmarkEnd w:id="2999"/>
            <w:bookmarkEnd w:id="3000"/>
            <w:bookmarkEnd w:id="3001"/>
          </w:p>
          <w:p>
            <w:pPr>
              <w:jc w:val="center"/>
              <w:outlineLvl w:val="1"/>
              <w:rPr>
                <w:bCs/>
                <w:color w:val="auto"/>
                <w:szCs w:val="21"/>
              </w:rPr>
            </w:pPr>
            <w:bookmarkStart w:id="3002" w:name="_Toc2628"/>
            <w:bookmarkStart w:id="3003" w:name="_Toc20623"/>
            <w:bookmarkStart w:id="3004" w:name="_Toc31688"/>
            <w:bookmarkStart w:id="3005" w:name="_Toc2572"/>
            <w:bookmarkStart w:id="3006" w:name="_Toc13519"/>
            <w:bookmarkStart w:id="3007" w:name="_Toc31386"/>
            <w:r>
              <w:rPr>
                <w:bCs/>
                <w:color w:val="auto"/>
                <w:szCs w:val="21"/>
              </w:rPr>
              <w:t>二次处理，对涂料品种有限制</w:t>
            </w:r>
            <w:bookmarkEnd w:id="3002"/>
            <w:bookmarkEnd w:id="3003"/>
            <w:bookmarkEnd w:id="3004"/>
            <w:bookmarkEnd w:id="3005"/>
            <w:bookmarkEnd w:id="3006"/>
            <w:bookmarkEnd w:id="3007"/>
          </w:p>
        </w:tc>
        <w:tc>
          <w:tcPr>
            <w:tcW w:w="2463" w:type="dxa"/>
            <w:tcBorders>
              <w:tl2br w:val="nil"/>
              <w:tr2bl w:val="nil"/>
            </w:tcBorders>
            <w:vAlign w:val="center"/>
          </w:tcPr>
          <w:p>
            <w:pPr>
              <w:jc w:val="center"/>
              <w:outlineLvl w:val="1"/>
              <w:rPr>
                <w:bCs/>
                <w:color w:val="auto"/>
                <w:szCs w:val="21"/>
              </w:rPr>
            </w:pPr>
            <w:bookmarkStart w:id="3008" w:name="_Toc15782"/>
            <w:bookmarkStart w:id="3009" w:name="_Toc11840"/>
            <w:bookmarkStart w:id="3010" w:name="_Toc7599"/>
            <w:bookmarkStart w:id="3011" w:name="_Toc19745"/>
            <w:bookmarkStart w:id="3012" w:name="_Toc13264"/>
            <w:bookmarkStart w:id="3013" w:name="_Toc601"/>
            <w:r>
              <w:rPr>
                <w:bCs/>
                <w:color w:val="auto"/>
                <w:szCs w:val="21"/>
              </w:rPr>
              <w:t>催化剂价格高，需考虑催化剂中毒和催化剂寿命；必须进行前处理除去尘埃、漆雾等；催化剂和设备价格高</w:t>
            </w:r>
            <w:bookmarkEnd w:id="3008"/>
            <w:bookmarkEnd w:id="3009"/>
            <w:bookmarkEnd w:id="3010"/>
            <w:bookmarkEnd w:id="3011"/>
            <w:bookmarkEnd w:id="3012"/>
            <w:bookmarkEnd w:id="3013"/>
          </w:p>
        </w:tc>
        <w:tc>
          <w:tcPr>
            <w:tcW w:w="2713" w:type="dxa"/>
            <w:tcBorders>
              <w:tl2br w:val="nil"/>
              <w:tr2bl w:val="nil"/>
            </w:tcBorders>
            <w:vAlign w:val="center"/>
          </w:tcPr>
          <w:p>
            <w:pPr>
              <w:jc w:val="center"/>
              <w:outlineLvl w:val="1"/>
              <w:rPr>
                <w:bCs/>
                <w:color w:val="auto"/>
                <w:szCs w:val="21"/>
              </w:rPr>
            </w:pPr>
            <w:bookmarkStart w:id="3014" w:name="_Toc2893"/>
            <w:bookmarkStart w:id="3015" w:name="_Toc13045"/>
            <w:bookmarkStart w:id="3016" w:name="_Toc5837"/>
            <w:bookmarkStart w:id="3017" w:name="_Toc12685"/>
            <w:bookmarkStart w:id="3018" w:name="_Toc29516"/>
            <w:bookmarkStart w:id="3019" w:name="_Toc26380"/>
            <w:r>
              <w:rPr>
                <w:bCs/>
                <w:color w:val="auto"/>
                <w:szCs w:val="21"/>
              </w:rPr>
              <w:t>属于新兴工艺，工艺没有传统处理成熟；设备保养和维护要求较高</w:t>
            </w:r>
            <w:bookmarkEnd w:id="3014"/>
            <w:bookmarkEnd w:id="3015"/>
            <w:bookmarkEnd w:id="3016"/>
            <w:bookmarkEnd w:id="3017"/>
            <w:bookmarkEnd w:id="3018"/>
            <w:bookmarkEnd w:id="3019"/>
          </w:p>
        </w:tc>
        <w:tc>
          <w:tcPr>
            <w:tcW w:w="1163" w:type="dxa"/>
            <w:tcBorders>
              <w:tl2br w:val="nil"/>
              <w:tr2bl w:val="nil"/>
            </w:tcBorders>
            <w:vAlign w:val="center"/>
          </w:tcPr>
          <w:p>
            <w:pPr>
              <w:jc w:val="center"/>
              <w:rPr>
                <w:color w:val="auto"/>
                <w:szCs w:val="21"/>
              </w:rPr>
            </w:pPr>
            <w:r>
              <w:rPr>
                <w:color w:val="auto"/>
                <w:szCs w:val="21"/>
              </w:rPr>
              <w:t>净化效率较低</w:t>
            </w:r>
          </w:p>
          <w:p>
            <w:pPr>
              <w:jc w:val="center"/>
              <w:outlineLvl w:val="1"/>
              <w:rPr>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3020" w:name="_Toc20783"/>
            <w:bookmarkStart w:id="3021" w:name="_Toc21226"/>
            <w:bookmarkStart w:id="3022" w:name="_Toc5037"/>
            <w:bookmarkStart w:id="3023" w:name="_Toc20963"/>
            <w:bookmarkStart w:id="3024" w:name="_Toc27117"/>
            <w:bookmarkStart w:id="3025" w:name="_Toc26062"/>
            <w:r>
              <w:rPr>
                <w:color w:val="auto"/>
                <w:szCs w:val="21"/>
              </w:rPr>
              <w:t>投资额度</w:t>
            </w:r>
            <w:bookmarkEnd w:id="3020"/>
            <w:bookmarkEnd w:id="3021"/>
            <w:bookmarkEnd w:id="3022"/>
            <w:bookmarkEnd w:id="3023"/>
            <w:bookmarkEnd w:id="3024"/>
            <w:bookmarkEnd w:id="3025"/>
          </w:p>
        </w:tc>
        <w:tc>
          <w:tcPr>
            <w:tcW w:w="3367" w:type="dxa"/>
            <w:tcBorders>
              <w:tl2br w:val="nil"/>
              <w:tr2bl w:val="nil"/>
            </w:tcBorders>
            <w:vAlign w:val="center"/>
          </w:tcPr>
          <w:p>
            <w:pPr>
              <w:jc w:val="center"/>
              <w:outlineLvl w:val="1"/>
              <w:rPr>
                <w:bCs/>
                <w:color w:val="auto"/>
                <w:szCs w:val="21"/>
              </w:rPr>
            </w:pPr>
            <w:bookmarkStart w:id="3026" w:name="_Toc7555"/>
            <w:bookmarkStart w:id="3027" w:name="_Toc4490"/>
            <w:bookmarkStart w:id="3028" w:name="_Toc30099"/>
            <w:bookmarkStart w:id="3029" w:name="_Toc21422"/>
            <w:bookmarkStart w:id="3030" w:name="_Toc29638"/>
            <w:bookmarkStart w:id="3031" w:name="_Toc15793"/>
            <w:r>
              <w:rPr>
                <w:bCs/>
                <w:color w:val="auto"/>
                <w:szCs w:val="21"/>
              </w:rPr>
              <w:t>设备费用较高</w:t>
            </w:r>
            <w:bookmarkEnd w:id="3026"/>
            <w:bookmarkEnd w:id="3027"/>
            <w:bookmarkEnd w:id="3028"/>
            <w:bookmarkEnd w:id="3029"/>
            <w:bookmarkEnd w:id="3030"/>
            <w:bookmarkEnd w:id="3031"/>
          </w:p>
        </w:tc>
        <w:tc>
          <w:tcPr>
            <w:tcW w:w="2138" w:type="dxa"/>
            <w:tcBorders>
              <w:tl2br w:val="nil"/>
              <w:tr2bl w:val="nil"/>
            </w:tcBorders>
            <w:vAlign w:val="center"/>
          </w:tcPr>
          <w:p>
            <w:pPr>
              <w:jc w:val="center"/>
              <w:outlineLvl w:val="1"/>
              <w:rPr>
                <w:bCs/>
                <w:color w:val="auto"/>
                <w:szCs w:val="21"/>
              </w:rPr>
            </w:pPr>
            <w:bookmarkStart w:id="3032" w:name="_Toc28284"/>
            <w:bookmarkStart w:id="3033" w:name="_Toc24852"/>
            <w:bookmarkStart w:id="3034" w:name="_Toc16919"/>
            <w:bookmarkStart w:id="3035" w:name="_Toc21174"/>
            <w:bookmarkStart w:id="3036" w:name="_Toc27631"/>
            <w:bookmarkStart w:id="3037" w:name="_Toc30299"/>
            <w:r>
              <w:rPr>
                <w:bCs/>
                <w:color w:val="auto"/>
                <w:szCs w:val="21"/>
              </w:rPr>
              <w:t>投资一般</w:t>
            </w:r>
            <w:bookmarkEnd w:id="3032"/>
            <w:bookmarkEnd w:id="3033"/>
            <w:bookmarkEnd w:id="3034"/>
            <w:bookmarkEnd w:id="3035"/>
            <w:bookmarkEnd w:id="3036"/>
            <w:bookmarkEnd w:id="3037"/>
          </w:p>
        </w:tc>
        <w:tc>
          <w:tcPr>
            <w:tcW w:w="1737" w:type="dxa"/>
            <w:tcBorders>
              <w:tl2br w:val="nil"/>
              <w:tr2bl w:val="nil"/>
            </w:tcBorders>
            <w:vAlign w:val="center"/>
          </w:tcPr>
          <w:p>
            <w:pPr>
              <w:jc w:val="center"/>
              <w:outlineLvl w:val="1"/>
              <w:rPr>
                <w:bCs/>
                <w:color w:val="auto"/>
                <w:szCs w:val="21"/>
              </w:rPr>
            </w:pPr>
            <w:bookmarkStart w:id="3038" w:name="_Toc25098"/>
            <w:bookmarkStart w:id="3039" w:name="_Toc1191"/>
            <w:bookmarkStart w:id="3040" w:name="_Toc17467"/>
            <w:bookmarkStart w:id="3041" w:name="_Toc1602"/>
            <w:bookmarkStart w:id="3042" w:name="_Toc24984"/>
            <w:bookmarkStart w:id="3043" w:name="_Toc469"/>
            <w:r>
              <w:rPr>
                <w:bCs/>
                <w:color w:val="auto"/>
                <w:szCs w:val="21"/>
              </w:rPr>
              <w:t>投资一般</w:t>
            </w:r>
            <w:bookmarkEnd w:id="3038"/>
            <w:bookmarkEnd w:id="3039"/>
            <w:bookmarkEnd w:id="3040"/>
            <w:bookmarkEnd w:id="3041"/>
            <w:bookmarkEnd w:id="3042"/>
            <w:bookmarkEnd w:id="3043"/>
          </w:p>
        </w:tc>
        <w:tc>
          <w:tcPr>
            <w:tcW w:w="2463" w:type="dxa"/>
            <w:tcBorders>
              <w:tl2br w:val="nil"/>
              <w:tr2bl w:val="nil"/>
            </w:tcBorders>
            <w:vAlign w:val="center"/>
          </w:tcPr>
          <w:p>
            <w:pPr>
              <w:jc w:val="center"/>
              <w:outlineLvl w:val="1"/>
              <w:rPr>
                <w:bCs/>
                <w:color w:val="auto"/>
                <w:szCs w:val="21"/>
              </w:rPr>
            </w:pPr>
            <w:bookmarkStart w:id="3044" w:name="_Toc16571"/>
            <w:bookmarkStart w:id="3045" w:name="_Toc13931"/>
            <w:bookmarkStart w:id="3046" w:name="_Toc8069"/>
            <w:bookmarkStart w:id="3047" w:name="_Toc7100"/>
            <w:bookmarkStart w:id="3048" w:name="_Toc5889"/>
            <w:bookmarkStart w:id="3049" w:name="_Toc24717"/>
            <w:r>
              <w:rPr>
                <w:bCs/>
                <w:color w:val="auto"/>
                <w:szCs w:val="21"/>
              </w:rPr>
              <w:t>投资较大</w:t>
            </w:r>
            <w:bookmarkEnd w:id="3044"/>
            <w:bookmarkEnd w:id="3045"/>
            <w:bookmarkEnd w:id="3046"/>
            <w:bookmarkEnd w:id="3047"/>
            <w:bookmarkEnd w:id="3048"/>
            <w:bookmarkEnd w:id="3049"/>
          </w:p>
        </w:tc>
        <w:tc>
          <w:tcPr>
            <w:tcW w:w="2713" w:type="dxa"/>
            <w:tcBorders>
              <w:tl2br w:val="nil"/>
              <w:tr2bl w:val="nil"/>
            </w:tcBorders>
            <w:vAlign w:val="center"/>
          </w:tcPr>
          <w:p>
            <w:pPr>
              <w:jc w:val="center"/>
              <w:outlineLvl w:val="1"/>
              <w:rPr>
                <w:bCs/>
                <w:color w:val="auto"/>
                <w:szCs w:val="21"/>
              </w:rPr>
            </w:pPr>
            <w:bookmarkStart w:id="3050" w:name="_Toc1023"/>
            <w:bookmarkStart w:id="3051" w:name="_Toc17104"/>
            <w:bookmarkStart w:id="3052" w:name="_Toc16379"/>
            <w:bookmarkStart w:id="3053" w:name="_Toc13842"/>
            <w:bookmarkStart w:id="3054" w:name="_Toc21984"/>
            <w:bookmarkStart w:id="3055" w:name="_Toc22818"/>
            <w:r>
              <w:rPr>
                <w:bCs/>
                <w:color w:val="auto"/>
                <w:szCs w:val="21"/>
              </w:rPr>
              <w:t>投资一般</w:t>
            </w:r>
            <w:bookmarkEnd w:id="3050"/>
            <w:bookmarkEnd w:id="3051"/>
            <w:bookmarkEnd w:id="3052"/>
            <w:bookmarkEnd w:id="3053"/>
            <w:bookmarkEnd w:id="3054"/>
            <w:bookmarkEnd w:id="3055"/>
          </w:p>
        </w:tc>
        <w:tc>
          <w:tcPr>
            <w:tcW w:w="1163" w:type="dxa"/>
            <w:tcBorders>
              <w:tl2br w:val="nil"/>
              <w:tr2bl w:val="nil"/>
            </w:tcBorders>
            <w:vAlign w:val="center"/>
          </w:tcPr>
          <w:p>
            <w:pPr>
              <w:jc w:val="center"/>
              <w:outlineLvl w:val="1"/>
              <w:rPr>
                <w:bCs/>
                <w:color w:val="auto"/>
                <w:szCs w:val="21"/>
              </w:rPr>
            </w:pPr>
            <w:bookmarkStart w:id="3056" w:name="_Toc5428"/>
            <w:bookmarkStart w:id="3057" w:name="_Toc25667"/>
            <w:bookmarkStart w:id="3058" w:name="_Toc11945"/>
            <w:bookmarkStart w:id="3059" w:name="_Toc25834"/>
            <w:bookmarkStart w:id="3060" w:name="_Toc32732"/>
            <w:bookmarkStart w:id="3061" w:name="_Toc63"/>
            <w:r>
              <w:rPr>
                <w:bCs/>
                <w:color w:val="auto"/>
                <w:szCs w:val="21"/>
              </w:rPr>
              <w:t>投资较小</w:t>
            </w:r>
            <w:bookmarkEnd w:id="3056"/>
            <w:bookmarkEnd w:id="3057"/>
            <w:bookmarkEnd w:id="3058"/>
            <w:bookmarkEnd w:id="3059"/>
            <w:bookmarkEnd w:id="3060"/>
            <w:bookmarkEnd w:id="306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3062" w:name="_Toc7560"/>
            <w:bookmarkStart w:id="3063" w:name="_Toc18833"/>
            <w:bookmarkStart w:id="3064" w:name="_Toc21447"/>
            <w:bookmarkStart w:id="3065" w:name="_Toc26255"/>
            <w:bookmarkStart w:id="3066" w:name="_Toc8466"/>
            <w:bookmarkStart w:id="3067" w:name="_Toc5194"/>
            <w:r>
              <w:rPr>
                <w:color w:val="auto"/>
                <w:szCs w:val="21"/>
              </w:rPr>
              <w:t>处理效果</w:t>
            </w:r>
            <w:bookmarkEnd w:id="3062"/>
            <w:bookmarkEnd w:id="3063"/>
            <w:bookmarkEnd w:id="3064"/>
            <w:bookmarkEnd w:id="3065"/>
            <w:bookmarkEnd w:id="3066"/>
            <w:bookmarkEnd w:id="3067"/>
          </w:p>
        </w:tc>
        <w:tc>
          <w:tcPr>
            <w:tcW w:w="3367" w:type="dxa"/>
            <w:tcBorders>
              <w:tl2br w:val="nil"/>
              <w:tr2bl w:val="nil"/>
            </w:tcBorders>
            <w:vAlign w:val="center"/>
          </w:tcPr>
          <w:p>
            <w:pPr>
              <w:jc w:val="center"/>
              <w:outlineLvl w:val="1"/>
              <w:rPr>
                <w:bCs/>
                <w:color w:val="auto"/>
                <w:szCs w:val="21"/>
              </w:rPr>
            </w:pPr>
            <w:bookmarkStart w:id="3068" w:name="_Toc4461"/>
            <w:bookmarkStart w:id="3069" w:name="_Toc10056"/>
            <w:bookmarkStart w:id="3070" w:name="_Toc32198"/>
            <w:bookmarkStart w:id="3071" w:name="_Toc29621"/>
            <w:bookmarkStart w:id="3072" w:name="_Toc6259"/>
            <w:bookmarkStart w:id="3073" w:name="_Toc13831"/>
            <w:r>
              <w:rPr>
                <w:bCs/>
                <w:color w:val="auto"/>
                <w:szCs w:val="21"/>
              </w:rPr>
              <w:t>良</w:t>
            </w:r>
            <w:bookmarkEnd w:id="3068"/>
            <w:bookmarkEnd w:id="3069"/>
            <w:bookmarkEnd w:id="3070"/>
            <w:bookmarkEnd w:id="3071"/>
            <w:bookmarkEnd w:id="3072"/>
            <w:bookmarkEnd w:id="3073"/>
          </w:p>
        </w:tc>
        <w:tc>
          <w:tcPr>
            <w:tcW w:w="2138" w:type="dxa"/>
            <w:tcBorders>
              <w:tl2br w:val="nil"/>
              <w:tr2bl w:val="nil"/>
            </w:tcBorders>
            <w:vAlign w:val="center"/>
          </w:tcPr>
          <w:p>
            <w:pPr>
              <w:jc w:val="center"/>
              <w:outlineLvl w:val="1"/>
              <w:rPr>
                <w:bCs/>
                <w:color w:val="auto"/>
                <w:szCs w:val="21"/>
              </w:rPr>
            </w:pPr>
            <w:bookmarkStart w:id="3074" w:name="_Toc26709"/>
            <w:bookmarkStart w:id="3075" w:name="_Toc4675"/>
            <w:bookmarkStart w:id="3076" w:name="_Toc27252"/>
            <w:bookmarkStart w:id="3077" w:name="_Toc18632"/>
            <w:bookmarkStart w:id="3078" w:name="_Toc29855"/>
            <w:bookmarkStart w:id="3079" w:name="_Toc5856"/>
            <w:r>
              <w:rPr>
                <w:bCs/>
                <w:color w:val="auto"/>
                <w:szCs w:val="21"/>
              </w:rPr>
              <w:t>良</w:t>
            </w:r>
            <w:bookmarkEnd w:id="3074"/>
            <w:bookmarkEnd w:id="3075"/>
            <w:bookmarkEnd w:id="3076"/>
            <w:bookmarkEnd w:id="3077"/>
            <w:bookmarkEnd w:id="3078"/>
            <w:bookmarkEnd w:id="3079"/>
          </w:p>
        </w:tc>
        <w:tc>
          <w:tcPr>
            <w:tcW w:w="1737" w:type="dxa"/>
            <w:tcBorders>
              <w:tl2br w:val="nil"/>
              <w:tr2bl w:val="nil"/>
            </w:tcBorders>
            <w:vAlign w:val="center"/>
          </w:tcPr>
          <w:p>
            <w:pPr>
              <w:jc w:val="center"/>
              <w:outlineLvl w:val="1"/>
              <w:rPr>
                <w:bCs/>
                <w:color w:val="auto"/>
                <w:szCs w:val="21"/>
              </w:rPr>
            </w:pPr>
            <w:bookmarkStart w:id="3080" w:name="_Toc29914"/>
            <w:bookmarkStart w:id="3081" w:name="_Toc14204"/>
            <w:bookmarkStart w:id="3082" w:name="_Toc10102"/>
            <w:bookmarkStart w:id="3083" w:name="_Toc5758"/>
            <w:bookmarkStart w:id="3084" w:name="_Toc28076"/>
            <w:bookmarkStart w:id="3085" w:name="_Toc13514"/>
            <w:r>
              <w:rPr>
                <w:bCs/>
                <w:color w:val="auto"/>
                <w:szCs w:val="21"/>
              </w:rPr>
              <w:t>中</w:t>
            </w:r>
            <w:bookmarkEnd w:id="3080"/>
            <w:bookmarkEnd w:id="3081"/>
            <w:bookmarkEnd w:id="3082"/>
            <w:bookmarkEnd w:id="3083"/>
            <w:bookmarkEnd w:id="3084"/>
            <w:bookmarkEnd w:id="3085"/>
          </w:p>
        </w:tc>
        <w:tc>
          <w:tcPr>
            <w:tcW w:w="2463" w:type="dxa"/>
            <w:tcBorders>
              <w:tl2br w:val="nil"/>
              <w:tr2bl w:val="nil"/>
            </w:tcBorders>
            <w:vAlign w:val="center"/>
          </w:tcPr>
          <w:p>
            <w:pPr>
              <w:jc w:val="center"/>
              <w:outlineLvl w:val="1"/>
              <w:rPr>
                <w:bCs/>
                <w:color w:val="auto"/>
                <w:szCs w:val="21"/>
              </w:rPr>
            </w:pPr>
            <w:bookmarkStart w:id="3086" w:name="_Toc3490"/>
            <w:bookmarkStart w:id="3087" w:name="_Toc1278"/>
            <w:bookmarkStart w:id="3088" w:name="_Toc2822"/>
            <w:bookmarkStart w:id="3089" w:name="_Toc32575"/>
            <w:bookmarkStart w:id="3090" w:name="_Toc25746"/>
            <w:bookmarkStart w:id="3091" w:name="_Toc2627"/>
            <w:r>
              <w:rPr>
                <w:bCs/>
                <w:color w:val="auto"/>
                <w:szCs w:val="21"/>
              </w:rPr>
              <w:t>优</w:t>
            </w:r>
            <w:bookmarkEnd w:id="3086"/>
            <w:bookmarkEnd w:id="3087"/>
            <w:bookmarkEnd w:id="3088"/>
            <w:bookmarkEnd w:id="3089"/>
            <w:bookmarkEnd w:id="3090"/>
            <w:bookmarkEnd w:id="3091"/>
          </w:p>
        </w:tc>
        <w:tc>
          <w:tcPr>
            <w:tcW w:w="2713" w:type="dxa"/>
            <w:tcBorders>
              <w:tl2br w:val="nil"/>
              <w:tr2bl w:val="nil"/>
            </w:tcBorders>
            <w:vAlign w:val="center"/>
          </w:tcPr>
          <w:p>
            <w:pPr>
              <w:jc w:val="center"/>
              <w:outlineLvl w:val="1"/>
              <w:rPr>
                <w:bCs/>
                <w:color w:val="auto"/>
                <w:szCs w:val="21"/>
              </w:rPr>
            </w:pPr>
            <w:bookmarkStart w:id="3092" w:name="_Toc4611"/>
            <w:bookmarkStart w:id="3093" w:name="_Toc7457"/>
            <w:bookmarkStart w:id="3094" w:name="_Toc1240"/>
            <w:bookmarkStart w:id="3095" w:name="_Toc27614"/>
            <w:bookmarkStart w:id="3096" w:name="_Toc25263"/>
            <w:bookmarkStart w:id="3097" w:name="_Toc5549"/>
            <w:r>
              <w:rPr>
                <w:bCs/>
                <w:color w:val="auto"/>
                <w:szCs w:val="21"/>
              </w:rPr>
              <w:t>良</w:t>
            </w:r>
            <w:bookmarkEnd w:id="3092"/>
            <w:bookmarkEnd w:id="3093"/>
            <w:bookmarkEnd w:id="3094"/>
            <w:bookmarkEnd w:id="3095"/>
            <w:bookmarkEnd w:id="3096"/>
            <w:bookmarkEnd w:id="3097"/>
          </w:p>
        </w:tc>
        <w:tc>
          <w:tcPr>
            <w:tcW w:w="1163" w:type="dxa"/>
            <w:tcBorders>
              <w:tl2br w:val="nil"/>
              <w:tr2bl w:val="nil"/>
            </w:tcBorders>
            <w:vAlign w:val="center"/>
          </w:tcPr>
          <w:p>
            <w:pPr>
              <w:jc w:val="center"/>
              <w:outlineLvl w:val="1"/>
              <w:rPr>
                <w:bCs/>
                <w:color w:val="auto"/>
                <w:szCs w:val="21"/>
              </w:rPr>
            </w:pPr>
            <w:bookmarkStart w:id="3098" w:name="_Toc32749"/>
            <w:bookmarkStart w:id="3099" w:name="_Toc7880"/>
            <w:bookmarkStart w:id="3100" w:name="_Toc29430"/>
            <w:bookmarkStart w:id="3101" w:name="_Toc16003"/>
            <w:bookmarkStart w:id="3102" w:name="_Toc12736"/>
            <w:bookmarkStart w:id="3103" w:name="_Toc29991"/>
            <w:r>
              <w:rPr>
                <w:bCs/>
                <w:color w:val="auto"/>
                <w:szCs w:val="21"/>
              </w:rPr>
              <w:t>差</w:t>
            </w:r>
            <w:bookmarkEnd w:id="3098"/>
            <w:bookmarkEnd w:id="3099"/>
            <w:bookmarkEnd w:id="3100"/>
            <w:bookmarkEnd w:id="3101"/>
            <w:bookmarkEnd w:id="3102"/>
            <w:bookmarkEnd w:id="310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3104" w:name="_Toc25037"/>
            <w:bookmarkStart w:id="3105" w:name="_Toc19341"/>
            <w:bookmarkStart w:id="3106" w:name="_Toc4719"/>
            <w:bookmarkStart w:id="3107" w:name="_Toc31360"/>
            <w:bookmarkStart w:id="3108" w:name="_Toc30894"/>
            <w:bookmarkStart w:id="3109" w:name="_Toc14513"/>
            <w:r>
              <w:rPr>
                <w:color w:val="auto"/>
                <w:szCs w:val="21"/>
              </w:rPr>
              <w:t>运营管理</w:t>
            </w:r>
            <w:bookmarkEnd w:id="3104"/>
            <w:bookmarkEnd w:id="3105"/>
            <w:bookmarkEnd w:id="3106"/>
            <w:bookmarkEnd w:id="3107"/>
            <w:bookmarkEnd w:id="3108"/>
            <w:bookmarkEnd w:id="3109"/>
          </w:p>
        </w:tc>
        <w:tc>
          <w:tcPr>
            <w:tcW w:w="3367" w:type="dxa"/>
            <w:tcBorders>
              <w:tl2br w:val="nil"/>
              <w:tr2bl w:val="nil"/>
            </w:tcBorders>
            <w:vAlign w:val="center"/>
          </w:tcPr>
          <w:p>
            <w:pPr>
              <w:jc w:val="center"/>
              <w:outlineLvl w:val="1"/>
              <w:rPr>
                <w:bCs/>
                <w:color w:val="auto"/>
                <w:szCs w:val="21"/>
              </w:rPr>
            </w:pPr>
            <w:bookmarkStart w:id="3110" w:name="_Toc1250"/>
            <w:bookmarkStart w:id="3111" w:name="_Toc16527"/>
            <w:bookmarkStart w:id="3112" w:name="_Toc5747"/>
            <w:bookmarkStart w:id="3113" w:name="_Toc14332"/>
            <w:bookmarkStart w:id="3114" w:name="_Toc21795"/>
            <w:bookmarkStart w:id="3115" w:name="_Toc5895"/>
            <w:r>
              <w:rPr>
                <w:bCs/>
                <w:color w:val="auto"/>
                <w:szCs w:val="21"/>
              </w:rPr>
              <w:t>需严格按照操作规程或者专业人员进行维护和保养</w:t>
            </w:r>
            <w:bookmarkEnd w:id="3110"/>
            <w:bookmarkEnd w:id="3111"/>
            <w:bookmarkEnd w:id="3112"/>
            <w:bookmarkEnd w:id="3113"/>
            <w:bookmarkEnd w:id="3114"/>
            <w:bookmarkEnd w:id="3115"/>
          </w:p>
        </w:tc>
        <w:tc>
          <w:tcPr>
            <w:tcW w:w="2138" w:type="dxa"/>
            <w:tcBorders>
              <w:tl2br w:val="nil"/>
              <w:tr2bl w:val="nil"/>
            </w:tcBorders>
            <w:vAlign w:val="center"/>
          </w:tcPr>
          <w:p>
            <w:pPr>
              <w:jc w:val="center"/>
              <w:outlineLvl w:val="1"/>
              <w:rPr>
                <w:bCs/>
                <w:color w:val="auto"/>
                <w:szCs w:val="21"/>
              </w:rPr>
            </w:pPr>
            <w:bookmarkStart w:id="3116" w:name="_Toc8874"/>
            <w:bookmarkStart w:id="3117" w:name="_Toc1530"/>
            <w:bookmarkStart w:id="3118" w:name="_Toc4158"/>
            <w:bookmarkStart w:id="3119" w:name="_Toc28066"/>
            <w:bookmarkStart w:id="3120" w:name="_Toc10137"/>
            <w:bookmarkStart w:id="3121" w:name="_Toc11670"/>
            <w:r>
              <w:rPr>
                <w:bCs/>
                <w:color w:val="auto"/>
                <w:szCs w:val="21"/>
              </w:rPr>
              <w:t>需定期更换废活性炭</w:t>
            </w:r>
            <w:bookmarkEnd w:id="3116"/>
            <w:bookmarkEnd w:id="3117"/>
            <w:bookmarkEnd w:id="3118"/>
            <w:bookmarkEnd w:id="3119"/>
            <w:bookmarkEnd w:id="3120"/>
            <w:bookmarkEnd w:id="3121"/>
          </w:p>
        </w:tc>
        <w:tc>
          <w:tcPr>
            <w:tcW w:w="1737" w:type="dxa"/>
            <w:tcBorders>
              <w:tl2br w:val="nil"/>
              <w:tr2bl w:val="nil"/>
            </w:tcBorders>
            <w:vAlign w:val="center"/>
          </w:tcPr>
          <w:p>
            <w:pPr>
              <w:jc w:val="center"/>
              <w:outlineLvl w:val="1"/>
              <w:rPr>
                <w:bCs/>
                <w:color w:val="auto"/>
                <w:szCs w:val="21"/>
              </w:rPr>
            </w:pPr>
            <w:bookmarkStart w:id="3122" w:name="_Toc12908"/>
            <w:bookmarkStart w:id="3123" w:name="_Toc22142"/>
            <w:bookmarkStart w:id="3124" w:name="_Toc24966"/>
            <w:bookmarkStart w:id="3125" w:name="_Toc23391"/>
            <w:bookmarkStart w:id="3126" w:name="_Toc14415"/>
            <w:bookmarkStart w:id="3127" w:name="_Toc14396"/>
            <w:r>
              <w:rPr>
                <w:bCs/>
                <w:color w:val="auto"/>
                <w:szCs w:val="21"/>
              </w:rPr>
              <w:t>运营较为简易</w:t>
            </w:r>
            <w:bookmarkEnd w:id="3122"/>
            <w:bookmarkEnd w:id="3123"/>
            <w:bookmarkEnd w:id="3124"/>
            <w:bookmarkEnd w:id="3125"/>
            <w:bookmarkEnd w:id="3126"/>
            <w:bookmarkEnd w:id="3127"/>
          </w:p>
        </w:tc>
        <w:tc>
          <w:tcPr>
            <w:tcW w:w="2463" w:type="dxa"/>
            <w:tcBorders>
              <w:tl2br w:val="nil"/>
              <w:tr2bl w:val="nil"/>
            </w:tcBorders>
            <w:vAlign w:val="center"/>
          </w:tcPr>
          <w:p>
            <w:pPr>
              <w:jc w:val="center"/>
              <w:outlineLvl w:val="1"/>
              <w:rPr>
                <w:bCs/>
                <w:color w:val="auto"/>
                <w:szCs w:val="21"/>
              </w:rPr>
            </w:pPr>
            <w:bookmarkStart w:id="3128" w:name="_Toc12284"/>
            <w:bookmarkStart w:id="3129" w:name="_Toc14700"/>
            <w:bookmarkStart w:id="3130" w:name="_Toc1874"/>
            <w:bookmarkStart w:id="3131" w:name="_Toc18735"/>
            <w:bookmarkStart w:id="3132" w:name="_Toc25233"/>
            <w:bookmarkStart w:id="3133" w:name="_Toc25261"/>
            <w:r>
              <w:rPr>
                <w:bCs/>
                <w:color w:val="auto"/>
                <w:szCs w:val="21"/>
              </w:rPr>
              <w:t>运营较为简易</w:t>
            </w:r>
            <w:bookmarkEnd w:id="3128"/>
            <w:bookmarkEnd w:id="3129"/>
            <w:bookmarkEnd w:id="3130"/>
            <w:bookmarkEnd w:id="3131"/>
            <w:bookmarkEnd w:id="3132"/>
            <w:bookmarkEnd w:id="3133"/>
          </w:p>
        </w:tc>
        <w:tc>
          <w:tcPr>
            <w:tcW w:w="2713" w:type="dxa"/>
            <w:tcBorders>
              <w:tl2br w:val="nil"/>
              <w:tr2bl w:val="nil"/>
            </w:tcBorders>
            <w:vAlign w:val="center"/>
          </w:tcPr>
          <w:p>
            <w:pPr>
              <w:jc w:val="center"/>
              <w:outlineLvl w:val="1"/>
              <w:rPr>
                <w:bCs/>
                <w:color w:val="auto"/>
                <w:szCs w:val="21"/>
              </w:rPr>
            </w:pPr>
            <w:bookmarkStart w:id="3134" w:name="_Toc12248"/>
            <w:bookmarkStart w:id="3135" w:name="_Toc3262"/>
            <w:bookmarkStart w:id="3136" w:name="_Toc6895"/>
            <w:bookmarkStart w:id="3137" w:name="_Toc7544"/>
            <w:bookmarkStart w:id="3138" w:name="_Toc26005"/>
            <w:bookmarkStart w:id="3139" w:name="_Toc9397"/>
            <w:r>
              <w:rPr>
                <w:bCs/>
                <w:color w:val="auto"/>
                <w:szCs w:val="21"/>
              </w:rPr>
              <w:t>需严格按照操作规程或者专业人员进行维护和保养</w:t>
            </w:r>
            <w:bookmarkEnd w:id="3134"/>
            <w:bookmarkEnd w:id="3135"/>
            <w:bookmarkEnd w:id="3136"/>
            <w:bookmarkEnd w:id="3137"/>
            <w:bookmarkEnd w:id="3138"/>
            <w:bookmarkEnd w:id="3139"/>
          </w:p>
        </w:tc>
        <w:tc>
          <w:tcPr>
            <w:tcW w:w="1163" w:type="dxa"/>
            <w:tcBorders>
              <w:tl2br w:val="nil"/>
              <w:tr2bl w:val="nil"/>
            </w:tcBorders>
            <w:vAlign w:val="center"/>
          </w:tcPr>
          <w:p>
            <w:pPr>
              <w:jc w:val="center"/>
              <w:outlineLvl w:val="1"/>
              <w:rPr>
                <w:bCs/>
                <w:color w:val="auto"/>
                <w:szCs w:val="21"/>
              </w:rPr>
            </w:pPr>
            <w:bookmarkStart w:id="3140" w:name="_Toc15588"/>
            <w:bookmarkStart w:id="3141" w:name="_Toc19751"/>
            <w:bookmarkStart w:id="3142" w:name="_Toc1897"/>
            <w:bookmarkStart w:id="3143" w:name="_Toc17993"/>
            <w:bookmarkStart w:id="3144" w:name="_Toc31226"/>
            <w:bookmarkStart w:id="3145" w:name="_Toc13810"/>
            <w:r>
              <w:rPr>
                <w:bCs/>
                <w:color w:val="auto"/>
                <w:szCs w:val="21"/>
              </w:rPr>
              <w:t>运营较为简易</w:t>
            </w:r>
            <w:bookmarkEnd w:id="3140"/>
            <w:bookmarkEnd w:id="3141"/>
            <w:bookmarkEnd w:id="3142"/>
            <w:bookmarkEnd w:id="3143"/>
            <w:bookmarkEnd w:id="3144"/>
            <w:bookmarkEnd w:id="314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9" w:type="dxa"/>
            <w:tcBorders>
              <w:tl2br w:val="nil"/>
              <w:tr2bl w:val="nil"/>
            </w:tcBorders>
            <w:vAlign w:val="center"/>
          </w:tcPr>
          <w:p>
            <w:pPr>
              <w:jc w:val="center"/>
              <w:outlineLvl w:val="1"/>
              <w:rPr>
                <w:color w:val="auto"/>
                <w:szCs w:val="21"/>
              </w:rPr>
            </w:pPr>
            <w:bookmarkStart w:id="3146" w:name="_Toc23599"/>
            <w:bookmarkStart w:id="3147" w:name="_Toc21408"/>
            <w:bookmarkStart w:id="3148" w:name="_Toc2860"/>
            <w:bookmarkStart w:id="3149" w:name="_Toc6665"/>
            <w:bookmarkStart w:id="3150" w:name="_Toc21387"/>
            <w:bookmarkStart w:id="3151" w:name="_Toc25239"/>
            <w:r>
              <w:rPr>
                <w:color w:val="auto"/>
                <w:szCs w:val="21"/>
              </w:rPr>
              <w:t>适用范围</w:t>
            </w:r>
            <w:bookmarkEnd w:id="3146"/>
            <w:bookmarkEnd w:id="3147"/>
            <w:bookmarkEnd w:id="3148"/>
            <w:bookmarkEnd w:id="3149"/>
            <w:bookmarkEnd w:id="3150"/>
            <w:bookmarkEnd w:id="3151"/>
          </w:p>
        </w:tc>
        <w:tc>
          <w:tcPr>
            <w:tcW w:w="3367" w:type="dxa"/>
            <w:tcBorders>
              <w:tl2br w:val="nil"/>
              <w:tr2bl w:val="nil"/>
            </w:tcBorders>
            <w:vAlign w:val="center"/>
          </w:tcPr>
          <w:p>
            <w:pPr>
              <w:jc w:val="center"/>
              <w:outlineLvl w:val="1"/>
              <w:rPr>
                <w:bCs/>
                <w:color w:val="auto"/>
                <w:szCs w:val="21"/>
              </w:rPr>
            </w:pPr>
            <w:bookmarkStart w:id="3152" w:name="_Toc13128"/>
            <w:bookmarkStart w:id="3153" w:name="_Toc13392"/>
            <w:bookmarkStart w:id="3154" w:name="_Toc4836"/>
            <w:bookmarkStart w:id="3155" w:name="_Toc16255"/>
            <w:bookmarkStart w:id="3156" w:name="_Toc16629"/>
            <w:bookmarkStart w:id="3157" w:name="_Toc4905"/>
            <w:r>
              <w:rPr>
                <w:bCs/>
                <w:color w:val="auto"/>
                <w:szCs w:val="21"/>
              </w:rPr>
              <w:t>适用于各种气量。</w:t>
            </w:r>
            <w:bookmarkEnd w:id="3152"/>
            <w:bookmarkEnd w:id="3153"/>
            <w:bookmarkEnd w:id="3154"/>
            <w:bookmarkEnd w:id="3155"/>
            <w:bookmarkEnd w:id="3156"/>
            <w:bookmarkEnd w:id="3157"/>
          </w:p>
        </w:tc>
        <w:tc>
          <w:tcPr>
            <w:tcW w:w="2138" w:type="dxa"/>
            <w:tcBorders>
              <w:tl2br w:val="nil"/>
              <w:tr2bl w:val="nil"/>
            </w:tcBorders>
            <w:vAlign w:val="center"/>
          </w:tcPr>
          <w:p>
            <w:pPr>
              <w:jc w:val="center"/>
              <w:outlineLvl w:val="1"/>
              <w:rPr>
                <w:bCs/>
                <w:color w:val="auto"/>
                <w:szCs w:val="21"/>
              </w:rPr>
            </w:pPr>
            <w:bookmarkStart w:id="3158" w:name="_Toc30155"/>
            <w:bookmarkStart w:id="3159" w:name="_Toc9343"/>
            <w:bookmarkStart w:id="3160" w:name="_Toc25879"/>
            <w:bookmarkStart w:id="3161" w:name="_Toc645"/>
            <w:bookmarkStart w:id="3162" w:name="_Toc23058"/>
            <w:bookmarkStart w:id="3163" w:name="_Toc8195"/>
            <w:r>
              <w:rPr>
                <w:bCs/>
                <w:color w:val="auto"/>
                <w:szCs w:val="21"/>
              </w:rPr>
              <w:t>常温、低浓度、废气量较小时的废气治理</w:t>
            </w:r>
            <w:bookmarkEnd w:id="3158"/>
            <w:bookmarkEnd w:id="3159"/>
            <w:bookmarkEnd w:id="3160"/>
            <w:bookmarkEnd w:id="3161"/>
            <w:bookmarkEnd w:id="3162"/>
            <w:bookmarkEnd w:id="3163"/>
          </w:p>
        </w:tc>
        <w:tc>
          <w:tcPr>
            <w:tcW w:w="1737" w:type="dxa"/>
            <w:tcBorders>
              <w:tl2br w:val="nil"/>
              <w:tr2bl w:val="nil"/>
            </w:tcBorders>
            <w:vAlign w:val="center"/>
          </w:tcPr>
          <w:p>
            <w:pPr>
              <w:jc w:val="center"/>
              <w:outlineLvl w:val="1"/>
              <w:rPr>
                <w:bCs/>
                <w:color w:val="auto"/>
                <w:szCs w:val="21"/>
              </w:rPr>
            </w:pPr>
            <w:bookmarkStart w:id="3164" w:name="_Toc7075"/>
            <w:bookmarkStart w:id="3165" w:name="_Toc21327"/>
            <w:bookmarkStart w:id="3166" w:name="_Toc28194"/>
            <w:bookmarkStart w:id="3167" w:name="_Toc17093"/>
            <w:bookmarkStart w:id="3168" w:name="_Toc1711"/>
            <w:bookmarkStart w:id="3169" w:name="_Toc10521"/>
            <w:r>
              <w:rPr>
                <w:bCs/>
                <w:color w:val="auto"/>
                <w:szCs w:val="21"/>
              </w:rPr>
              <w:t>高、低浓度有机废气</w:t>
            </w:r>
            <w:bookmarkEnd w:id="3164"/>
            <w:bookmarkEnd w:id="3165"/>
            <w:bookmarkEnd w:id="3166"/>
            <w:bookmarkEnd w:id="3167"/>
            <w:bookmarkEnd w:id="3168"/>
            <w:bookmarkEnd w:id="3169"/>
          </w:p>
        </w:tc>
        <w:tc>
          <w:tcPr>
            <w:tcW w:w="2463" w:type="dxa"/>
            <w:tcBorders>
              <w:tl2br w:val="nil"/>
              <w:tr2bl w:val="nil"/>
            </w:tcBorders>
            <w:vAlign w:val="center"/>
          </w:tcPr>
          <w:p>
            <w:pPr>
              <w:jc w:val="center"/>
              <w:outlineLvl w:val="1"/>
              <w:rPr>
                <w:bCs/>
                <w:color w:val="auto"/>
                <w:szCs w:val="21"/>
              </w:rPr>
            </w:pPr>
            <w:bookmarkStart w:id="3170" w:name="_Toc5547"/>
            <w:bookmarkStart w:id="3171" w:name="_Toc14088"/>
            <w:bookmarkStart w:id="3172" w:name="_Toc27902"/>
            <w:bookmarkStart w:id="3173" w:name="_Toc10396"/>
            <w:bookmarkStart w:id="3174" w:name="_Toc15174"/>
            <w:bookmarkStart w:id="3175" w:name="_Toc23164"/>
            <w:r>
              <w:rPr>
                <w:bCs/>
                <w:color w:val="auto"/>
                <w:szCs w:val="21"/>
              </w:rPr>
              <w:t>废气温度高、流量小、有机溶剂浓度高、含杂质少的场合</w:t>
            </w:r>
            <w:bookmarkEnd w:id="3170"/>
            <w:bookmarkEnd w:id="3171"/>
            <w:bookmarkEnd w:id="3172"/>
            <w:bookmarkEnd w:id="3173"/>
            <w:bookmarkEnd w:id="3174"/>
            <w:bookmarkEnd w:id="3175"/>
          </w:p>
        </w:tc>
        <w:tc>
          <w:tcPr>
            <w:tcW w:w="2713" w:type="dxa"/>
            <w:tcBorders>
              <w:tl2br w:val="nil"/>
              <w:tr2bl w:val="nil"/>
            </w:tcBorders>
            <w:vAlign w:val="center"/>
          </w:tcPr>
          <w:p>
            <w:pPr>
              <w:jc w:val="center"/>
              <w:outlineLvl w:val="1"/>
              <w:rPr>
                <w:bCs/>
                <w:color w:val="auto"/>
                <w:szCs w:val="21"/>
              </w:rPr>
            </w:pPr>
            <w:bookmarkStart w:id="3176" w:name="_Toc16702"/>
            <w:bookmarkStart w:id="3177" w:name="_Toc13181"/>
            <w:bookmarkStart w:id="3178" w:name="_Toc29940"/>
            <w:bookmarkStart w:id="3179" w:name="_Toc9929"/>
            <w:bookmarkStart w:id="3180" w:name="_Toc13387"/>
            <w:bookmarkStart w:id="3181" w:name="_Toc19892"/>
            <w:r>
              <w:rPr>
                <w:bCs/>
                <w:color w:val="auto"/>
                <w:szCs w:val="21"/>
              </w:rPr>
              <w:t>喷漆车间、油墨印刷、喷涂车间、化工、医药、橡胶、食品、印染、造纸、酿造等</w:t>
            </w:r>
            <w:bookmarkEnd w:id="3176"/>
            <w:bookmarkEnd w:id="3177"/>
            <w:bookmarkEnd w:id="3178"/>
            <w:bookmarkEnd w:id="3179"/>
            <w:bookmarkEnd w:id="3180"/>
            <w:bookmarkEnd w:id="3181"/>
          </w:p>
        </w:tc>
        <w:tc>
          <w:tcPr>
            <w:tcW w:w="1163" w:type="dxa"/>
            <w:tcBorders>
              <w:tl2br w:val="nil"/>
              <w:tr2bl w:val="nil"/>
            </w:tcBorders>
            <w:vAlign w:val="center"/>
          </w:tcPr>
          <w:p>
            <w:pPr>
              <w:jc w:val="center"/>
              <w:outlineLvl w:val="1"/>
              <w:rPr>
                <w:bCs/>
                <w:color w:val="auto"/>
                <w:szCs w:val="21"/>
              </w:rPr>
            </w:pPr>
            <w:bookmarkStart w:id="3182" w:name="_Toc31390"/>
            <w:bookmarkStart w:id="3183" w:name="_Toc28953"/>
            <w:bookmarkStart w:id="3184" w:name="_Toc9380"/>
            <w:bookmarkStart w:id="3185" w:name="_Toc22467"/>
            <w:bookmarkStart w:id="3186" w:name="_Toc17384"/>
            <w:bookmarkStart w:id="3187" w:name="_Toc9133"/>
            <w:r>
              <w:rPr>
                <w:bCs/>
                <w:color w:val="auto"/>
                <w:szCs w:val="21"/>
              </w:rPr>
              <w:t>组分单一的高浓度</w:t>
            </w:r>
            <w:bookmarkEnd w:id="3182"/>
            <w:bookmarkEnd w:id="3183"/>
            <w:r>
              <w:rPr>
                <w:rFonts w:hint="eastAsia"/>
                <w:bCs/>
                <w:color w:val="auto"/>
                <w:szCs w:val="21"/>
              </w:rPr>
              <w:t>废气</w:t>
            </w:r>
            <w:bookmarkEnd w:id="3184"/>
            <w:bookmarkEnd w:id="3185"/>
            <w:bookmarkEnd w:id="3186"/>
            <w:bookmarkEnd w:id="3187"/>
          </w:p>
        </w:tc>
      </w:tr>
    </w:tbl>
    <w:p>
      <w:pPr>
        <w:pStyle w:val="32"/>
        <w:rPr>
          <w:color w:val="auto"/>
        </w:rPr>
        <w:sectPr>
          <w:pgSz w:w="16838" w:h="11906" w:orient="landscape"/>
          <w:pgMar w:top="1187" w:right="1417" w:bottom="1279" w:left="1417" w:header="851" w:footer="992" w:gutter="0"/>
          <w:pgBorders>
            <w:top w:val="none" w:sz="0" w:space="0"/>
            <w:left w:val="none" w:sz="0" w:space="0"/>
            <w:bottom w:val="none" w:sz="0" w:space="0"/>
            <w:right w:val="none" w:sz="0" w:space="0"/>
          </w:pgBorders>
          <w:cols w:space="720" w:num="1"/>
          <w:docGrid w:type="lines" w:linePitch="312" w:charSpace="0"/>
        </w:sectPr>
      </w:pPr>
    </w:p>
    <w:p>
      <w:pPr>
        <w:pStyle w:val="6"/>
        <w:spacing w:line="360" w:lineRule="auto"/>
        <w:ind w:firstLine="480" w:firstLineChars="200"/>
        <w:rPr>
          <w:color w:val="auto"/>
          <w:sz w:val="24"/>
        </w:rPr>
      </w:pPr>
      <w:r>
        <w:rPr>
          <w:bCs/>
          <w:color w:val="auto"/>
          <w:sz w:val="24"/>
        </w:rPr>
        <w:t>由上表可知，几种方法各有优缺点，适用于不同情况。根据本项目产生的废气情况，</w:t>
      </w:r>
      <w:r>
        <w:rPr>
          <w:rFonts w:hint="eastAsia"/>
          <w:bCs/>
          <w:color w:val="auto"/>
          <w:sz w:val="24"/>
        </w:rPr>
        <w:t>针对项目卷材生产线工艺废气成分特点。决定使用多级复合处理的方式进行治理。优先选用</w:t>
      </w:r>
      <w:r>
        <w:rPr>
          <w:bCs/>
          <w:color w:val="auto"/>
          <w:sz w:val="24"/>
        </w:rPr>
        <w:t>成熟</w:t>
      </w:r>
      <w:r>
        <w:rPr>
          <w:rFonts w:hint="eastAsia"/>
          <w:bCs/>
          <w:color w:val="auto"/>
          <w:sz w:val="24"/>
        </w:rPr>
        <w:t>、</w:t>
      </w:r>
      <w:r>
        <w:rPr>
          <w:bCs/>
          <w:color w:val="auto"/>
          <w:sz w:val="24"/>
        </w:rPr>
        <w:t>稳定有保障</w:t>
      </w:r>
      <w:r>
        <w:rPr>
          <w:rFonts w:hint="eastAsia"/>
          <w:bCs/>
          <w:color w:val="auto"/>
          <w:sz w:val="24"/>
        </w:rPr>
        <w:t>的</w:t>
      </w:r>
      <w:r>
        <w:rPr>
          <w:bCs/>
          <w:color w:val="auto"/>
          <w:sz w:val="24"/>
        </w:rPr>
        <w:t>设备技术，首次投资金额和日常运行的费用</w:t>
      </w:r>
      <w:r>
        <w:rPr>
          <w:rFonts w:hint="eastAsia"/>
          <w:bCs/>
          <w:color w:val="auto"/>
          <w:sz w:val="24"/>
        </w:rPr>
        <w:t>合理的治理工艺</w:t>
      </w:r>
      <w:r>
        <w:rPr>
          <w:bCs/>
          <w:color w:val="auto"/>
          <w:sz w:val="24"/>
        </w:rPr>
        <w:t>。</w:t>
      </w:r>
      <w:r>
        <w:rPr>
          <w:rFonts w:hint="eastAsia"/>
          <w:bCs/>
          <w:color w:val="auto"/>
          <w:sz w:val="24"/>
        </w:rPr>
        <w:t>最后选定“</w:t>
      </w:r>
      <w:r>
        <w:rPr>
          <w:rFonts w:hint="eastAsia"/>
          <w:color w:val="auto"/>
          <w:sz w:val="24"/>
        </w:rPr>
        <w:t>旋风除尘+冷凝器+油烟净化器+UV光解+活性炭吸附”</w:t>
      </w:r>
      <w:r>
        <w:rPr>
          <w:color w:val="auto"/>
          <w:sz w:val="24"/>
        </w:rPr>
        <w:t>系统</w:t>
      </w:r>
      <w:r>
        <w:rPr>
          <w:rFonts w:hint="eastAsia"/>
          <w:color w:val="auto"/>
          <w:sz w:val="24"/>
        </w:rPr>
        <w:t>对废气进行处理。具体处理工艺流程如下图。</w:t>
      </w:r>
    </w:p>
    <w:p>
      <w:pPr>
        <w:pStyle w:val="6"/>
        <w:spacing w:line="360" w:lineRule="auto"/>
        <w:ind w:left="1" w:leftChars="-95" w:hanging="200" w:hangingChars="95"/>
        <w:jc w:val="center"/>
        <w:rPr>
          <w:b/>
          <w:bCs/>
          <w:color w:val="auto"/>
          <w:sz w:val="21"/>
          <w:szCs w:val="21"/>
          <w:highlight w:val="yellow"/>
        </w:rPr>
      </w:pPr>
      <w:r>
        <w:rPr>
          <w:b/>
          <w:bCs/>
          <w:color w:val="auto"/>
          <w:sz w:val="21"/>
          <w:szCs w:val="21"/>
        </w:rPr>
        <w:object>
          <v:shape id="_x0000_i1035" o:spt="75" type="#_x0000_t75" style="height:54.95pt;width:469.6pt;" o:ole="t" filled="f" o:preferrelative="t" stroked="f" coordsize="21600,21600">
            <v:path/>
            <v:fill on="f" focussize="0,0"/>
            <v:stroke on="f"/>
            <v:imagedata r:id="rId104" o:title=""/>
            <o:lock v:ext="edit" aspectratio="f"/>
            <w10:wrap type="none"/>
            <w10:anchorlock/>
          </v:shape>
          <o:OLEObject Type="Embed" ProgID="Visio.Drawing.11" ShapeID="_x0000_i1035" DrawAspect="Content" ObjectID="_1468075735" r:id="rId103">
            <o:LockedField>false</o:LockedField>
          </o:OLEObject>
        </w:object>
      </w:r>
      <w:r>
        <w:rPr>
          <w:b/>
          <w:bCs/>
          <w:color w:val="auto"/>
          <w:sz w:val="21"/>
          <w:szCs w:val="21"/>
        </w:rPr>
        <w:t>图</w:t>
      </w:r>
      <w:r>
        <w:rPr>
          <w:rFonts w:hint="eastAsia"/>
          <w:b/>
          <w:bCs/>
          <w:color w:val="auto"/>
          <w:sz w:val="21"/>
          <w:szCs w:val="21"/>
        </w:rPr>
        <w:t>8</w:t>
      </w:r>
      <w:r>
        <w:rPr>
          <w:b/>
          <w:bCs/>
          <w:color w:val="auto"/>
          <w:sz w:val="21"/>
          <w:szCs w:val="21"/>
        </w:rPr>
        <w:t xml:space="preserve">.1-1 </w:t>
      </w:r>
      <w:r>
        <w:rPr>
          <w:rFonts w:hint="eastAsia"/>
          <w:b/>
          <w:bCs/>
          <w:color w:val="auto"/>
          <w:sz w:val="21"/>
          <w:szCs w:val="21"/>
        </w:rPr>
        <w:t xml:space="preserve"> </w:t>
      </w:r>
      <w:r>
        <w:rPr>
          <w:b/>
          <w:bCs/>
          <w:color w:val="auto"/>
          <w:sz w:val="21"/>
          <w:szCs w:val="21"/>
        </w:rPr>
        <w:t>废树脂粉卷材生产线废气处理工艺</w:t>
      </w:r>
    </w:p>
    <w:p>
      <w:pPr>
        <w:pStyle w:val="44"/>
        <w:numPr>
          <w:ilvl w:val="2"/>
          <w:numId w:val="0"/>
        </w:numPr>
        <w:tabs>
          <w:tab w:val="clear" w:pos="720"/>
        </w:tabs>
        <w:spacing w:before="159" w:after="159" w:line="360" w:lineRule="auto"/>
        <w:rPr>
          <w:bCs/>
          <w:color w:val="auto"/>
          <w:kern w:val="2"/>
          <w:sz w:val="28"/>
          <w:szCs w:val="28"/>
        </w:rPr>
      </w:pPr>
      <w:bookmarkStart w:id="3188" w:name="_Toc27850"/>
      <w:r>
        <w:rPr>
          <w:rFonts w:hint="eastAsia"/>
          <w:bCs/>
          <w:color w:val="auto"/>
          <w:kern w:val="2"/>
          <w:sz w:val="28"/>
          <w:szCs w:val="28"/>
        </w:rPr>
        <w:t>8.1.4  废气治理效果分析</w:t>
      </w:r>
      <w:bookmarkEnd w:id="3188"/>
    </w:p>
    <w:p>
      <w:pPr>
        <w:pStyle w:val="6"/>
        <w:spacing w:line="360" w:lineRule="auto"/>
        <w:ind w:firstLine="480" w:firstLineChars="200"/>
        <w:rPr>
          <w:color w:val="auto"/>
          <w:sz w:val="24"/>
        </w:rPr>
      </w:pPr>
      <w:r>
        <w:rPr>
          <w:color w:val="auto"/>
          <w:sz w:val="24"/>
        </w:rPr>
        <w:t>1、</w:t>
      </w:r>
      <w:r>
        <w:rPr>
          <w:rFonts w:hint="eastAsia"/>
          <w:color w:val="auto"/>
          <w:sz w:val="24"/>
        </w:rPr>
        <w:t>旋风除尘</w:t>
      </w:r>
    </w:p>
    <w:p>
      <w:pPr>
        <w:pStyle w:val="6"/>
        <w:spacing w:line="360" w:lineRule="auto"/>
        <w:ind w:firstLine="480" w:firstLineChars="200"/>
        <w:rPr>
          <w:color w:val="auto"/>
          <w:sz w:val="24"/>
        </w:rPr>
      </w:pPr>
      <w:r>
        <w:rPr>
          <w:color w:val="auto"/>
          <w:sz w:val="24"/>
        </w:rPr>
        <w:t>旋风除尘器是利用旋转的含尘气流所产生的离心力，将颗粒污染物从气体中分离出来的过程。当含尘气流由进气管进旋风除尘器时，气流由直线运动变为圆周运动。旋转气流的绝大部分沿器壁和圆筒体成螺旋向下，朝锥体流动，通常称此为外旋流。含尘气体在旋转过程中产生离心力，将密度大于气体的颗粒甩向器壁，颗粒一旦与器壁接触，便失去惯性力而靠入口速度的动量和向下的重力沿壁而下落，进入排灰管。旋转下降的外旋气流在到达椎体时，因圆锥形的收缩而向除尘器中心靠拢，其切向速度不断提高。当气流到达椎体下端某一位置时，便以同样的旋转方向在旋风除尘器中由下回旋而上，继续做螺旋运动。最终，净化气体经排气管排除器外。一部分未被捕集的颗粒也随之排出。</w:t>
      </w:r>
      <w:r>
        <w:rPr>
          <w:rFonts w:hint="eastAsia"/>
          <w:color w:val="auto"/>
          <w:sz w:val="24"/>
        </w:rPr>
        <w:t>对颗粒物的处理效率可达95%。</w:t>
      </w:r>
    </w:p>
    <w:p>
      <w:pPr>
        <w:pStyle w:val="6"/>
        <w:spacing w:line="360" w:lineRule="auto"/>
        <w:ind w:firstLine="480" w:firstLineChars="200"/>
        <w:rPr>
          <w:color w:val="auto"/>
          <w:sz w:val="24"/>
        </w:rPr>
      </w:pPr>
      <w:r>
        <w:rPr>
          <w:rFonts w:hint="eastAsia"/>
          <w:color w:val="auto"/>
          <w:sz w:val="24"/>
        </w:rPr>
        <w:t>2、</w:t>
      </w:r>
      <w:r>
        <w:rPr>
          <w:color w:val="auto"/>
          <w:sz w:val="24"/>
        </w:rPr>
        <w:t>冷凝器</w:t>
      </w:r>
    </w:p>
    <w:p>
      <w:pPr>
        <w:pStyle w:val="6"/>
        <w:spacing w:line="360" w:lineRule="auto"/>
        <w:ind w:firstLine="480"/>
        <w:rPr>
          <w:color w:val="auto"/>
          <w:sz w:val="24"/>
        </w:rPr>
      </w:pPr>
      <w:r>
        <w:rPr>
          <w:color w:val="auto"/>
          <w:sz w:val="24"/>
        </w:rPr>
        <w:t>当沥青烟雾进入旋风除尘器内，先净化大于5-10微米的非粘性、非纤维的干燥粉尘，在此过程中投料粉尘与部分大颗粒杂质被去除，之后进入冷凝器，通过风冷式制冷机使冷凝器内的冷媒快速降温，把沥青烟气经过急速降温大部分转换为液体沉落到收集容器内收集利用，达到净化沥青烟气的目的。冷凝收集法适合各种由高温复杂工况如：烟气浓度高、烟气流量大、烟气中的各种成分都能吸附，并且系统阻力小、能耗低、运行费用低、操作维护方便、净化效率高、投资少、回收物可利用等优点。</w:t>
      </w:r>
      <w:r>
        <w:rPr>
          <w:rFonts w:hint="eastAsia"/>
          <w:color w:val="auto"/>
          <w:sz w:val="24"/>
        </w:rPr>
        <w:t>对沥青烟的治理效率约25%左右。</w:t>
      </w:r>
    </w:p>
    <w:p>
      <w:pPr>
        <w:pStyle w:val="6"/>
        <w:spacing w:line="360" w:lineRule="auto"/>
        <w:ind w:firstLine="480"/>
        <w:rPr>
          <w:color w:val="auto"/>
          <w:sz w:val="24"/>
        </w:rPr>
      </w:pPr>
      <w:r>
        <w:rPr>
          <w:rFonts w:hint="eastAsia"/>
          <w:color w:val="auto"/>
          <w:sz w:val="24"/>
        </w:rPr>
        <w:t>3、</w:t>
      </w:r>
      <w:r>
        <w:rPr>
          <w:color w:val="auto"/>
          <w:sz w:val="24"/>
        </w:rPr>
        <w:t>油烟净化器</w:t>
      </w:r>
    </w:p>
    <w:p>
      <w:pPr>
        <w:spacing w:line="360" w:lineRule="auto"/>
        <w:ind w:firstLine="480"/>
        <w:rPr>
          <w:color w:val="auto"/>
          <w:sz w:val="24"/>
        </w:rPr>
      </w:pPr>
      <w:r>
        <w:rPr>
          <w:rFonts w:hint="eastAsia"/>
          <w:color w:val="auto"/>
          <w:kern w:val="0"/>
          <w:sz w:val="24"/>
        </w:rPr>
        <w:t>静电式油烟净化器</w:t>
      </w:r>
      <w:r>
        <w:rPr>
          <w:color w:val="auto"/>
          <w:kern w:val="0"/>
          <w:sz w:val="24"/>
        </w:rPr>
        <w:t>是一种利用静</w:t>
      </w:r>
      <w:r>
        <w:rPr>
          <w:color w:val="auto"/>
          <w:sz w:val="24"/>
        </w:rPr>
        <w:t>电原理油烟净化装置。主要用于宾馆、饭馆、酒家、餐厅以及学校、机关、工厂等场所的厨房油烟的净化治理；食品油炸、烹任加工行业；油溅热处理车间、油雾润滑车间、工件焊接车间以及烯油锅炉排放等工业场合。</w:t>
      </w:r>
      <w:r>
        <w:rPr>
          <w:rFonts w:hint="eastAsia"/>
          <w:color w:val="auto"/>
          <w:sz w:val="24"/>
        </w:rPr>
        <w:t>卷材生产线的沥青烟成分复杂，其中含有大量的焦油、沥青油，因此具有一定的粘稠性，其表现与油烟类似，因此油烟净化器也适用于本项目的沥青烟治理。</w:t>
      </w:r>
    </w:p>
    <w:p>
      <w:pPr>
        <w:spacing w:line="360" w:lineRule="auto"/>
        <w:ind w:firstLine="480"/>
        <w:rPr>
          <w:color w:val="auto"/>
          <w:sz w:val="24"/>
        </w:rPr>
      </w:pPr>
      <w:r>
        <w:rPr>
          <w:rFonts w:hint="eastAsia"/>
          <w:color w:val="auto"/>
          <w:sz w:val="24"/>
        </w:rPr>
        <w:t>沥青烟</w:t>
      </w:r>
      <w:r>
        <w:rPr>
          <w:color w:val="auto"/>
          <w:sz w:val="24"/>
        </w:rPr>
        <w:fldChar w:fldCharType="begin"/>
      </w:r>
      <w:r>
        <w:rPr>
          <w:rFonts w:hint="eastAsia"/>
          <w:color w:val="auto"/>
          <w:sz w:val="24"/>
        </w:rPr>
        <w:instrText xml:space="preserve"> HYPERLINK "https://baike.baidu.com/item/%E6%B2%B9%E7%83%9F" \t "https://baike.baidu.com/item/%E9%9D%99%E7%94%B5%E5%BC%8F%E6%B2%B9%E7%83%9F%E5%87%80%E5%8C%96%E5%99%A8/_blank" </w:instrText>
      </w:r>
      <w:r>
        <w:rPr>
          <w:color w:val="auto"/>
          <w:sz w:val="24"/>
        </w:rPr>
        <w:fldChar w:fldCharType="end"/>
      </w:r>
      <w:r>
        <w:rPr>
          <w:color w:val="auto"/>
          <w:sz w:val="24"/>
        </w:rPr>
        <w:t>由</w:t>
      </w:r>
      <w:r>
        <w:rPr>
          <w:rFonts w:hint="eastAsia"/>
          <w:color w:val="auto"/>
          <w:sz w:val="24"/>
        </w:rPr>
        <w:t>进入</w:t>
      </w:r>
      <w:r>
        <w:rPr>
          <w:color w:val="auto"/>
          <w:sz w:val="24"/>
        </w:rPr>
        <w:t>静电式油烟净化器</w:t>
      </w:r>
      <w:r>
        <w:rPr>
          <w:rFonts w:hint="eastAsia"/>
          <w:color w:val="auto"/>
          <w:sz w:val="24"/>
        </w:rPr>
        <w:t>后</w:t>
      </w:r>
      <w:r>
        <w:rPr>
          <w:color w:val="auto"/>
          <w:sz w:val="24"/>
        </w:rPr>
        <w:t>，其中部分较大的油雾滴、油污颗粒在均流板上由于机械碰撞、阻留而被捕集。当气流进</w:t>
      </w:r>
      <w:r>
        <w:rPr>
          <w:rFonts w:hint="eastAsia"/>
          <w:color w:val="auto"/>
          <w:sz w:val="24"/>
        </w:rPr>
        <w:t>入高压静电场时，在高压电场的作用下，部分微米级的沥青烟电离，被降解成二氧化碳和水。另一方面，沥青烟在高压电场的作用下将附上电荷，在吸附电场的电场力及气流作用下向电场的正负极板运动被收集在极板上并在自身重力的作用下流到集油盘，经排油通道排出。同时在高压发生器的作用下，电场内空气产生臭氧，除去了烟气中大部分的气味。根据同类型项目经验，静电式油烟净化器对沥青烟的净化效率可达30%以上，沥青烟经过其治理后浓度明显降低，效果明显，可满足项目日常生产要求。</w:t>
      </w:r>
    </w:p>
    <w:p>
      <w:pPr>
        <w:pStyle w:val="32"/>
        <w:spacing w:line="360" w:lineRule="auto"/>
        <w:ind w:firstLine="480" w:firstLineChars="200"/>
        <w:rPr>
          <w:color w:val="auto"/>
        </w:rPr>
      </w:pPr>
      <w:r>
        <w:rPr>
          <w:rFonts w:hint="eastAsia"/>
          <w:color w:val="auto"/>
        </w:rPr>
        <w:t>4、</w:t>
      </w:r>
      <w:r>
        <w:rPr>
          <w:color w:val="auto"/>
        </w:rPr>
        <w:t>UV光解</w:t>
      </w:r>
    </w:p>
    <w:p>
      <w:pPr>
        <w:pStyle w:val="32"/>
        <w:spacing w:line="360" w:lineRule="auto"/>
        <w:ind w:firstLine="480" w:firstLineChars="200"/>
        <w:rPr>
          <w:color w:val="auto"/>
        </w:rPr>
      </w:pPr>
      <w:r>
        <w:rPr>
          <w:color w:val="auto"/>
        </w:rPr>
        <w:t>本项目拟设的净化设备为UV光解+活性炭净化设备，其中UV光解作用主要来自3方面：</w:t>
      </w:r>
    </w:p>
    <w:p>
      <w:pPr>
        <w:pStyle w:val="32"/>
        <w:spacing w:line="360" w:lineRule="auto"/>
        <w:ind w:firstLine="480" w:firstLineChars="200"/>
        <w:rPr>
          <w:color w:val="auto"/>
        </w:rPr>
      </w:pPr>
      <w:r>
        <w:rPr>
          <w:color w:val="auto"/>
        </w:rPr>
        <w:t>A.光分解：结合力比较小的分子键受到更高的能量冲击时，会发生断裂。高效率紫外灯管集中发生150nm~230nm的紫外线，这时光能量为472~747kJ/mol，有机废气中的C-H、C=C、C-O、H-S、H-O等的结合力均低于此值，故在紫外线的照射下会形成更容易分解的小分子。</w:t>
      </w:r>
    </w:p>
    <w:p>
      <w:pPr>
        <w:pStyle w:val="32"/>
        <w:spacing w:line="360" w:lineRule="auto"/>
        <w:ind w:firstLine="480" w:firstLineChars="200"/>
        <w:rPr>
          <w:color w:val="auto"/>
        </w:rPr>
      </w:pPr>
      <w:r>
        <w:rPr>
          <w:color w:val="auto"/>
        </w:rPr>
        <w:t>B.羟基自由基(•H)活性物质：在一定波长光照条件下，半导体材料（TiO</w:t>
      </w:r>
      <w:r>
        <w:rPr>
          <w:color w:val="auto"/>
          <w:vertAlign w:val="subscript"/>
        </w:rPr>
        <w:t>2</w:t>
      </w:r>
      <w:r>
        <w:rPr>
          <w:color w:val="auto"/>
        </w:rPr>
        <w:t>）会发生光生载流子的分离，真空紫外光（波长&lt;200nm，VUV）光子能量高，光催化材料在紫外光的照射下会产生电子和空穴，激发出“电子-空穴”（一种高能粒子）对，进而生成极强氧化能力的羟基自由基(•H)活性物质。羟基自由基(•H)是光催化反应的主要活性物质之一，羟基自由基的反应能高于有机物中的各类化学键能，如：C-C、C-H、C-N、C-O、H-O、N-H 等，因而能迅速有效地分解挥发性有机物。</w:t>
      </w:r>
    </w:p>
    <w:p>
      <w:pPr>
        <w:pStyle w:val="32"/>
        <w:spacing w:line="360" w:lineRule="auto"/>
        <w:ind w:firstLine="480" w:firstLineChars="200"/>
        <w:rPr>
          <w:color w:val="auto"/>
          <w:kern w:val="2"/>
          <w:lang w:val="en-GB"/>
        </w:rPr>
      </w:pPr>
      <w:r>
        <w:rPr>
          <w:color w:val="auto"/>
        </w:rPr>
        <w:t>C.活性氧物质及臭氧：</w:t>
      </w:r>
      <w:r>
        <w:rPr>
          <w:color w:val="auto"/>
          <w:kern w:val="2"/>
          <w:lang w:val="en-GB"/>
        </w:rPr>
        <w:t>废气中的氧分子</w:t>
      </w:r>
      <w:r>
        <w:rPr>
          <w:color w:val="auto"/>
          <w:kern w:val="2"/>
        </w:rPr>
        <w:t>在</w:t>
      </w:r>
      <w:r>
        <w:rPr>
          <w:color w:val="auto"/>
          <w:kern w:val="2"/>
          <w:lang w:val="en-GB"/>
        </w:rPr>
        <w:t>特定波段（185nm）的</w:t>
      </w:r>
      <w:r>
        <w:rPr>
          <w:color w:val="auto"/>
          <w:kern w:val="2"/>
        </w:rPr>
        <w:t>紫外</w:t>
      </w:r>
      <w:r>
        <w:rPr>
          <w:color w:val="auto"/>
          <w:kern w:val="2"/>
          <w:lang w:val="en-GB"/>
        </w:rPr>
        <w:t>光束照射</w:t>
      </w:r>
      <w:r>
        <w:rPr>
          <w:color w:val="auto"/>
          <w:kern w:val="2"/>
        </w:rPr>
        <w:t>下</w:t>
      </w:r>
      <w:r>
        <w:rPr>
          <w:color w:val="auto"/>
          <w:kern w:val="2"/>
          <w:lang w:val="en-GB"/>
        </w:rPr>
        <w:t>，</w:t>
      </w:r>
      <w:r>
        <w:rPr>
          <w:color w:val="auto"/>
          <w:kern w:val="2"/>
        </w:rPr>
        <w:t>会</w:t>
      </w:r>
      <w:r>
        <w:rPr>
          <w:color w:val="auto"/>
          <w:kern w:val="2"/>
          <w:lang w:val="en-GB"/>
        </w:rPr>
        <w:t>产生游离氧，即活性氧。</w:t>
      </w:r>
      <w:r>
        <w:rPr>
          <w:color w:val="auto"/>
          <w:kern w:val="2"/>
        </w:rPr>
        <w:t>由于活性氧携带的正负电子不平衡，所以容易与氧分子结合成臭氧。</w:t>
      </w:r>
    </w:p>
    <w:p>
      <w:pPr>
        <w:pStyle w:val="32"/>
        <w:spacing w:line="360" w:lineRule="auto"/>
        <w:ind w:firstLine="480" w:firstLineChars="200"/>
        <w:jc w:val="center"/>
        <w:rPr>
          <w:color w:val="auto"/>
          <w:kern w:val="2"/>
          <w:lang w:val="en-GB"/>
        </w:rPr>
      </w:pPr>
      <w:r>
        <w:rPr>
          <w:color w:val="auto"/>
          <w:kern w:val="2"/>
          <w:lang w:val="en-GB"/>
        </w:rPr>
        <w:t>UV＋O</w:t>
      </w:r>
      <w:r>
        <w:rPr>
          <w:color w:val="auto"/>
          <w:kern w:val="2"/>
          <w:vertAlign w:val="subscript"/>
          <w:lang w:val="en-GB"/>
        </w:rPr>
        <w:t>2</w:t>
      </w:r>
      <w:r>
        <w:rPr>
          <w:color w:val="auto"/>
          <w:kern w:val="2"/>
          <w:lang w:val="en-GB"/>
        </w:rPr>
        <w:t>→O-+O＊(活性氧)</w:t>
      </w:r>
    </w:p>
    <w:p>
      <w:pPr>
        <w:pStyle w:val="32"/>
        <w:spacing w:line="360" w:lineRule="auto"/>
        <w:ind w:firstLine="480" w:firstLineChars="200"/>
        <w:jc w:val="center"/>
        <w:rPr>
          <w:color w:val="auto"/>
          <w:kern w:val="2"/>
          <w:lang w:val="en-GB"/>
        </w:rPr>
      </w:pPr>
      <w:r>
        <w:rPr>
          <w:color w:val="auto"/>
          <w:kern w:val="2"/>
          <w:lang w:val="en-GB"/>
        </w:rPr>
        <w:t>O+O</w:t>
      </w:r>
      <w:r>
        <w:rPr>
          <w:color w:val="auto"/>
          <w:kern w:val="2"/>
          <w:vertAlign w:val="subscript"/>
          <w:lang w:val="en-GB"/>
        </w:rPr>
        <w:t>2</w:t>
      </w:r>
      <w:r>
        <w:rPr>
          <w:color w:val="auto"/>
          <w:kern w:val="2"/>
          <w:lang w:val="en-GB"/>
        </w:rPr>
        <w:t>→O</w:t>
      </w:r>
      <w:r>
        <w:rPr>
          <w:color w:val="auto"/>
          <w:kern w:val="2"/>
          <w:vertAlign w:val="subscript"/>
          <w:lang w:val="en-GB"/>
        </w:rPr>
        <w:t>3</w:t>
      </w:r>
      <w:r>
        <w:rPr>
          <w:color w:val="auto"/>
          <w:kern w:val="2"/>
          <w:lang w:val="en-GB"/>
        </w:rPr>
        <w:t>(臭氧)</w:t>
      </w:r>
    </w:p>
    <w:p>
      <w:pPr>
        <w:pStyle w:val="32"/>
        <w:spacing w:line="360" w:lineRule="auto"/>
        <w:ind w:firstLine="480" w:firstLineChars="200"/>
        <w:rPr>
          <w:color w:val="auto"/>
        </w:rPr>
      </w:pPr>
      <w:r>
        <w:rPr>
          <w:color w:val="auto"/>
          <w:kern w:val="2"/>
        </w:rPr>
        <w:t>众所周知，臭氧对有机物机有极强的氧化作用，对臭气及其他刺激性异味有立竿见影的效果</w:t>
      </w:r>
      <w:r>
        <w:rPr>
          <w:color w:val="auto"/>
          <w:kern w:val="2"/>
          <w:lang w:val="en-GB"/>
        </w:rPr>
        <w:t>。</w:t>
      </w:r>
      <w:r>
        <w:rPr>
          <w:color w:val="auto"/>
        </w:rPr>
        <w:t>羟基自由基(•H)及其它活性氧物质(•O，H</w:t>
      </w:r>
      <w:r>
        <w:rPr>
          <w:color w:val="auto"/>
          <w:vertAlign w:val="subscript"/>
        </w:rPr>
        <w:t>2</w:t>
      </w:r>
      <w:r>
        <w:rPr>
          <w:color w:val="auto"/>
        </w:rPr>
        <w:t>O</w:t>
      </w:r>
      <w:r>
        <w:rPr>
          <w:color w:val="auto"/>
          <w:vertAlign w:val="subscript"/>
        </w:rPr>
        <w:t>2</w:t>
      </w:r>
      <w:r>
        <w:rPr>
          <w:color w:val="auto"/>
        </w:rPr>
        <w:t>)均具有极强的氧化性，可使有机气体快速氧化分解。在紫外光的照射及上述物质的协同作用下，其净化恶臭及有机气体的效果更为迅速。废气中的有机物大分子最终被降解为二氧化碳、水或其他小分子有机物。</w:t>
      </w:r>
    </w:p>
    <w:p>
      <w:pPr>
        <w:pStyle w:val="32"/>
        <w:spacing w:line="360" w:lineRule="auto"/>
        <w:ind w:firstLine="480" w:firstLineChars="200"/>
        <w:rPr>
          <w:color w:val="auto"/>
        </w:rPr>
      </w:pPr>
      <w:r>
        <w:rPr>
          <w:color w:val="auto"/>
        </w:rPr>
        <w:t>在反应过程半导体材料（TiO</w:t>
      </w:r>
      <w:r>
        <w:rPr>
          <w:color w:val="auto"/>
          <w:vertAlign w:val="subscript"/>
        </w:rPr>
        <w:t>2</w:t>
      </w:r>
      <w:r>
        <w:rPr>
          <w:color w:val="auto"/>
        </w:rPr>
        <w:t>）作为催化剂，本身不发生变化。臭氧作为强氧化剂，有强烈的刺激性，达到一定浓度时会危害人体健康和污染环境，但UV光解产生的臭氧等活性氧化物质在装置内迅速与废气反应，因此不会大量溢出，对环境影响相对较小。UV光解</w:t>
      </w:r>
      <w:r>
        <w:rPr>
          <w:rFonts w:hint="eastAsia"/>
          <w:color w:val="auto"/>
        </w:rPr>
        <w:t>具有</w:t>
      </w:r>
      <w:r>
        <w:rPr>
          <w:color w:val="auto"/>
        </w:rPr>
        <w:t>能耗低、操作简便、无需添加任何物质、适应性强、无需预处理、小巧轻便、治理价格相对便宜、催化剂经久耐用等诸多优点，且技术现已成熟，已经被广泛使用于有机废气的治理。</w:t>
      </w:r>
    </w:p>
    <w:p>
      <w:pPr>
        <w:pStyle w:val="32"/>
        <w:spacing w:line="360" w:lineRule="auto"/>
        <w:ind w:firstLine="480" w:firstLineChars="200"/>
        <w:rPr>
          <w:color w:val="auto"/>
        </w:rPr>
      </w:pPr>
      <w:r>
        <w:rPr>
          <w:color w:val="auto"/>
        </w:rPr>
        <w:t>UV光解使废气裂解的反应时间极短，一般＜0.01s，氧化反应时间在1~2s内即可完成</w:t>
      </w:r>
      <w:r>
        <w:rPr>
          <w:rFonts w:hint="eastAsia"/>
          <w:color w:val="auto"/>
        </w:rPr>
        <w:t>。</w:t>
      </w:r>
      <w:r>
        <w:rPr>
          <w:color w:val="auto"/>
        </w:rPr>
        <w:t>为保证治理效率，建议选用功率较高，灯管数量多的设备。如功率在6kw或以上的，UV灯管40支或以上，治理设施的停留时间2s或以上的设备。</w:t>
      </w:r>
      <w:r>
        <w:rPr>
          <w:rFonts w:hint="eastAsia"/>
          <w:color w:val="auto"/>
        </w:rPr>
        <w:t>在该参数下，治理</w:t>
      </w:r>
      <w:r>
        <w:rPr>
          <w:color w:val="auto"/>
        </w:rPr>
        <w:t>效率</w:t>
      </w:r>
      <w:r>
        <w:rPr>
          <w:rFonts w:hint="eastAsia"/>
          <w:color w:val="auto"/>
        </w:rPr>
        <w:t>可达40</w:t>
      </w:r>
      <w:r>
        <w:rPr>
          <w:color w:val="auto"/>
        </w:rPr>
        <w:t>%</w:t>
      </w:r>
      <w:r>
        <w:rPr>
          <w:rFonts w:hint="eastAsia"/>
          <w:color w:val="auto"/>
        </w:rPr>
        <w:t>以上，本报告保守取值40%</w:t>
      </w:r>
      <w:r>
        <w:rPr>
          <w:color w:val="auto"/>
        </w:rPr>
        <w:t>计算</w:t>
      </w:r>
      <w:r>
        <w:rPr>
          <w:rFonts w:hint="eastAsia"/>
          <w:color w:val="auto"/>
        </w:rPr>
        <w:t>。</w:t>
      </w:r>
    </w:p>
    <w:p>
      <w:pPr>
        <w:spacing w:line="360" w:lineRule="auto"/>
        <w:ind w:firstLine="480" w:firstLineChars="200"/>
        <w:rPr>
          <w:color w:val="auto"/>
          <w:kern w:val="0"/>
          <w:sz w:val="24"/>
        </w:rPr>
      </w:pPr>
      <w:r>
        <w:rPr>
          <w:rFonts w:hint="eastAsia"/>
          <w:color w:val="auto"/>
          <w:kern w:val="0"/>
          <w:sz w:val="24"/>
        </w:rPr>
        <w:t>5、</w:t>
      </w:r>
      <w:r>
        <w:rPr>
          <w:color w:val="auto"/>
          <w:kern w:val="0"/>
          <w:sz w:val="24"/>
        </w:rPr>
        <w:t>活性炭吸附</w:t>
      </w:r>
    </w:p>
    <w:p>
      <w:pPr>
        <w:spacing w:line="360" w:lineRule="auto"/>
        <w:ind w:firstLine="480" w:firstLineChars="200"/>
        <w:rPr>
          <w:color w:val="auto"/>
          <w:kern w:val="0"/>
          <w:sz w:val="24"/>
        </w:rPr>
      </w:pPr>
      <w:r>
        <w:rPr>
          <w:color w:val="auto"/>
          <w:kern w:val="0"/>
          <w:sz w:val="24"/>
        </w:rPr>
        <w:t>废气污染物经</w:t>
      </w:r>
      <w:r>
        <w:rPr>
          <w:rFonts w:hint="eastAsia"/>
          <w:color w:val="auto"/>
          <w:kern w:val="0"/>
          <w:sz w:val="24"/>
        </w:rPr>
        <w:t>前面一系列</w:t>
      </w:r>
      <w:r>
        <w:rPr>
          <w:color w:val="auto"/>
          <w:kern w:val="0"/>
          <w:sz w:val="24"/>
        </w:rPr>
        <w:t>处理后，污染物含量已大大降低。为保证废气得到有效处理，需在UV光解装置后加装活性炭吸附装置，使用活性炭吸附法对少量未得到处理的污染物进行吸附去除。活性炭吸附法投入成本低，而且本项目将其加装于UV逛光解设备后，则产生的废活性炭量较少，也可以保证废气得到完善的处理。</w:t>
      </w:r>
    </w:p>
    <w:p>
      <w:pPr>
        <w:spacing w:line="360" w:lineRule="auto"/>
        <w:ind w:firstLine="480" w:firstLineChars="200"/>
        <w:rPr>
          <w:color w:val="auto"/>
          <w:kern w:val="0"/>
          <w:sz w:val="24"/>
        </w:rPr>
      </w:pPr>
      <w:r>
        <w:rPr>
          <w:color w:val="auto"/>
          <w:kern w:val="0"/>
          <w:sz w:val="24"/>
        </w:rPr>
        <w:t>活性炭是一种由含碳材料制成的外观呈黑色，内部孔隙结构发达、比表面积大、吸附能力强的一类微晶质碳素材料。活性炭材料中有大量肉眼看不见的微孔，1克活性炭材料中微孔的总内表面积可高达700－2300m</w:t>
      </w:r>
      <w:r>
        <w:rPr>
          <w:color w:val="auto"/>
          <w:kern w:val="0"/>
          <w:sz w:val="24"/>
          <w:vertAlign w:val="superscript"/>
        </w:rPr>
        <w:t>2</w:t>
      </w:r>
      <w:r>
        <w:rPr>
          <w:color w:val="auto"/>
          <w:kern w:val="0"/>
          <w:sz w:val="24"/>
        </w:rPr>
        <w:t>。正是这些微孔使得活性炭能“捕捉”各种有毒有害气体和杂质。由于气相分子和吸附剂表面分子之间的吸引力，使气相分子吸附在吸附剂表面。吸附剂表面面积愈大、单位质量吸附剂所能吸附的物质愈多。建议项目采用蜂窝状活性碳，比表面积900～1500m</w:t>
      </w:r>
      <w:r>
        <w:rPr>
          <w:color w:val="auto"/>
          <w:kern w:val="0"/>
          <w:sz w:val="24"/>
          <w:vertAlign w:val="superscript"/>
        </w:rPr>
        <w:t>2</w:t>
      </w:r>
      <w:r>
        <w:rPr>
          <w:color w:val="auto"/>
          <w:kern w:val="0"/>
          <w:sz w:val="24"/>
        </w:rPr>
        <w:t>/g，具有非常良好的吸附特性，其吸附量比活性炭颗粒一般大20-100倍，吸附容量为25wt%。当吸附载体吸附饱和时，可考虑更换。采用活性炭进行有机废气的净化，其去除效率会因活性炭吸附废气的饱和程度而不同，净化效率为50%~90%（本报告取值</w:t>
      </w:r>
      <w:r>
        <w:rPr>
          <w:rFonts w:hint="eastAsia"/>
          <w:color w:val="auto"/>
          <w:kern w:val="0"/>
          <w:sz w:val="24"/>
        </w:rPr>
        <w:t>70</w:t>
      </w:r>
      <w:r>
        <w:rPr>
          <w:color w:val="auto"/>
          <w:kern w:val="0"/>
          <w:sz w:val="24"/>
        </w:rPr>
        <w:t>%）。</w:t>
      </w:r>
    </w:p>
    <w:p>
      <w:pPr>
        <w:spacing w:line="360" w:lineRule="auto"/>
        <w:ind w:firstLine="480" w:firstLineChars="200"/>
        <w:rPr>
          <w:color w:val="auto"/>
          <w:sz w:val="24"/>
        </w:rPr>
      </w:pPr>
      <w:r>
        <w:rPr>
          <w:color w:val="auto"/>
          <w:kern w:val="0"/>
          <w:sz w:val="24"/>
        </w:rPr>
        <w:t>由于活性炭本身对吸附气体有一定的饱和度，当活性炭达到饱和后需要进行更换。本项目拟安装的</w:t>
      </w:r>
      <w:r>
        <w:rPr>
          <w:color w:val="auto"/>
          <w:sz w:val="24"/>
        </w:rPr>
        <w:t>活性炭吸附装置尺寸为：0.</w:t>
      </w:r>
      <w:r>
        <w:rPr>
          <w:rFonts w:hint="eastAsia"/>
          <w:color w:val="auto"/>
          <w:sz w:val="24"/>
        </w:rPr>
        <w:t>8</w:t>
      </w:r>
      <w:r>
        <w:rPr>
          <w:color w:val="auto"/>
          <w:sz w:val="24"/>
        </w:rPr>
        <w:t>m×</w:t>
      </w:r>
      <w:r>
        <w:rPr>
          <w:rFonts w:hint="eastAsia"/>
          <w:color w:val="auto"/>
          <w:sz w:val="24"/>
        </w:rPr>
        <w:t>0.8</w:t>
      </w:r>
      <w:r>
        <w:rPr>
          <w:color w:val="auto"/>
          <w:sz w:val="24"/>
        </w:rPr>
        <w:t>m×1</w:t>
      </w:r>
      <w:r>
        <w:rPr>
          <w:rFonts w:hint="eastAsia"/>
          <w:color w:val="auto"/>
          <w:sz w:val="24"/>
        </w:rPr>
        <w:t>.8</w:t>
      </w:r>
      <w:r>
        <w:rPr>
          <w:color w:val="auto"/>
          <w:sz w:val="24"/>
        </w:rPr>
        <w:t>m，活性炭箱内的装碳量约为</w:t>
      </w:r>
      <w:r>
        <w:rPr>
          <w:rFonts w:hint="eastAsia"/>
          <w:color w:val="auto"/>
          <w:sz w:val="24"/>
        </w:rPr>
        <w:t>500</w:t>
      </w:r>
      <w:r>
        <w:rPr>
          <w:color w:val="auto"/>
          <w:sz w:val="24"/>
        </w:rPr>
        <w:t>kg。内有隔板，活性炭分</w:t>
      </w:r>
      <w:r>
        <w:rPr>
          <w:rFonts w:hint="eastAsia"/>
          <w:color w:val="auto"/>
          <w:sz w:val="24"/>
        </w:rPr>
        <w:t>10</w:t>
      </w:r>
      <w:r>
        <w:rPr>
          <w:color w:val="auto"/>
          <w:sz w:val="24"/>
        </w:rPr>
        <w:t>层装填，每层厚度约0.1m。由于隔板的阻隔，活性炭箱内形成总行程为</w:t>
      </w:r>
      <w:r>
        <w:rPr>
          <w:rFonts w:hint="eastAsia"/>
          <w:color w:val="auto"/>
          <w:sz w:val="24"/>
        </w:rPr>
        <w:t>8</w:t>
      </w:r>
      <w:r>
        <w:rPr>
          <w:color w:val="auto"/>
          <w:sz w:val="24"/>
        </w:rPr>
        <w:t>m的S型曲折通道。废气必须经此通道方可外排，通道内填充满活性炭，废气在通过时会与活性炭充分接触，其中的非甲烷总烃和臭气会被吸附在活性炭的微孔内。项目使用风量为</w:t>
      </w:r>
      <w:r>
        <w:rPr>
          <w:rFonts w:hint="eastAsia"/>
          <w:color w:val="auto"/>
          <w:sz w:val="24"/>
        </w:rPr>
        <w:t>30</w:t>
      </w:r>
      <w:r>
        <w:rPr>
          <w:color w:val="auto"/>
          <w:sz w:val="24"/>
        </w:rPr>
        <w:t>000m</w:t>
      </w:r>
      <w:r>
        <w:rPr>
          <w:color w:val="auto"/>
          <w:sz w:val="24"/>
          <w:vertAlign w:val="superscript"/>
        </w:rPr>
        <w:t>3</w:t>
      </w:r>
      <w:r>
        <w:rPr>
          <w:color w:val="auto"/>
          <w:sz w:val="24"/>
        </w:rPr>
        <w:t>/h，经过风量损失，距离、阻力等因素衰减后，预计进入活性炭箱时的风速为2m/s，则废气在活性炭箱的停留时间可达</w:t>
      </w:r>
      <w:r>
        <w:rPr>
          <w:rFonts w:hint="eastAsia"/>
          <w:color w:val="auto"/>
          <w:sz w:val="24"/>
        </w:rPr>
        <w:t>4</w:t>
      </w:r>
      <w:r>
        <w:rPr>
          <w:color w:val="auto"/>
          <w:sz w:val="24"/>
        </w:rPr>
        <w:t>s</w:t>
      </w:r>
      <w:r>
        <w:rPr>
          <w:rFonts w:hint="eastAsia"/>
          <w:color w:val="auto"/>
          <w:sz w:val="24"/>
        </w:rPr>
        <w:t>以上</w:t>
      </w:r>
      <w:r>
        <w:rPr>
          <w:color w:val="auto"/>
          <w:sz w:val="24"/>
        </w:rPr>
        <w:t>，可有效对废气进行吸附。</w:t>
      </w:r>
    </w:p>
    <w:p>
      <w:pPr>
        <w:spacing w:line="360" w:lineRule="auto"/>
        <w:ind w:firstLine="480"/>
        <w:jc w:val="left"/>
        <w:rPr>
          <w:color w:val="auto"/>
          <w:szCs w:val="32"/>
        </w:rPr>
      </w:pPr>
      <w:r>
        <w:rPr>
          <w:color w:val="auto"/>
          <w:szCs w:val="32"/>
        </w:rPr>
        <w:pict>
          <v:shape id="_x0000_s1031" o:spid="_x0000_s1031" o:spt="75" type="#_x0000_t75" style="position:absolute;left:0pt;margin-left:126pt;margin-top:47.7pt;height:24.5pt;width:188.5pt;mso-wrap-distance-bottom:0pt;mso-wrap-distance-top:0pt;z-index:251789312;mso-width-relative:page;mso-height-relative:page;" o:ole="t" filled="f" o:preferrelative="t" stroked="f" coordsize="21600,21600">
            <v:path/>
            <v:fill on="f" focussize="0,0"/>
            <v:stroke on="f"/>
            <v:imagedata r:id="rId106" o:title=""/>
            <o:lock v:ext="edit" aspectratio="t"/>
            <w10:wrap type="topAndBottom"/>
          </v:shape>
          <o:OLEObject Type="Embed" ProgID="Equation.3" ShapeID="_x0000_s1031" DrawAspect="Content" ObjectID="_1468075736" r:id="rId105">
            <o:LockedField>false</o:LockedField>
          </o:OLEObject>
        </w:pict>
      </w:r>
      <w:r>
        <w:rPr>
          <w:color w:val="auto"/>
          <w:sz w:val="24"/>
        </w:rPr>
        <w:t>参照《广东省印刷行业挥发性有机化合物废气治理指南》，当存在两种或两种以上治理设施联合治理时，治理效率可按以下公式计算：</w:t>
      </w:r>
    </w:p>
    <w:p>
      <w:pPr>
        <w:spacing w:line="360" w:lineRule="auto"/>
        <w:ind w:firstLine="480" w:firstLineChars="200"/>
        <w:rPr>
          <w:color w:val="auto"/>
          <w:sz w:val="24"/>
        </w:rPr>
      </w:pPr>
      <w:r>
        <w:rPr>
          <w:color w:val="auto"/>
          <w:sz w:val="24"/>
        </w:rPr>
        <w:t>本报告中，</w:t>
      </w:r>
      <w:r>
        <w:rPr>
          <w:rFonts w:hint="eastAsia"/>
          <w:color w:val="auto"/>
          <w:sz w:val="24"/>
        </w:rPr>
        <w:t>各治理设备对有机废气的处理效率差如下表。</w:t>
      </w:r>
    </w:p>
    <w:p>
      <w:pPr>
        <w:pStyle w:val="2"/>
        <w:ind w:left="0" w:leftChars="0" w:firstLine="0" w:firstLineChars="0"/>
        <w:jc w:val="center"/>
        <w:rPr>
          <w:rFonts w:ascii="Times New Roman"/>
          <w:b/>
          <w:bCs/>
          <w:color w:val="auto"/>
          <w:sz w:val="21"/>
          <w:szCs w:val="21"/>
        </w:rPr>
      </w:pPr>
      <w:r>
        <w:rPr>
          <w:rFonts w:ascii="Times New Roman"/>
          <w:b/>
          <w:bCs/>
          <w:color w:val="auto"/>
          <w:sz w:val="21"/>
          <w:szCs w:val="21"/>
        </w:rPr>
        <w:t>表8.1-5  各治理设备对有机废气的处理效率</w:t>
      </w:r>
    </w:p>
    <w:tbl>
      <w:tblPr>
        <w:tblStyle w:val="24"/>
        <w:tblW w:w="87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9"/>
        <w:gridCol w:w="1451"/>
        <w:gridCol w:w="1455"/>
        <w:gridCol w:w="1455"/>
        <w:gridCol w:w="1456"/>
        <w:gridCol w:w="1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9" w:type="dxa"/>
            <w:vAlign w:val="center"/>
          </w:tcPr>
          <w:p>
            <w:pPr>
              <w:jc w:val="center"/>
              <w:rPr>
                <w:color w:val="auto"/>
              </w:rPr>
            </w:pPr>
            <w:r>
              <w:rPr>
                <w:color w:val="auto"/>
                <w:szCs w:val="21"/>
              </w:rPr>
              <w:t>设备</w:t>
            </w:r>
          </w:p>
        </w:tc>
        <w:tc>
          <w:tcPr>
            <w:tcW w:w="1451" w:type="dxa"/>
            <w:vAlign w:val="center"/>
          </w:tcPr>
          <w:p>
            <w:pPr>
              <w:jc w:val="center"/>
              <w:rPr>
                <w:color w:val="auto"/>
              </w:rPr>
            </w:pPr>
            <w:r>
              <w:rPr>
                <w:color w:val="auto"/>
                <w:szCs w:val="21"/>
              </w:rPr>
              <w:t>旋风除尘</w:t>
            </w:r>
          </w:p>
        </w:tc>
        <w:tc>
          <w:tcPr>
            <w:tcW w:w="1455" w:type="dxa"/>
            <w:vAlign w:val="center"/>
          </w:tcPr>
          <w:p>
            <w:pPr>
              <w:jc w:val="center"/>
              <w:rPr>
                <w:color w:val="auto"/>
              </w:rPr>
            </w:pPr>
            <w:r>
              <w:rPr>
                <w:color w:val="auto"/>
                <w:szCs w:val="21"/>
              </w:rPr>
              <w:t>冷凝器</w:t>
            </w:r>
          </w:p>
        </w:tc>
        <w:tc>
          <w:tcPr>
            <w:tcW w:w="1455" w:type="dxa"/>
            <w:vAlign w:val="center"/>
          </w:tcPr>
          <w:p>
            <w:pPr>
              <w:jc w:val="center"/>
              <w:rPr>
                <w:color w:val="auto"/>
              </w:rPr>
            </w:pPr>
            <w:r>
              <w:rPr>
                <w:color w:val="auto"/>
                <w:szCs w:val="21"/>
              </w:rPr>
              <w:t>油烟净化器</w:t>
            </w:r>
          </w:p>
        </w:tc>
        <w:tc>
          <w:tcPr>
            <w:tcW w:w="1456" w:type="dxa"/>
            <w:vAlign w:val="center"/>
          </w:tcPr>
          <w:p>
            <w:pPr>
              <w:jc w:val="center"/>
              <w:rPr>
                <w:color w:val="auto"/>
              </w:rPr>
            </w:pPr>
            <w:r>
              <w:rPr>
                <w:color w:val="auto"/>
                <w:szCs w:val="21"/>
              </w:rPr>
              <w:t>UV光解</w:t>
            </w:r>
          </w:p>
        </w:tc>
        <w:tc>
          <w:tcPr>
            <w:tcW w:w="1456" w:type="dxa"/>
            <w:vAlign w:val="center"/>
          </w:tcPr>
          <w:p>
            <w:pPr>
              <w:jc w:val="center"/>
              <w:rPr>
                <w:color w:val="auto"/>
              </w:rPr>
            </w:pPr>
            <w:r>
              <w:rPr>
                <w:color w:val="auto"/>
                <w:szCs w:val="21"/>
              </w:rPr>
              <w:t>活性炭吸附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9" w:type="dxa"/>
            <w:vAlign w:val="center"/>
          </w:tcPr>
          <w:p>
            <w:pPr>
              <w:jc w:val="center"/>
              <w:rPr>
                <w:color w:val="auto"/>
              </w:rPr>
            </w:pPr>
            <w:r>
              <w:rPr>
                <w:color w:val="auto"/>
                <w:szCs w:val="21"/>
              </w:rPr>
              <w:t>处理效率</w:t>
            </w:r>
          </w:p>
        </w:tc>
        <w:tc>
          <w:tcPr>
            <w:tcW w:w="1451" w:type="dxa"/>
            <w:vAlign w:val="center"/>
          </w:tcPr>
          <w:p>
            <w:pPr>
              <w:jc w:val="center"/>
              <w:rPr>
                <w:color w:val="auto"/>
              </w:rPr>
            </w:pPr>
            <w:r>
              <w:rPr>
                <w:color w:val="auto"/>
                <w:szCs w:val="21"/>
              </w:rPr>
              <w:t>0%</w:t>
            </w:r>
          </w:p>
        </w:tc>
        <w:tc>
          <w:tcPr>
            <w:tcW w:w="1455" w:type="dxa"/>
            <w:vAlign w:val="center"/>
          </w:tcPr>
          <w:p>
            <w:pPr>
              <w:jc w:val="center"/>
              <w:rPr>
                <w:color w:val="auto"/>
              </w:rPr>
            </w:pPr>
            <w:r>
              <w:rPr>
                <w:color w:val="auto"/>
                <w:szCs w:val="21"/>
              </w:rPr>
              <w:t>25%</w:t>
            </w:r>
          </w:p>
        </w:tc>
        <w:tc>
          <w:tcPr>
            <w:tcW w:w="1455" w:type="dxa"/>
            <w:vAlign w:val="center"/>
          </w:tcPr>
          <w:p>
            <w:pPr>
              <w:jc w:val="center"/>
              <w:rPr>
                <w:color w:val="auto"/>
              </w:rPr>
            </w:pPr>
            <w:r>
              <w:rPr>
                <w:color w:val="auto"/>
                <w:szCs w:val="21"/>
              </w:rPr>
              <w:t>30%</w:t>
            </w:r>
          </w:p>
        </w:tc>
        <w:tc>
          <w:tcPr>
            <w:tcW w:w="1456" w:type="dxa"/>
            <w:vAlign w:val="center"/>
          </w:tcPr>
          <w:p>
            <w:pPr>
              <w:jc w:val="center"/>
              <w:rPr>
                <w:color w:val="auto"/>
              </w:rPr>
            </w:pPr>
            <w:r>
              <w:rPr>
                <w:color w:val="auto"/>
                <w:szCs w:val="21"/>
              </w:rPr>
              <w:t>40%</w:t>
            </w:r>
          </w:p>
        </w:tc>
        <w:tc>
          <w:tcPr>
            <w:tcW w:w="1456" w:type="dxa"/>
            <w:vAlign w:val="center"/>
          </w:tcPr>
          <w:p>
            <w:pPr>
              <w:jc w:val="center"/>
              <w:rPr>
                <w:color w:val="auto"/>
              </w:rPr>
            </w:pPr>
            <w:r>
              <w:rPr>
                <w:color w:val="auto"/>
                <w:szCs w:val="21"/>
              </w:rPr>
              <w:t>70%</w:t>
            </w:r>
          </w:p>
        </w:tc>
      </w:tr>
    </w:tbl>
    <w:p>
      <w:pPr>
        <w:spacing w:line="360" w:lineRule="auto"/>
        <w:ind w:firstLine="480" w:firstLineChars="200"/>
        <w:rPr>
          <w:color w:val="auto"/>
          <w:kern w:val="0"/>
          <w:sz w:val="24"/>
        </w:rPr>
      </w:pPr>
      <w:r>
        <w:rPr>
          <w:rFonts w:hint="eastAsia"/>
          <w:color w:val="auto"/>
          <w:sz w:val="24"/>
        </w:rPr>
        <w:t>经计算可得，</w:t>
      </w:r>
      <w:r>
        <w:rPr>
          <w:color w:val="auto"/>
          <w:sz w:val="24"/>
        </w:rPr>
        <w:t>本项目使用的“</w:t>
      </w:r>
      <w:r>
        <w:rPr>
          <w:rFonts w:hint="eastAsia"/>
          <w:color w:val="auto"/>
          <w:kern w:val="0"/>
          <w:sz w:val="24"/>
        </w:rPr>
        <w:t>旋风除尘+冷凝器+油烟净化器+UV光解+活性炭吸附”</w:t>
      </w:r>
      <w:r>
        <w:rPr>
          <w:color w:val="auto"/>
          <w:sz w:val="24"/>
        </w:rPr>
        <w:t>系统对有机废气的去除率</w:t>
      </w:r>
      <w:r>
        <w:rPr>
          <w:rFonts w:hint="eastAsia"/>
          <w:color w:val="auto"/>
          <w:sz w:val="24"/>
        </w:rPr>
        <w:t>可达90.55</w:t>
      </w:r>
      <w:r>
        <w:rPr>
          <w:color w:val="auto"/>
          <w:sz w:val="24"/>
        </w:rPr>
        <w:t>%</w:t>
      </w:r>
      <w:r>
        <w:rPr>
          <w:rFonts w:hint="eastAsia"/>
          <w:color w:val="auto"/>
          <w:sz w:val="24"/>
        </w:rPr>
        <w:t>，本报告保守取值90%</w:t>
      </w:r>
      <w:r>
        <w:rPr>
          <w:color w:val="auto"/>
          <w:sz w:val="24"/>
        </w:rPr>
        <w:t>。</w:t>
      </w:r>
      <w:r>
        <w:rPr>
          <w:color w:val="auto"/>
          <w:kern w:val="0"/>
          <w:sz w:val="24"/>
        </w:rPr>
        <w:t>从处理效率上看，该设备组合可有效净化项目</w:t>
      </w:r>
      <w:r>
        <w:rPr>
          <w:rFonts w:hint="eastAsia"/>
          <w:color w:val="auto"/>
          <w:kern w:val="0"/>
          <w:sz w:val="24"/>
        </w:rPr>
        <w:t>卷材生产线的工艺</w:t>
      </w:r>
      <w:r>
        <w:rPr>
          <w:color w:val="auto"/>
          <w:kern w:val="0"/>
          <w:sz w:val="24"/>
        </w:rPr>
        <w:t>废气。该处理设备由于结构简单，安装、维修方便，因此具有相当高的经济可行性，适合本项目使用。</w:t>
      </w:r>
    </w:p>
    <w:p>
      <w:pPr>
        <w:pStyle w:val="6"/>
        <w:spacing w:line="360" w:lineRule="auto"/>
        <w:rPr>
          <w:b/>
          <w:color w:val="auto"/>
          <w:sz w:val="24"/>
        </w:rPr>
      </w:pPr>
      <w:r>
        <w:rPr>
          <w:rFonts w:hint="eastAsia"/>
          <w:b/>
          <w:color w:val="auto"/>
          <w:sz w:val="24"/>
        </w:rPr>
        <w:t>8</w:t>
      </w:r>
      <w:r>
        <w:rPr>
          <w:b/>
          <w:color w:val="auto"/>
          <w:sz w:val="24"/>
        </w:rPr>
        <w:t>.1.3排气筒设置合理性分析</w:t>
      </w:r>
    </w:p>
    <w:p>
      <w:pPr>
        <w:pStyle w:val="6"/>
        <w:spacing w:line="360" w:lineRule="auto"/>
        <w:ind w:firstLine="480" w:firstLineChars="200"/>
        <w:rPr>
          <w:color w:val="auto"/>
          <w:sz w:val="24"/>
        </w:rPr>
      </w:pPr>
      <w:r>
        <w:rPr>
          <w:rFonts w:hint="eastAsia"/>
          <w:color w:val="auto"/>
          <w:sz w:val="24"/>
        </w:rPr>
        <w:t>1、</w:t>
      </w:r>
      <w:r>
        <w:rPr>
          <w:color w:val="auto"/>
          <w:sz w:val="24"/>
        </w:rPr>
        <w:t>数量可行性分析</w:t>
      </w:r>
    </w:p>
    <w:p>
      <w:pPr>
        <w:pStyle w:val="6"/>
        <w:spacing w:line="360" w:lineRule="auto"/>
        <w:ind w:firstLine="480" w:firstLineChars="200"/>
        <w:rPr>
          <w:color w:val="auto"/>
          <w:sz w:val="24"/>
          <w:szCs w:val="24"/>
        </w:rPr>
      </w:pPr>
      <w:r>
        <w:rPr>
          <w:color w:val="auto"/>
          <w:sz w:val="24"/>
        </w:rPr>
        <w:t>拟建项目排气筒设置数量严格按照车间</w:t>
      </w:r>
      <w:r>
        <w:rPr>
          <w:rFonts w:hint="eastAsia"/>
          <w:color w:val="auto"/>
          <w:sz w:val="24"/>
        </w:rPr>
        <w:t>布局和废气产生工序的</w:t>
      </w:r>
      <w:r>
        <w:rPr>
          <w:color w:val="auto"/>
          <w:sz w:val="24"/>
        </w:rPr>
        <w:t>分布来设置，项目按照“分类收集处理，统一排放”原则</w:t>
      </w:r>
      <w:r>
        <w:rPr>
          <w:rFonts w:hint="eastAsia"/>
          <w:color w:val="auto"/>
          <w:sz w:val="24"/>
        </w:rPr>
        <w:t>，尽可能</w:t>
      </w:r>
      <w:r>
        <w:rPr>
          <w:color w:val="auto"/>
          <w:sz w:val="24"/>
        </w:rPr>
        <w:t>为减少排气筒数量</w:t>
      </w:r>
      <w:r>
        <w:rPr>
          <w:rFonts w:hint="eastAsia"/>
          <w:color w:val="auto"/>
          <w:sz w:val="24"/>
        </w:rPr>
        <w:t>。由上文可知，项目的废气主要来自：湿式破碎生产线的一波工序；卷材生产线的</w:t>
      </w:r>
      <w:r>
        <w:rPr>
          <w:rFonts w:hint="eastAsia"/>
          <w:color w:val="auto"/>
          <w:kern w:val="2"/>
          <w:sz w:val="24"/>
          <w:szCs w:val="24"/>
        </w:rPr>
        <w:t>配料、预浸、浸涂、覆膜和冷却工序；导热油炉。</w:t>
      </w:r>
      <w:r>
        <w:rPr>
          <w:color w:val="auto"/>
          <w:sz w:val="24"/>
        </w:rPr>
        <w:t>综合考虑了废气合并处理的适宜性、风量大小、排气筒检修</w:t>
      </w:r>
      <w:r>
        <w:rPr>
          <w:rFonts w:hint="eastAsia"/>
          <w:color w:val="auto"/>
          <w:sz w:val="24"/>
        </w:rPr>
        <w:t>和日常监测的便利性等</w:t>
      </w:r>
      <w:r>
        <w:rPr>
          <w:color w:val="auto"/>
          <w:sz w:val="24"/>
        </w:rPr>
        <w:t>影响等因素</w:t>
      </w:r>
      <w:r>
        <w:rPr>
          <w:rFonts w:hint="eastAsia"/>
          <w:color w:val="auto"/>
          <w:sz w:val="24"/>
        </w:rPr>
        <w:t>后，决定分别在湿式破碎生产区、</w:t>
      </w:r>
      <w:r>
        <w:rPr>
          <w:color w:val="auto"/>
          <w:sz w:val="24"/>
        </w:rPr>
        <w:t>卷材生</w:t>
      </w:r>
      <w:r>
        <w:rPr>
          <w:color w:val="auto"/>
          <w:sz w:val="24"/>
          <w:szCs w:val="24"/>
        </w:rPr>
        <w:t>产工段</w:t>
      </w:r>
      <w:r>
        <w:rPr>
          <w:rFonts w:hint="eastAsia"/>
          <w:color w:val="auto"/>
          <w:sz w:val="24"/>
          <w:szCs w:val="24"/>
        </w:rPr>
        <w:t>和导热油炉处各设立1个排气筒。</w:t>
      </w:r>
    </w:p>
    <w:p>
      <w:pPr>
        <w:pStyle w:val="6"/>
        <w:spacing w:line="360" w:lineRule="auto"/>
        <w:ind w:firstLine="480" w:firstLineChars="200"/>
        <w:rPr>
          <w:color w:val="auto"/>
          <w:sz w:val="24"/>
          <w:szCs w:val="24"/>
        </w:rPr>
      </w:pPr>
      <w:r>
        <w:rPr>
          <w:rFonts w:hint="eastAsia"/>
          <w:color w:val="auto"/>
          <w:sz w:val="24"/>
          <w:szCs w:val="24"/>
        </w:rPr>
        <w:t>2、</w:t>
      </w:r>
      <w:r>
        <w:rPr>
          <w:color w:val="auto"/>
          <w:sz w:val="24"/>
          <w:szCs w:val="24"/>
        </w:rPr>
        <w:t>高度可行性分析</w:t>
      </w:r>
    </w:p>
    <w:p>
      <w:pPr>
        <w:pStyle w:val="6"/>
        <w:spacing w:line="360" w:lineRule="auto"/>
        <w:ind w:firstLine="480" w:firstLineChars="200"/>
        <w:rPr>
          <w:color w:val="auto"/>
          <w:sz w:val="24"/>
          <w:szCs w:val="24"/>
        </w:rPr>
      </w:pPr>
      <w:r>
        <w:rPr>
          <w:color w:val="auto"/>
          <w:sz w:val="24"/>
          <w:szCs w:val="24"/>
        </w:rPr>
        <w:t>根据</w:t>
      </w:r>
      <w:r>
        <w:rPr>
          <w:rFonts w:hint="eastAsia"/>
          <w:color w:val="auto"/>
          <w:sz w:val="24"/>
          <w:szCs w:val="24"/>
        </w:rPr>
        <w:t>《广东省大气污染物排放限值》（DB44/27-2001）要求，</w:t>
      </w:r>
      <w:r>
        <w:rPr>
          <w:color w:val="auto"/>
          <w:sz w:val="24"/>
          <w:szCs w:val="24"/>
        </w:rPr>
        <w:t>项目排气筒</w:t>
      </w:r>
      <w:r>
        <w:rPr>
          <w:rFonts w:hint="eastAsia"/>
          <w:color w:val="auto"/>
          <w:sz w:val="24"/>
          <w:szCs w:val="24"/>
        </w:rPr>
        <w:t>一般不应低于15m。对于未能</w:t>
      </w:r>
      <w:r>
        <w:rPr>
          <w:color w:val="auto"/>
          <w:sz w:val="24"/>
          <w:szCs w:val="24"/>
        </w:rPr>
        <w:t>高于周边200m范围内最高的建筑物5m以上</w:t>
      </w:r>
      <w:r>
        <w:rPr>
          <w:rFonts w:hint="eastAsia"/>
          <w:color w:val="auto"/>
          <w:sz w:val="24"/>
          <w:szCs w:val="24"/>
        </w:rPr>
        <w:t>，</w:t>
      </w:r>
      <w:r>
        <w:rPr>
          <w:color w:val="auto"/>
          <w:sz w:val="24"/>
          <w:szCs w:val="24"/>
        </w:rPr>
        <w:t>故排放速率</w:t>
      </w:r>
      <w:r>
        <w:rPr>
          <w:rFonts w:hint="eastAsia"/>
          <w:color w:val="auto"/>
          <w:sz w:val="24"/>
          <w:szCs w:val="24"/>
        </w:rPr>
        <w:t>按排气筒高度对应的排放速率的50%</w:t>
      </w:r>
      <w:r>
        <w:rPr>
          <w:color w:val="auto"/>
          <w:sz w:val="24"/>
          <w:szCs w:val="24"/>
        </w:rPr>
        <w:t>执行。</w:t>
      </w:r>
      <w:r>
        <w:rPr>
          <w:rFonts w:hint="eastAsia"/>
          <w:color w:val="auto"/>
          <w:sz w:val="24"/>
          <w:szCs w:val="24"/>
        </w:rPr>
        <w:t>由上文工程分析可知，各污染物的排放速率均能满足标准要求。由上文大气环境影响预测</w:t>
      </w:r>
      <w:r>
        <w:rPr>
          <w:color w:val="auto"/>
          <w:sz w:val="24"/>
          <w:szCs w:val="24"/>
        </w:rPr>
        <w:t>分析</w:t>
      </w:r>
      <w:r>
        <w:rPr>
          <w:rFonts w:hint="eastAsia"/>
          <w:color w:val="auto"/>
          <w:sz w:val="24"/>
          <w:szCs w:val="24"/>
        </w:rPr>
        <w:t>可知，</w:t>
      </w:r>
      <w:r>
        <w:rPr>
          <w:color w:val="auto"/>
          <w:sz w:val="24"/>
          <w:szCs w:val="24"/>
        </w:rPr>
        <w:t>各污染因子在相应的预测模式下，厂界均能达标，对周围大气环境质量无明显不利影响。</w:t>
      </w:r>
    </w:p>
    <w:p>
      <w:pPr>
        <w:pStyle w:val="6"/>
        <w:spacing w:line="360" w:lineRule="auto"/>
        <w:ind w:firstLine="480" w:firstLineChars="200"/>
        <w:rPr>
          <w:color w:val="auto"/>
          <w:sz w:val="24"/>
          <w:szCs w:val="24"/>
        </w:rPr>
      </w:pPr>
      <w:r>
        <w:rPr>
          <w:color w:val="auto"/>
          <w:sz w:val="24"/>
          <w:szCs w:val="24"/>
        </w:rPr>
        <w:t>因此，建设项目排气筒高度设置是合理的。</w:t>
      </w:r>
    </w:p>
    <w:p>
      <w:pPr>
        <w:spacing w:line="360" w:lineRule="auto"/>
        <w:outlineLvl w:val="1"/>
        <w:rPr>
          <w:b/>
          <w:color w:val="auto"/>
          <w:sz w:val="32"/>
          <w:szCs w:val="32"/>
        </w:rPr>
      </w:pPr>
      <w:bookmarkStart w:id="3189" w:name="_Toc8230"/>
      <w:bookmarkStart w:id="3190" w:name="_Toc14404"/>
      <w:r>
        <w:rPr>
          <w:rFonts w:hint="eastAsia"/>
          <w:b/>
          <w:color w:val="auto"/>
          <w:sz w:val="32"/>
          <w:szCs w:val="32"/>
        </w:rPr>
        <w:t xml:space="preserve">8.2  </w:t>
      </w:r>
      <w:r>
        <w:rPr>
          <w:b/>
          <w:color w:val="auto"/>
          <w:sz w:val="32"/>
          <w:szCs w:val="32"/>
        </w:rPr>
        <w:t>水污染防治措施评述</w:t>
      </w:r>
      <w:bookmarkEnd w:id="3189"/>
      <w:bookmarkEnd w:id="3190"/>
    </w:p>
    <w:p>
      <w:pPr>
        <w:keepNext/>
        <w:keepLines/>
        <w:spacing w:line="360" w:lineRule="auto"/>
        <w:jc w:val="left"/>
        <w:outlineLvl w:val="2"/>
        <w:rPr>
          <w:color w:val="auto"/>
          <w:sz w:val="24"/>
        </w:rPr>
      </w:pPr>
      <w:bookmarkStart w:id="3191" w:name="_Toc28245"/>
      <w:r>
        <w:rPr>
          <w:rFonts w:hint="eastAsia"/>
          <w:b/>
          <w:bCs/>
          <w:color w:val="auto"/>
          <w:sz w:val="28"/>
          <w:szCs w:val="28"/>
        </w:rPr>
        <w:t>8</w:t>
      </w:r>
      <w:r>
        <w:rPr>
          <w:b/>
          <w:bCs/>
          <w:color w:val="auto"/>
          <w:sz w:val="28"/>
          <w:szCs w:val="28"/>
        </w:rPr>
        <w:t>.</w:t>
      </w:r>
      <w:r>
        <w:rPr>
          <w:rFonts w:hint="eastAsia"/>
          <w:b/>
          <w:bCs/>
          <w:color w:val="auto"/>
          <w:sz w:val="28"/>
          <w:szCs w:val="28"/>
        </w:rPr>
        <w:t>2</w:t>
      </w:r>
      <w:r>
        <w:rPr>
          <w:b/>
          <w:bCs/>
          <w:color w:val="auto"/>
          <w:sz w:val="28"/>
          <w:szCs w:val="28"/>
        </w:rPr>
        <w:t>.</w:t>
      </w:r>
      <w:r>
        <w:rPr>
          <w:rFonts w:hint="eastAsia"/>
          <w:b/>
          <w:bCs/>
          <w:color w:val="auto"/>
          <w:sz w:val="28"/>
          <w:szCs w:val="28"/>
        </w:rPr>
        <w:t>1  水污染防治措施</w:t>
      </w:r>
      <w:bookmarkEnd w:id="3191"/>
    </w:p>
    <w:p>
      <w:pPr>
        <w:adjustRightInd w:val="0"/>
        <w:snapToGrid w:val="0"/>
        <w:spacing w:line="360" w:lineRule="auto"/>
        <w:ind w:firstLine="480"/>
        <w:rPr>
          <w:rFonts w:eastAsiaTheme="minorEastAsia"/>
          <w:color w:val="auto"/>
          <w:sz w:val="24"/>
        </w:rPr>
      </w:pPr>
      <w:r>
        <w:rPr>
          <w:color w:val="auto"/>
          <w:sz w:val="24"/>
        </w:rPr>
        <w:t>1、生产废水：</w:t>
      </w:r>
      <w:r>
        <w:rPr>
          <w:rFonts w:hint="eastAsia"/>
          <w:color w:val="auto"/>
          <w:sz w:val="24"/>
        </w:rPr>
        <w:t>本项目的湿式破碎生产线产生的废水经沉淀处理后回用于生产，不外排。卷材生产线的冷却水循环使用，不外排。项目的故项目无生产废水外排。</w:t>
      </w:r>
    </w:p>
    <w:p>
      <w:pPr>
        <w:pStyle w:val="6"/>
        <w:spacing w:line="360" w:lineRule="auto"/>
        <w:ind w:firstLine="480" w:firstLineChars="200"/>
        <w:rPr>
          <w:color w:val="auto"/>
          <w:sz w:val="24"/>
          <w:szCs w:val="24"/>
        </w:rPr>
      </w:pPr>
      <w:r>
        <w:rPr>
          <w:color w:val="auto"/>
          <w:sz w:val="24"/>
          <w:szCs w:val="24"/>
        </w:rPr>
        <w:t>2、生活污水：生活污水经三级化粪池预处理达到广东省地方标准《水污染物排放限值》（DB44/26-2001）第二时段三级标准和</w:t>
      </w:r>
      <w:r>
        <w:rPr>
          <w:color w:val="auto"/>
          <w:sz w:val="24"/>
        </w:rPr>
        <w:t>石角污水处理厂</w:t>
      </w:r>
      <w:r>
        <w:rPr>
          <w:color w:val="auto"/>
          <w:sz w:val="24"/>
          <w:szCs w:val="24"/>
        </w:rPr>
        <w:t>进水水质标准较严值后经市政管网进入石角污水处理厂集中处理，最后尾水达标排入沙埗溪。</w:t>
      </w:r>
      <w:r>
        <w:rPr>
          <w:rFonts w:hint="eastAsia"/>
          <w:color w:val="auto"/>
          <w:sz w:val="24"/>
          <w:szCs w:val="24"/>
        </w:rPr>
        <w:t>项目生活污水处理流程如下。</w:t>
      </w:r>
    </w:p>
    <w:p>
      <w:pPr>
        <w:spacing w:line="360" w:lineRule="auto"/>
        <w:jc w:val="center"/>
        <w:rPr>
          <w:color w:val="auto"/>
          <w:sz w:val="24"/>
        </w:rPr>
      </w:pPr>
      <w:r>
        <w:rPr>
          <w:color w:val="auto"/>
          <w:sz w:val="24"/>
        </w:rPr>
        <w:drawing>
          <wp:inline distT="0" distB="0" distL="114300" distR="114300">
            <wp:extent cx="4507230" cy="967740"/>
            <wp:effectExtent l="0" t="0" r="7620" b="3810"/>
            <wp:docPr id="68" name="图片 68" descr="生活污水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生活污水流程图"/>
                    <pic:cNvPicPr>
                      <a:picLocks noChangeAspect="1"/>
                    </pic:cNvPicPr>
                  </pic:nvPicPr>
                  <pic:blipFill>
                    <a:blip r:embed="rId107"/>
                    <a:stretch>
                      <a:fillRect/>
                    </a:stretch>
                  </pic:blipFill>
                  <pic:spPr>
                    <a:xfrm>
                      <a:off x="0" y="0"/>
                      <a:ext cx="4507230" cy="967740"/>
                    </a:xfrm>
                    <a:prstGeom prst="rect">
                      <a:avLst/>
                    </a:prstGeom>
                  </pic:spPr>
                </pic:pic>
              </a:graphicData>
            </a:graphic>
          </wp:inline>
        </w:drawing>
      </w:r>
    </w:p>
    <w:p>
      <w:pPr>
        <w:jc w:val="center"/>
        <w:rPr>
          <w:b/>
          <w:color w:val="auto"/>
          <w:sz w:val="24"/>
        </w:rPr>
      </w:pPr>
      <w:r>
        <w:rPr>
          <w:b/>
          <w:color w:val="auto"/>
          <w:sz w:val="24"/>
        </w:rPr>
        <w:t>图</w:t>
      </w:r>
      <w:r>
        <w:rPr>
          <w:rFonts w:hint="eastAsia"/>
          <w:b/>
          <w:color w:val="auto"/>
          <w:sz w:val="24"/>
        </w:rPr>
        <w:t>8</w:t>
      </w:r>
      <w:r>
        <w:rPr>
          <w:b/>
          <w:color w:val="auto"/>
          <w:sz w:val="24"/>
        </w:rPr>
        <w:t>.2-1  生活污水处理工艺流程图</w:t>
      </w:r>
    </w:p>
    <w:p>
      <w:pPr>
        <w:widowControl/>
        <w:jc w:val="center"/>
        <w:rPr>
          <w:b/>
          <w:bCs/>
          <w:color w:val="auto"/>
          <w:szCs w:val="28"/>
        </w:rPr>
      </w:pPr>
    </w:p>
    <w:p>
      <w:pPr>
        <w:widowControl/>
        <w:spacing w:line="360" w:lineRule="auto"/>
        <w:jc w:val="center"/>
        <w:rPr>
          <w:b/>
          <w:bCs/>
          <w:color w:val="auto"/>
          <w:szCs w:val="28"/>
        </w:rPr>
      </w:pPr>
      <w:r>
        <w:rPr>
          <w:b/>
          <w:bCs/>
          <w:color w:val="auto"/>
          <w:szCs w:val="28"/>
        </w:rPr>
        <w:t>表</w:t>
      </w:r>
      <w:r>
        <w:rPr>
          <w:rFonts w:hint="eastAsia"/>
          <w:b/>
          <w:bCs/>
          <w:color w:val="auto"/>
          <w:szCs w:val="28"/>
        </w:rPr>
        <w:t>8</w:t>
      </w:r>
      <w:r>
        <w:rPr>
          <w:b/>
          <w:bCs/>
          <w:color w:val="auto"/>
          <w:szCs w:val="28"/>
        </w:rPr>
        <w:t>.2-1  生活污水污染物排放执行标准（单位：mg/L，pH除外）</w:t>
      </w:r>
    </w:p>
    <w:tbl>
      <w:tblPr>
        <w:tblStyle w:val="2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1715"/>
        <w:gridCol w:w="2548"/>
        <w:gridCol w:w="1500"/>
        <w:gridCol w:w="1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bCs/>
                <w:color w:val="auto"/>
                <w:szCs w:val="21"/>
              </w:rPr>
            </w:pPr>
            <w:r>
              <w:rPr>
                <w:bCs/>
                <w:color w:val="auto"/>
                <w:szCs w:val="21"/>
              </w:rPr>
              <w:t>项目</w:t>
            </w:r>
          </w:p>
        </w:tc>
        <w:tc>
          <w:tcPr>
            <w:tcW w:w="1715" w:type="dxa"/>
            <w:vAlign w:val="center"/>
          </w:tcPr>
          <w:p>
            <w:pPr>
              <w:adjustRightInd w:val="0"/>
              <w:snapToGrid w:val="0"/>
              <w:spacing w:line="300" w:lineRule="auto"/>
              <w:jc w:val="center"/>
              <w:rPr>
                <w:bCs/>
                <w:color w:val="auto"/>
                <w:szCs w:val="21"/>
              </w:rPr>
            </w:pPr>
            <w:r>
              <w:rPr>
                <w:bCs/>
                <w:color w:val="auto"/>
                <w:szCs w:val="21"/>
              </w:rPr>
              <w:t>石角污水处理厂进水标准</w:t>
            </w:r>
          </w:p>
        </w:tc>
        <w:tc>
          <w:tcPr>
            <w:tcW w:w="2548" w:type="dxa"/>
            <w:vAlign w:val="center"/>
          </w:tcPr>
          <w:p>
            <w:pPr>
              <w:adjustRightInd w:val="0"/>
              <w:snapToGrid w:val="0"/>
              <w:spacing w:line="300" w:lineRule="auto"/>
              <w:jc w:val="center"/>
              <w:rPr>
                <w:bCs/>
                <w:color w:val="auto"/>
                <w:szCs w:val="21"/>
              </w:rPr>
            </w:pPr>
            <w:r>
              <w:rPr>
                <w:bCs/>
                <w:color w:val="auto"/>
                <w:szCs w:val="21"/>
              </w:rPr>
              <w:t>《水污染物排放限值》（DB44/26-2001）第二时段三级标准</w:t>
            </w:r>
          </w:p>
        </w:tc>
        <w:tc>
          <w:tcPr>
            <w:tcW w:w="1500" w:type="dxa"/>
            <w:vAlign w:val="center"/>
          </w:tcPr>
          <w:p>
            <w:pPr>
              <w:adjustRightInd w:val="0"/>
              <w:snapToGrid w:val="0"/>
              <w:spacing w:line="300" w:lineRule="auto"/>
              <w:jc w:val="center"/>
              <w:rPr>
                <w:bCs/>
                <w:color w:val="auto"/>
                <w:szCs w:val="21"/>
              </w:rPr>
            </w:pPr>
            <w:r>
              <w:rPr>
                <w:bCs/>
                <w:color w:val="auto"/>
                <w:szCs w:val="21"/>
              </w:rPr>
              <w:t>本项目生活污水执行标准</w:t>
            </w:r>
          </w:p>
        </w:tc>
        <w:tc>
          <w:tcPr>
            <w:tcW w:w="1520" w:type="dxa"/>
            <w:vAlign w:val="center"/>
          </w:tcPr>
          <w:p>
            <w:pPr>
              <w:adjustRightInd w:val="0"/>
              <w:snapToGrid w:val="0"/>
              <w:spacing w:line="300" w:lineRule="auto"/>
              <w:jc w:val="center"/>
              <w:rPr>
                <w:bCs/>
                <w:color w:val="auto"/>
                <w:szCs w:val="21"/>
              </w:rPr>
            </w:pPr>
            <w:r>
              <w:rPr>
                <w:bCs/>
                <w:color w:val="auto"/>
                <w:szCs w:val="21"/>
              </w:rPr>
              <w:t>排放浓度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pH</w:t>
            </w:r>
          </w:p>
        </w:tc>
        <w:tc>
          <w:tcPr>
            <w:tcW w:w="1715" w:type="dxa"/>
            <w:vAlign w:val="center"/>
          </w:tcPr>
          <w:p>
            <w:pPr>
              <w:spacing w:line="300" w:lineRule="auto"/>
              <w:jc w:val="center"/>
              <w:rPr>
                <w:color w:val="auto"/>
                <w:szCs w:val="21"/>
              </w:rPr>
            </w:pPr>
            <w:r>
              <w:rPr>
                <w:color w:val="auto"/>
                <w:szCs w:val="21"/>
              </w:rPr>
              <w:t>-</w:t>
            </w:r>
          </w:p>
        </w:tc>
        <w:tc>
          <w:tcPr>
            <w:tcW w:w="2548" w:type="dxa"/>
            <w:vAlign w:val="center"/>
          </w:tcPr>
          <w:p>
            <w:pPr>
              <w:spacing w:line="300" w:lineRule="auto"/>
              <w:jc w:val="center"/>
              <w:rPr>
                <w:color w:val="auto"/>
                <w:szCs w:val="21"/>
              </w:rPr>
            </w:pPr>
            <w:r>
              <w:rPr>
                <w:color w:val="auto"/>
                <w:szCs w:val="21"/>
              </w:rPr>
              <w:t>6-9</w:t>
            </w:r>
          </w:p>
        </w:tc>
        <w:tc>
          <w:tcPr>
            <w:tcW w:w="1500" w:type="dxa"/>
            <w:vAlign w:val="center"/>
          </w:tcPr>
          <w:p>
            <w:pPr>
              <w:spacing w:line="300" w:lineRule="auto"/>
              <w:jc w:val="center"/>
              <w:rPr>
                <w:color w:val="auto"/>
                <w:szCs w:val="21"/>
              </w:rPr>
            </w:pPr>
            <w:r>
              <w:rPr>
                <w:color w:val="auto"/>
                <w:szCs w:val="21"/>
              </w:rPr>
              <w:t>6-9</w:t>
            </w:r>
          </w:p>
        </w:tc>
        <w:tc>
          <w:tcPr>
            <w:tcW w:w="1520" w:type="dxa"/>
            <w:vAlign w:val="center"/>
          </w:tcPr>
          <w:p>
            <w:pPr>
              <w:spacing w:line="300" w:lineRule="auto"/>
              <w:jc w:val="center"/>
              <w:rPr>
                <w:color w:val="auto"/>
                <w:szCs w:val="21"/>
              </w:rPr>
            </w:pPr>
            <w:r>
              <w:rPr>
                <w:color w:val="auto"/>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COD</w:t>
            </w:r>
          </w:p>
        </w:tc>
        <w:tc>
          <w:tcPr>
            <w:tcW w:w="1715" w:type="dxa"/>
            <w:vAlign w:val="center"/>
          </w:tcPr>
          <w:p>
            <w:pPr>
              <w:spacing w:line="300" w:lineRule="auto"/>
              <w:jc w:val="center"/>
              <w:rPr>
                <w:color w:val="auto"/>
                <w:szCs w:val="21"/>
              </w:rPr>
            </w:pPr>
            <w:r>
              <w:rPr>
                <w:color w:val="auto"/>
                <w:szCs w:val="21"/>
              </w:rPr>
              <w:t>375</w:t>
            </w:r>
          </w:p>
        </w:tc>
        <w:tc>
          <w:tcPr>
            <w:tcW w:w="2548" w:type="dxa"/>
            <w:vAlign w:val="center"/>
          </w:tcPr>
          <w:p>
            <w:pPr>
              <w:spacing w:line="300" w:lineRule="auto"/>
              <w:jc w:val="center"/>
              <w:rPr>
                <w:color w:val="auto"/>
                <w:szCs w:val="21"/>
              </w:rPr>
            </w:pPr>
            <w:r>
              <w:rPr>
                <w:color w:val="auto"/>
                <w:szCs w:val="21"/>
              </w:rPr>
              <w:t>500</w:t>
            </w:r>
          </w:p>
        </w:tc>
        <w:tc>
          <w:tcPr>
            <w:tcW w:w="1500" w:type="dxa"/>
            <w:vAlign w:val="center"/>
          </w:tcPr>
          <w:p>
            <w:pPr>
              <w:spacing w:line="300" w:lineRule="auto"/>
              <w:jc w:val="center"/>
              <w:rPr>
                <w:color w:val="auto"/>
                <w:szCs w:val="21"/>
              </w:rPr>
            </w:pPr>
            <w:r>
              <w:rPr>
                <w:color w:val="auto"/>
                <w:szCs w:val="21"/>
              </w:rPr>
              <w:t>300</w:t>
            </w:r>
          </w:p>
        </w:tc>
        <w:tc>
          <w:tcPr>
            <w:tcW w:w="1520" w:type="dxa"/>
            <w:vAlign w:val="center"/>
          </w:tcPr>
          <w:p>
            <w:pPr>
              <w:spacing w:line="300" w:lineRule="auto"/>
              <w:jc w:val="center"/>
              <w:rPr>
                <w:color w:val="auto"/>
                <w:szCs w:val="21"/>
              </w:rPr>
            </w:pPr>
            <w:r>
              <w:rPr>
                <w:color w:val="auto"/>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BOD</w:t>
            </w:r>
            <w:r>
              <w:rPr>
                <w:color w:val="auto"/>
                <w:szCs w:val="21"/>
                <w:vertAlign w:val="subscript"/>
              </w:rPr>
              <w:t>5</w:t>
            </w:r>
          </w:p>
        </w:tc>
        <w:tc>
          <w:tcPr>
            <w:tcW w:w="1715" w:type="dxa"/>
            <w:vAlign w:val="center"/>
          </w:tcPr>
          <w:p>
            <w:pPr>
              <w:spacing w:line="300" w:lineRule="auto"/>
              <w:jc w:val="center"/>
              <w:rPr>
                <w:color w:val="auto"/>
                <w:szCs w:val="21"/>
              </w:rPr>
            </w:pPr>
            <w:r>
              <w:rPr>
                <w:color w:val="auto"/>
                <w:szCs w:val="21"/>
              </w:rPr>
              <w:t>196</w:t>
            </w:r>
          </w:p>
        </w:tc>
        <w:tc>
          <w:tcPr>
            <w:tcW w:w="2548" w:type="dxa"/>
            <w:vAlign w:val="center"/>
          </w:tcPr>
          <w:p>
            <w:pPr>
              <w:spacing w:line="300" w:lineRule="auto"/>
              <w:jc w:val="center"/>
              <w:rPr>
                <w:color w:val="auto"/>
                <w:szCs w:val="21"/>
              </w:rPr>
            </w:pPr>
            <w:r>
              <w:rPr>
                <w:color w:val="auto"/>
                <w:szCs w:val="21"/>
              </w:rPr>
              <w:t>300</w:t>
            </w:r>
          </w:p>
        </w:tc>
        <w:tc>
          <w:tcPr>
            <w:tcW w:w="1500" w:type="dxa"/>
            <w:vAlign w:val="center"/>
          </w:tcPr>
          <w:p>
            <w:pPr>
              <w:spacing w:line="300" w:lineRule="auto"/>
              <w:jc w:val="center"/>
              <w:rPr>
                <w:color w:val="auto"/>
                <w:szCs w:val="21"/>
              </w:rPr>
            </w:pPr>
            <w:r>
              <w:rPr>
                <w:color w:val="auto"/>
                <w:szCs w:val="21"/>
              </w:rPr>
              <w:t>200</w:t>
            </w:r>
          </w:p>
        </w:tc>
        <w:tc>
          <w:tcPr>
            <w:tcW w:w="1520" w:type="dxa"/>
            <w:vAlign w:val="center"/>
          </w:tcPr>
          <w:p>
            <w:pPr>
              <w:spacing w:line="300" w:lineRule="auto"/>
              <w:jc w:val="center"/>
              <w:rPr>
                <w:color w:val="auto"/>
                <w:szCs w:val="21"/>
              </w:rPr>
            </w:pPr>
            <w:r>
              <w:rPr>
                <w:color w:val="auto"/>
                <w:szCs w:val="21"/>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悬浮物</w:t>
            </w:r>
          </w:p>
        </w:tc>
        <w:tc>
          <w:tcPr>
            <w:tcW w:w="1715" w:type="dxa"/>
            <w:vAlign w:val="center"/>
          </w:tcPr>
          <w:p>
            <w:pPr>
              <w:spacing w:line="300" w:lineRule="auto"/>
              <w:jc w:val="center"/>
              <w:rPr>
                <w:color w:val="auto"/>
                <w:szCs w:val="21"/>
              </w:rPr>
            </w:pPr>
            <w:r>
              <w:rPr>
                <w:color w:val="auto"/>
                <w:szCs w:val="21"/>
              </w:rPr>
              <w:t>-</w:t>
            </w:r>
          </w:p>
        </w:tc>
        <w:tc>
          <w:tcPr>
            <w:tcW w:w="2548" w:type="dxa"/>
            <w:vAlign w:val="center"/>
          </w:tcPr>
          <w:p>
            <w:pPr>
              <w:spacing w:line="300" w:lineRule="auto"/>
              <w:jc w:val="center"/>
              <w:rPr>
                <w:color w:val="auto"/>
                <w:szCs w:val="21"/>
              </w:rPr>
            </w:pPr>
            <w:r>
              <w:rPr>
                <w:color w:val="auto"/>
                <w:szCs w:val="21"/>
              </w:rPr>
              <w:t>400</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氨氮</w:t>
            </w:r>
          </w:p>
        </w:tc>
        <w:tc>
          <w:tcPr>
            <w:tcW w:w="1715" w:type="dxa"/>
            <w:vAlign w:val="center"/>
          </w:tcPr>
          <w:p>
            <w:pPr>
              <w:spacing w:line="300" w:lineRule="auto"/>
              <w:jc w:val="center"/>
              <w:rPr>
                <w:bCs/>
                <w:color w:val="auto"/>
                <w:szCs w:val="21"/>
              </w:rPr>
            </w:pPr>
            <w:r>
              <w:rPr>
                <w:bCs/>
                <w:color w:val="auto"/>
                <w:szCs w:val="21"/>
              </w:rPr>
              <w:t>41</w:t>
            </w:r>
          </w:p>
        </w:tc>
        <w:tc>
          <w:tcPr>
            <w:tcW w:w="2548" w:type="dxa"/>
            <w:vAlign w:val="center"/>
          </w:tcPr>
          <w:p>
            <w:pPr>
              <w:spacing w:line="300" w:lineRule="auto"/>
              <w:jc w:val="center"/>
              <w:rPr>
                <w:color w:val="auto"/>
                <w:szCs w:val="21"/>
              </w:rPr>
            </w:pPr>
            <w:r>
              <w:rPr>
                <w:color w:val="auto"/>
                <w:szCs w:val="21"/>
              </w:rPr>
              <w:t>-</w:t>
            </w:r>
          </w:p>
        </w:tc>
        <w:tc>
          <w:tcPr>
            <w:tcW w:w="1500" w:type="dxa"/>
            <w:vAlign w:val="center"/>
          </w:tcPr>
          <w:p>
            <w:pPr>
              <w:spacing w:line="300" w:lineRule="auto"/>
              <w:jc w:val="center"/>
              <w:rPr>
                <w:color w:val="auto"/>
                <w:szCs w:val="21"/>
              </w:rPr>
            </w:pPr>
            <w:r>
              <w:rPr>
                <w:color w:val="auto"/>
                <w:szCs w:val="21"/>
              </w:rPr>
              <w:t>28</w:t>
            </w:r>
          </w:p>
        </w:tc>
        <w:tc>
          <w:tcPr>
            <w:tcW w:w="1520" w:type="dxa"/>
            <w:vAlign w:val="center"/>
          </w:tcPr>
          <w:p>
            <w:pPr>
              <w:spacing w:line="300" w:lineRule="auto"/>
              <w:jc w:val="center"/>
              <w:rPr>
                <w:color w:val="auto"/>
                <w:szCs w:val="21"/>
              </w:rPr>
            </w:pPr>
            <w:r>
              <w:rPr>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石油类</w:t>
            </w:r>
          </w:p>
        </w:tc>
        <w:tc>
          <w:tcPr>
            <w:tcW w:w="1715" w:type="dxa"/>
            <w:vAlign w:val="center"/>
          </w:tcPr>
          <w:p>
            <w:pPr>
              <w:spacing w:line="300" w:lineRule="auto"/>
              <w:jc w:val="center"/>
              <w:rPr>
                <w:color w:val="auto"/>
                <w:szCs w:val="21"/>
              </w:rPr>
            </w:pPr>
            <w:r>
              <w:rPr>
                <w:color w:val="auto"/>
                <w:szCs w:val="21"/>
              </w:rPr>
              <w:t>-</w:t>
            </w:r>
          </w:p>
        </w:tc>
        <w:tc>
          <w:tcPr>
            <w:tcW w:w="2548" w:type="dxa"/>
            <w:vAlign w:val="center"/>
          </w:tcPr>
          <w:p>
            <w:pPr>
              <w:spacing w:line="300" w:lineRule="auto"/>
              <w:jc w:val="center"/>
              <w:rPr>
                <w:color w:val="auto"/>
                <w:szCs w:val="21"/>
              </w:rPr>
            </w:pPr>
            <w:r>
              <w:rPr>
                <w:color w:val="auto"/>
                <w:szCs w:val="21"/>
              </w:rPr>
              <w:t>20</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动植物油</w:t>
            </w:r>
          </w:p>
        </w:tc>
        <w:tc>
          <w:tcPr>
            <w:tcW w:w="1715" w:type="dxa"/>
            <w:vAlign w:val="center"/>
          </w:tcPr>
          <w:p>
            <w:pPr>
              <w:spacing w:line="300" w:lineRule="auto"/>
              <w:jc w:val="center"/>
              <w:rPr>
                <w:color w:val="auto"/>
                <w:szCs w:val="21"/>
              </w:rPr>
            </w:pPr>
            <w:r>
              <w:rPr>
                <w:color w:val="auto"/>
                <w:szCs w:val="21"/>
              </w:rPr>
              <w:t>-</w:t>
            </w:r>
          </w:p>
        </w:tc>
        <w:tc>
          <w:tcPr>
            <w:tcW w:w="2548" w:type="dxa"/>
            <w:vAlign w:val="center"/>
          </w:tcPr>
          <w:p>
            <w:pPr>
              <w:spacing w:line="300" w:lineRule="auto"/>
              <w:jc w:val="center"/>
              <w:rPr>
                <w:color w:val="auto"/>
                <w:szCs w:val="21"/>
              </w:rPr>
            </w:pPr>
            <w:r>
              <w:rPr>
                <w:color w:val="auto"/>
                <w:szCs w:val="21"/>
              </w:rPr>
              <w:t>100</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挥发酚</w:t>
            </w:r>
          </w:p>
        </w:tc>
        <w:tc>
          <w:tcPr>
            <w:tcW w:w="1715" w:type="dxa"/>
            <w:vAlign w:val="center"/>
          </w:tcPr>
          <w:p>
            <w:pPr>
              <w:spacing w:line="300" w:lineRule="auto"/>
              <w:jc w:val="center"/>
              <w:rPr>
                <w:bCs/>
                <w:color w:val="auto"/>
                <w:szCs w:val="21"/>
              </w:rPr>
            </w:pPr>
            <w:r>
              <w:rPr>
                <w:bCs/>
                <w:color w:val="auto"/>
                <w:szCs w:val="21"/>
              </w:rPr>
              <w:t>-</w:t>
            </w:r>
          </w:p>
        </w:tc>
        <w:tc>
          <w:tcPr>
            <w:tcW w:w="2548" w:type="dxa"/>
            <w:vAlign w:val="center"/>
          </w:tcPr>
          <w:p>
            <w:pPr>
              <w:spacing w:line="300" w:lineRule="auto"/>
              <w:jc w:val="center"/>
              <w:rPr>
                <w:color w:val="auto"/>
                <w:szCs w:val="21"/>
              </w:rPr>
            </w:pPr>
            <w:r>
              <w:rPr>
                <w:color w:val="auto"/>
                <w:szCs w:val="21"/>
              </w:rPr>
              <w:t>2.0</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LAS</w:t>
            </w:r>
          </w:p>
        </w:tc>
        <w:tc>
          <w:tcPr>
            <w:tcW w:w="1715" w:type="dxa"/>
            <w:vAlign w:val="center"/>
          </w:tcPr>
          <w:p>
            <w:pPr>
              <w:spacing w:line="300" w:lineRule="auto"/>
              <w:jc w:val="center"/>
              <w:rPr>
                <w:bCs/>
                <w:color w:val="auto"/>
                <w:szCs w:val="21"/>
              </w:rPr>
            </w:pPr>
            <w:r>
              <w:rPr>
                <w:bCs/>
                <w:color w:val="auto"/>
                <w:szCs w:val="21"/>
              </w:rPr>
              <w:t>-</w:t>
            </w:r>
          </w:p>
        </w:tc>
        <w:tc>
          <w:tcPr>
            <w:tcW w:w="2548" w:type="dxa"/>
            <w:vAlign w:val="center"/>
          </w:tcPr>
          <w:p>
            <w:pPr>
              <w:spacing w:line="300" w:lineRule="auto"/>
              <w:jc w:val="center"/>
              <w:rPr>
                <w:color w:val="auto"/>
                <w:szCs w:val="21"/>
              </w:rPr>
            </w:pPr>
            <w:r>
              <w:rPr>
                <w:color w:val="auto"/>
                <w:szCs w:val="21"/>
              </w:rPr>
              <w:t>20</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5" w:type="dxa"/>
            <w:vAlign w:val="center"/>
          </w:tcPr>
          <w:p>
            <w:pPr>
              <w:adjustRightInd w:val="0"/>
              <w:snapToGrid w:val="0"/>
              <w:spacing w:line="300" w:lineRule="auto"/>
              <w:jc w:val="center"/>
              <w:rPr>
                <w:color w:val="auto"/>
                <w:szCs w:val="21"/>
              </w:rPr>
            </w:pPr>
            <w:r>
              <w:rPr>
                <w:color w:val="auto"/>
                <w:szCs w:val="21"/>
              </w:rPr>
              <w:t>总磷</w:t>
            </w:r>
          </w:p>
        </w:tc>
        <w:tc>
          <w:tcPr>
            <w:tcW w:w="1715" w:type="dxa"/>
            <w:vAlign w:val="center"/>
          </w:tcPr>
          <w:p>
            <w:pPr>
              <w:spacing w:line="300" w:lineRule="auto"/>
              <w:jc w:val="center"/>
              <w:rPr>
                <w:bCs/>
                <w:color w:val="auto"/>
                <w:szCs w:val="21"/>
              </w:rPr>
            </w:pPr>
            <w:r>
              <w:rPr>
                <w:bCs/>
                <w:color w:val="auto"/>
                <w:szCs w:val="21"/>
              </w:rPr>
              <w:t>5</w:t>
            </w:r>
          </w:p>
        </w:tc>
        <w:tc>
          <w:tcPr>
            <w:tcW w:w="2548" w:type="dxa"/>
            <w:vAlign w:val="center"/>
          </w:tcPr>
          <w:p>
            <w:pPr>
              <w:spacing w:line="300" w:lineRule="auto"/>
              <w:jc w:val="center"/>
              <w:rPr>
                <w:color w:val="auto"/>
                <w:szCs w:val="21"/>
              </w:rPr>
            </w:pPr>
            <w:r>
              <w:rPr>
                <w:color w:val="auto"/>
                <w:szCs w:val="21"/>
              </w:rPr>
              <w:t>-</w:t>
            </w:r>
          </w:p>
        </w:tc>
        <w:tc>
          <w:tcPr>
            <w:tcW w:w="1500" w:type="dxa"/>
            <w:vAlign w:val="center"/>
          </w:tcPr>
          <w:p>
            <w:pPr>
              <w:spacing w:line="300" w:lineRule="auto"/>
              <w:jc w:val="center"/>
              <w:rPr>
                <w:color w:val="auto"/>
                <w:szCs w:val="21"/>
              </w:rPr>
            </w:pPr>
            <w:r>
              <w:rPr>
                <w:color w:val="auto"/>
                <w:szCs w:val="21"/>
              </w:rPr>
              <w:t>-</w:t>
            </w:r>
          </w:p>
        </w:tc>
        <w:tc>
          <w:tcPr>
            <w:tcW w:w="1520" w:type="dxa"/>
            <w:vAlign w:val="center"/>
          </w:tcPr>
          <w:p>
            <w:pPr>
              <w:spacing w:line="300" w:lineRule="auto"/>
              <w:jc w:val="center"/>
              <w:rPr>
                <w:color w:val="auto"/>
                <w:szCs w:val="21"/>
              </w:rPr>
            </w:pPr>
            <w:r>
              <w:rPr>
                <w:color w:val="auto"/>
                <w:szCs w:val="21"/>
              </w:rPr>
              <w:t>-</w:t>
            </w:r>
          </w:p>
        </w:tc>
      </w:tr>
    </w:tbl>
    <w:p>
      <w:pPr>
        <w:keepNext/>
        <w:keepLines/>
        <w:spacing w:line="360" w:lineRule="auto"/>
        <w:jc w:val="left"/>
        <w:outlineLvl w:val="2"/>
        <w:rPr>
          <w:color w:val="auto"/>
          <w:sz w:val="24"/>
        </w:rPr>
      </w:pPr>
      <w:bookmarkStart w:id="3192" w:name="_Toc26609"/>
      <w:r>
        <w:rPr>
          <w:rFonts w:hint="eastAsia"/>
          <w:b/>
          <w:bCs/>
          <w:color w:val="auto"/>
          <w:sz w:val="28"/>
          <w:szCs w:val="28"/>
        </w:rPr>
        <w:t>8</w:t>
      </w:r>
      <w:r>
        <w:rPr>
          <w:b/>
          <w:bCs/>
          <w:color w:val="auto"/>
          <w:sz w:val="28"/>
          <w:szCs w:val="28"/>
        </w:rPr>
        <w:t>.</w:t>
      </w:r>
      <w:r>
        <w:rPr>
          <w:rFonts w:hint="eastAsia"/>
          <w:b/>
          <w:bCs/>
          <w:color w:val="auto"/>
          <w:sz w:val="28"/>
          <w:szCs w:val="28"/>
        </w:rPr>
        <w:t>2</w:t>
      </w:r>
      <w:r>
        <w:rPr>
          <w:b/>
          <w:bCs/>
          <w:color w:val="auto"/>
          <w:sz w:val="28"/>
          <w:szCs w:val="28"/>
        </w:rPr>
        <w:t>.</w:t>
      </w:r>
      <w:r>
        <w:rPr>
          <w:rFonts w:hint="eastAsia"/>
          <w:b/>
          <w:bCs/>
          <w:color w:val="auto"/>
          <w:sz w:val="28"/>
          <w:szCs w:val="28"/>
        </w:rPr>
        <w:t>2  水污染防治措施可行性分析</w:t>
      </w:r>
      <w:bookmarkEnd w:id="3192"/>
    </w:p>
    <w:p>
      <w:pPr>
        <w:spacing w:line="360" w:lineRule="auto"/>
        <w:ind w:firstLine="480" w:firstLineChars="200"/>
        <w:rPr>
          <w:color w:val="auto"/>
          <w:sz w:val="24"/>
        </w:rPr>
      </w:pPr>
      <w:r>
        <w:rPr>
          <w:rFonts w:hint="eastAsia"/>
          <w:color w:val="auto"/>
          <w:sz w:val="24"/>
        </w:rPr>
        <w:t>1</w:t>
      </w:r>
      <w:r>
        <w:rPr>
          <w:color w:val="auto"/>
          <w:sz w:val="24"/>
        </w:rPr>
        <w:t>、初期雨水：项目无露天堆场，也无露天生产场所，生产区域均已覆盖顶棚，初期雨水的产生量及污染物浓度较小，厂区内未设置初期雨水沉砂池，</w:t>
      </w:r>
      <w:r>
        <w:rPr>
          <w:rFonts w:hint="eastAsia"/>
          <w:color w:val="auto"/>
          <w:sz w:val="24"/>
        </w:rPr>
        <w:t>雨水落至项目棚顶后，沿瓦面流下，汇集于项目外围的雨水沟，最后与园区内收集的雨水汇合，统一排放至市政雨水管网。</w:t>
      </w:r>
    </w:p>
    <w:p>
      <w:pPr>
        <w:spacing w:line="360" w:lineRule="auto"/>
        <w:ind w:firstLine="480" w:firstLineChars="200"/>
        <w:rPr>
          <w:color w:val="auto"/>
          <w:sz w:val="24"/>
        </w:rPr>
      </w:pPr>
      <w:r>
        <w:rPr>
          <w:rFonts w:hint="eastAsia"/>
          <w:color w:val="auto"/>
          <w:sz w:val="24"/>
        </w:rPr>
        <w:t>2、湿式破碎生产线产生的废水</w:t>
      </w:r>
    </w:p>
    <w:p>
      <w:pPr>
        <w:spacing w:line="360" w:lineRule="auto"/>
        <w:ind w:firstLine="480" w:firstLineChars="200"/>
        <w:rPr>
          <w:color w:val="auto"/>
          <w:sz w:val="24"/>
        </w:rPr>
      </w:pPr>
      <w:r>
        <w:rPr>
          <w:rFonts w:hint="eastAsia"/>
          <w:color w:val="auto"/>
          <w:sz w:val="24"/>
        </w:rPr>
        <w:t>项目在湿式破碎生产线使用水流对破碎后的渣浆（主要是废树脂粉和铜粉）进行冲刷，利用水流的冲刷力、浮力，加以摇床的震荡，将废树脂粉和铜粉分离。废树脂粉和铜粉均不溶于水中，故废水中最主要的污染物为SS。废水中的悬浮物主要是废树脂粉和铜粉，其密度均较大。当废水进入沉淀池静置一段时间后，将能迅速沉淀。经沉淀处理后的回用水中的SS浓度可低于100mg/L。分选对水质要求不高，满足继续用于分选的要求，故湿式破碎生产线产生的废水经沉淀处理后回用合理的。</w:t>
      </w:r>
    </w:p>
    <w:p>
      <w:pPr>
        <w:spacing w:line="360" w:lineRule="auto"/>
        <w:ind w:firstLine="480" w:firstLineChars="200"/>
        <w:rPr>
          <w:color w:val="auto"/>
          <w:sz w:val="24"/>
        </w:rPr>
      </w:pPr>
      <w:r>
        <w:rPr>
          <w:rFonts w:hint="eastAsia"/>
          <w:color w:val="auto"/>
          <w:sz w:val="24"/>
        </w:rPr>
        <w:t>3、生活污水</w:t>
      </w:r>
    </w:p>
    <w:p>
      <w:pPr>
        <w:pStyle w:val="2"/>
        <w:spacing w:line="360" w:lineRule="auto"/>
        <w:ind w:left="0" w:leftChars="0" w:firstLine="480"/>
        <w:rPr>
          <w:rFonts w:ascii="Times New Roman"/>
          <w:color w:val="auto"/>
          <w:kern w:val="2"/>
          <w:sz w:val="24"/>
        </w:rPr>
      </w:pPr>
      <w:r>
        <w:rPr>
          <w:rFonts w:hint="eastAsia"/>
          <w:color w:val="auto"/>
          <w:sz w:val="24"/>
        </w:rPr>
        <w:t>（</w:t>
      </w:r>
      <w:r>
        <w:rPr>
          <w:rFonts w:hint="eastAsia" w:ascii="Times New Roman"/>
          <w:color w:val="auto"/>
          <w:kern w:val="2"/>
          <w:sz w:val="24"/>
        </w:rPr>
        <w:t>1）三级化粪池</w:t>
      </w:r>
    </w:p>
    <w:p>
      <w:pPr>
        <w:pStyle w:val="2"/>
        <w:spacing w:line="360" w:lineRule="auto"/>
        <w:ind w:left="0" w:leftChars="0" w:firstLine="480"/>
        <w:rPr>
          <w:rFonts w:ascii="Times New Roman"/>
          <w:color w:val="auto"/>
          <w:kern w:val="2"/>
          <w:sz w:val="24"/>
        </w:rPr>
      </w:pPr>
      <w:r>
        <w:rPr>
          <w:rFonts w:hint="eastAsia" w:ascii="Times New Roman"/>
          <w:color w:val="auto"/>
          <w:kern w:val="2"/>
          <w:sz w:val="24"/>
        </w:rPr>
        <w:t>三级化粪池厕所的地下部分结构由便器、进粪管、过粪管、三级化粪池、盖板五部分组成。新鲜粪便由进粪口进入第一池，池内粪便开始发酵分解、因比重不同粪液可自然分为三层，上层为糊状粪皮，下层为块状或颗状粪渣，中层为比较澄清的粪液。在上层粪皮和下层粪渣中含细菌和寄生虫卵最多，中层含虫卵最少，初步发酵的中层粪液经过粪管溢流至第二池，而将大部分未经充分发酵的粪皮和粪渣阻留在第一池内继续发酵。流入第二池的粪液进一步发酵分解，虫卵继续下沉，病原体逐渐死亡，粪液得到进一步无害化，产生的粪皮和粪厚度比第一池显著减少。流人第三池的粪液一般已经腐熟，其中病菌和寄生虫卵已基本杀灭。第三池功能主要起储存已基本无害化的粪液作用。生活污水经三级化粪池处理基本可达到广东省地方排放标准《水污染物排放限值》（DB44/26-2001）第二时段三级标准和</w:t>
      </w:r>
      <w:r>
        <w:rPr>
          <w:rFonts w:ascii="Times New Roman"/>
          <w:color w:val="auto"/>
          <w:sz w:val="24"/>
        </w:rPr>
        <w:t>石角污水处理厂</w:t>
      </w:r>
      <w:r>
        <w:rPr>
          <w:rFonts w:ascii="Times New Roman"/>
          <w:color w:val="auto"/>
          <w:kern w:val="2"/>
          <w:sz w:val="24"/>
        </w:rPr>
        <w:t>进水水质标准较严值</w:t>
      </w:r>
      <w:r>
        <w:rPr>
          <w:rFonts w:hint="eastAsia" w:ascii="Times New Roman"/>
          <w:color w:val="auto"/>
          <w:kern w:val="2"/>
          <w:sz w:val="24"/>
        </w:rPr>
        <w:t>。项目排出的污水不会对</w:t>
      </w:r>
      <w:r>
        <w:rPr>
          <w:rFonts w:ascii="Times New Roman"/>
          <w:color w:val="auto"/>
          <w:sz w:val="24"/>
        </w:rPr>
        <w:t>石角污水处理厂</w:t>
      </w:r>
      <w:r>
        <w:rPr>
          <w:rFonts w:hint="eastAsia" w:ascii="Times New Roman"/>
          <w:color w:val="auto"/>
          <w:kern w:val="2"/>
          <w:sz w:val="24"/>
        </w:rPr>
        <w:t>造成冲击。</w:t>
      </w:r>
    </w:p>
    <w:p>
      <w:pPr>
        <w:pStyle w:val="2"/>
        <w:spacing w:line="360" w:lineRule="auto"/>
        <w:ind w:left="0" w:leftChars="0" w:firstLine="480"/>
        <w:rPr>
          <w:rFonts w:ascii="Times New Roman"/>
          <w:color w:val="auto"/>
          <w:kern w:val="2"/>
          <w:sz w:val="24"/>
        </w:rPr>
      </w:pPr>
      <w:r>
        <w:rPr>
          <w:rFonts w:hint="eastAsia" w:ascii="Times New Roman"/>
          <w:color w:val="auto"/>
          <w:kern w:val="2"/>
          <w:sz w:val="24"/>
        </w:rPr>
        <w:t>（2）石角污水处理厂</w:t>
      </w:r>
    </w:p>
    <w:p>
      <w:pPr>
        <w:spacing w:line="360" w:lineRule="auto"/>
        <w:ind w:firstLine="480" w:firstLineChars="200"/>
        <w:rPr>
          <w:color w:val="auto"/>
          <w:sz w:val="24"/>
        </w:rPr>
      </w:pPr>
      <w:r>
        <w:rPr>
          <w:color w:val="auto"/>
          <w:sz w:val="24"/>
        </w:rPr>
        <w:t>根据石角污水处理厂相关资料，石角污水处理厂位于清城区石角镇界牌村旁，占地面积49.2亩，规划日处理污水量达2万 m</w:t>
      </w:r>
      <w:r>
        <w:rPr>
          <w:color w:val="auto"/>
          <w:sz w:val="24"/>
          <w:vertAlign w:val="superscript"/>
        </w:rPr>
        <w:t>3</w:t>
      </w:r>
      <w:r>
        <w:rPr>
          <w:color w:val="auto"/>
          <w:sz w:val="24"/>
        </w:rPr>
        <w:t>/d，总投资2894.54万元，分两期建设。其中一期处理规模为1万m</w:t>
      </w:r>
      <w:r>
        <w:rPr>
          <w:color w:val="auto"/>
          <w:sz w:val="24"/>
          <w:vertAlign w:val="superscript"/>
        </w:rPr>
        <w:t>3</w:t>
      </w:r>
      <w:r>
        <w:rPr>
          <w:color w:val="auto"/>
          <w:sz w:val="24"/>
        </w:rPr>
        <w:t>/d，2010年已经建成运营。主要收集石角镇生活污水和工业废水，集污面积约16.72 km</w:t>
      </w:r>
      <w:r>
        <w:rPr>
          <w:color w:val="auto"/>
          <w:sz w:val="24"/>
          <w:vertAlign w:val="superscript"/>
        </w:rPr>
        <w:t>2</w:t>
      </w:r>
      <w:r>
        <w:rPr>
          <w:color w:val="auto"/>
          <w:sz w:val="24"/>
        </w:rPr>
        <w:t>（其中塘基片区3.88km</w:t>
      </w:r>
      <w:r>
        <w:rPr>
          <w:color w:val="auto"/>
          <w:sz w:val="24"/>
          <w:vertAlign w:val="superscript"/>
        </w:rPr>
        <w:t>2</w:t>
      </w:r>
      <w:r>
        <w:rPr>
          <w:color w:val="auto"/>
          <w:sz w:val="24"/>
        </w:rPr>
        <w:t>、 循环经济产业园北江片区8.29km</w:t>
      </w:r>
      <w:r>
        <w:rPr>
          <w:color w:val="auto"/>
          <w:sz w:val="24"/>
          <w:vertAlign w:val="superscript"/>
        </w:rPr>
        <w:t>2</w:t>
      </w:r>
      <w:r>
        <w:rPr>
          <w:color w:val="auto"/>
          <w:sz w:val="24"/>
        </w:rPr>
        <w:t>、界牌片区4.55km</w:t>
      </w:r>
      <w:r>
        <w:rPr>
          <w:color w:val="auto"/>
          <w:sz w:val="24"/>
          <w:vertAlign w:val="superscript"/>
        </w:rPr>
        <w:t>2</w:t>
      </w:r>
      <w:r>
        <w:rPr>
          <w:color w:val="auto"/>
          <w:sz w:val="24"/>
        </w:rPr>
        <w:t>），服务人口（包括常住人口与流动人口）约10万人。</w:t>
      </w:r>
      <w:r>
        <w:rPr>
          <w:rFonts w:hint="eastAsia"/>
          <w:color w:val="auto"/>
          <w:sz w:val="24"/>
        </w:rPr>
        <w:t>本项目位于</w:t>
      </w:r>
      <w:r>
        <w:rPr>
          <w:color w:val="auto"/>
          <w:kern w:val="0"/>
          <w:sz w:val="24"/>
        </w:rPr>
        <w:t>清远市清城区石角镇界牌新村石角工业园内</w:t>
      </w:r>
      <w:r>
        <w:rPr>
          <w:rFonts w:hint="eastAsia"/>
          <w:color w:val="auto"/>
          <w:kern w:val="0"/>
          <w:sz w:val="24"/>
        </w:rPr>
        <w:t>，属于石角镇污水处理厂的纳污范围内。</w:t>
      </w:r>
    </w:p>
    <w:p>
      <w:pPr>
        <w:spacing w:line="360" w:lineRule="auto"/>
        <w:ind w:firstLine="480" w:firstLineChars="200"/>
        <w:rPr>
          <w:color w:val="auto"/>
          <w:sz w:val="24"/>
          <w:szCs w:val="20"/>
        </w:rPr>
      </w:pPr>
      <w:r>
        <w:rPr>
          <w:color w:val="auto"/>
          <w:sz w:val="24"/>
        </w:rPr>
        <w:t>该污水处理厂采用处理工艺为鼓风曝气氧化沟工艺，其出水水质达到《城镇污水处理厂污染物排放标准》（GB18918-2002）一级 A 标准及广东省《水污染物排放限值》（DB44/26-2001）第二时段一级标准较严格者后排入沙埗溪。污水处理厂出水排入沙埗溪后汇入九曲河，最终进入珠江河网。石角污水处理厂已通过环评及验收，并正式运营。根据其环评预测结果，该污水处理厂满负荷运行情况下，尾水正常排放是不会对纳污水体水质造成明显不利影响。根据本次现状监测数据，纳污水体沙埗溪水质状况良好。目前实际进入污水处理厂的水量</w:t>
      </w:r>
      <w:r>
        <w:rPr>
          <w:color w:val="auto"/>
          <w:sz w:val="24"/>
          <w:szCs w:val="20"/>
        </w:rPr>
        <w:t>约</w:t>
      </w:r>
      <w:r>
        <w:rPr>
          <w:rFonts w:hint="eastAsia"/>
          <w:color w:val="auto"/>
          <w:sz w:val="24"/>
          <w:szCs w:val="20"/>
        </w:rPr>
        <w:t>8000</w:t>
      </w:r>
      <w:r>
        <w:rPr>
          <w:color w:val="auto"/>
          <w:sz w:val="24"/>
          <w:szCs w:val="20"/>
        </w:rPr>
        <w:t>m³/d，即其剩余量约为2000 m³/d。</w:t>
      </w:r>
    </w:p>
    <w:p>
      <w:pPr>
        <w:spacing w:line="360" w:lineRule="auto"/>
        <w:ind w:firstLine="480" w:firstLineChars="200"/>
        <w:jc w:val="left"/>
        <w:rPr>
          <w:color w:val="auto"/>
          <w:sz w:val="24"/>
        </w:rPr>
      </w:pPr>
      <w:r>
        <w:rPr>
          <w:color w:val="auto"/>
          <w:sz w:val="24"/>
        </w:rPr>
        <w:t>本项目外排废水</w:t>
      </w:r>
      <w:r>
        <w:rPr>
          <w:rFonts w:hint="eastAsia"/>
          <w:color w:val="auto"/>
          <w:sz w:val="24"/>
        </w:rPr>
        <w:t>仅有</w:t>
      </w:r>
      <w:r>
        <w:rPr>
          <w:color w:val="auto"/>
          <w:sz w:val="24"/>
        </w:rPr>
        <w:t>生活污水，排放量较小，废水水质单一，主要污染物为COD和氨氮，不含其它有毒有害污染物，因此不会对管道有特殊的腐蚀破坏等影响，也不会影响污水处理厂的进水水质。</w:t>
      </w:r>
      <w:r>
        <w:rPr>
          <w:rFonts w:hint="eastAsia"/>
          <w:color w:val="auto"/>
          <w:sz w:val="24"/>
        </w:rPr>
        <w:t>从上文分析可知，</w:t>
      </w:r>
      <w:r>
        <w:rPr>
          <w:color w:val="auto"/>
          <w:sz w:val="24"/>
        </w:rPr>
        <w:t>外排</w:t>
      </w:r>
      <w:r>
        <w:rPr>
          <w:rFonts w:hint="eastAsia"/>
          <w:color w:val="auto"/>
          <w:sz w:val="24"/>
        </w:rPr>
        <w:t>的生活污水</w:t>
      </w:r>
      <w:r>
        <w:rPr>
          <w:color w:val="auto"/>
          <w:sz w:val="24"/>
        </w:rPr>
        <w:t>经</w:t>
      </w:r>
      <w:r>
        <w:rPr>
          <w:rFonts w:hint="eastAsia"/>
          <w:color w:val="auto"/>
          <w:sz w:val="24"/>
        </w:rPr>
        <w:t>三级</w:t>
      </w:r>
      <w:r>
        <w:rPr>
          <w:color w:val="auto"/>
          <w:sz w:val="24"/>
        </w:rPr>
        <w:t>化粪池预处理后可以达到广东省地方标准《水污染物排放限值》（DB 44/26-2001）第二时段三级标准和石角污水处理厂进水水质较严者，随后排入厂区南侧的污水管网，最终汇入石角污水处理厂。</w:t>
      </w:r>
      <w:r>
        <w:rPr>
          <w:color w:val="auto"/>
          <w:sz w:val="24"/>
          <w:szCs w:val="20"/>
        </w:rPr>
        <w:t>本项目的废水排放量仅为</w:t>
      </w:r>
      <w:r>
        <w:rPr>
          <w:color w:val="auto"/>
          <w:sz w:val="24"/>
        </w:rPr>
        <w:t>2.16m³/d</w:t>
      </w:r>
      <w:r>
        <w:rPr>
          <w:color w:val="auto"/>
          <w:sz w:val="24"/>
          <w:szCs w:val="20"/>
        </w:rPr>
        <w:t>，占其剩余量的0.1％</w:t>
      </w:r>
      <w:r>
        <w:rPr>
          <w:color w:val="auto"/>
          <w:sz w:val="24"/>
        </w:rPr>
        <w:t>，所占份额</w:t>
      </w:r>
      <w:r>
        <w:rPr>
          <w:rFonts w:hint="eastAsia"/>
          <w:color w:val="auto"/>
          <w:sz w:val="24"/>
        </w:rPr>
        <w:t>极小</w:t>
      </w:r>
      <w:r>
        <w:rPr>
          <w:color w:val="auto"/>
          <w:sz w:val="24"/>
        </w:rPr>
        <w:t>，</w:t>
      </w:r>
      <w:r>
        <w:rPr>
          <w:rFonts w:hint="eastAsia"/>
          <w:color w:val="auto"/>
          <w:sz w:val="24"/>
        </w:rPr>
        <w:t>不会对</w:t>
      </w:r>
      <w:r>
        <w:rPr>
          <w:color w:val="auto"/>
          <w:sz w:val="24"/>
        </w:rPr>
        <w:t>污水处理厂运行造成较大冲击负荷，亦不会影响周边水质现状，生活污水</w:t>
      </w:r>
      <w:r>
        <w:rPr>
          <w:rFonts w:hint="eastAsia"/>
          <w:color w:val="auto"/>
          <w:sz w:val="24"/>
        </w:rPr>
        <w:t>依托</w:t>
      </w:r>
      <w:r>
        <w:rPr>
          <w:color w:val="auto"/>
          <w:sz w:val="24"/>
        </w:rPr>
        <w:t>治理措施可行。</w:t>
      </w:r>
    </w:p>
    <w:p>
      <w:pPr>
        <w:spacing w:line="360" w:lineRule="auto"/>
        <w:ind w:firstLine="480" w:firstLineChars="200"/>
        <w:rPr>
          <w:color w:val="auto"/>
          <w:sz w:val="24"/>
        </w:rPr>
      </w:pPr>
      <w:r>
        <w:rPr>
          <w:color w:val="auto"/>
          <w:sz w:val="24"/>
        </w:rPr>
        <w:t>综上所述，本项目的建设对周边水环境影响可以接受。</w:t>
      </w:r>
    </w:p>
    <w:p>
      <w:pPr>
        <w:spacing w:line="360" w:lineRule="auto"/>
        <w:outlineLvl w:val="1"/>
        <w:rPr>
          <w:b/>
          <w:color w:val="auto"/>
          <w:sz w:val="32"/>
          <w:szCs w:val="32"/>
        </w:rPr>
      </w:pPr>
      <w:bookmarkStart w:id="3193" w:name="_Toc25977"/>
      <w:bookmarkStart w:id="3194" w:name="_Toc14292"/>
      <w:r>
        <w:rPr>
          <w:rFonts w:hint="eastAsia"/>
          <w:b/>
          <w:color w:val="auto"/>
          <w:sz w:val="32"/>
          <w:szCs w:val="32"/>
        </w:rPr>
        <w:t xml:space="preserve">8.3  </w:t>
      </w:r>
      <w:r>
        <w:rPr>
          <w:b/>
          <w:color w:val="auto"/>
          <w:sz w:val="32"/>
          <w:szCs w:val="32"/>
        </w:rPr>
        <w:t>噪声污染治理措施</w:t>
      </w:r>
      <w:bookmarkStart w:id="3195" w:name="_Hlk29470068"/>
      <w:r>
        <w:rPr>
          <w:b/>
          <w:color w:val="auto"/>
          <w:sz w:val="32"/>
          <w:szCs w:val="32"/>
        </w:rPr>
        <w:t>评述</w:t>
      </w:r>
      <w:bookmarkEnd w:id="3193"/>
      <w:bookmarkEnd w:id="3194"/>
    </w:p>
    <w:bookmarkEnd w:id="3195"/>
    <w:p>
      <w:pPr>
        <w:pStyle w:val="32"/>
        <w:spacing w:line="360" w:lineRule="auto"/>
        <w:ind w:firstLine="480" w:firstLineChars="200"/>
        <w:rPr>
          <w:color w:val="auto"/>
        </w:rPr>
      </w:pPr>
      <w:r>
        <w:rPr>
          <w:color w:val="auto"/>
        </w:rPr>
        <w:t>项目在生产过程中，产生的噪声主要来源于个机械设备，根据厂家提供的资料及类比同类型企业，项目各机械设备产生的噪声值范围为</w:t>
      </w:r>
      <w:r>
        <w:rPr>
          <w:rFonts w:hint="eastAsia"/>
          <w:color w:val="auto"/>
        </w:rPr>
        <w:t>50</w:t>
      </w:r>
      <w:r>
        <w:rPr>
          <w:color w:val="auto"/>
        </w:rPr>
        <w:t>~</w:t>
      </w:r>
      <w:r>
        <w:rPr>
          <w:rFonts w:hint="eastAsia"/>
          <w:color w:val="auto"/>
        </w:rPr>
        <w:t>80</w:t>
      </w:r>
      <w:r>
        <w:rPr>
          <w:color w:val="auto"/>
        </w:rPr>
        <w:t>dB（A）。为了进一步降低生产过程中产生的噪声，确保项目投产后厂界噪声持续达标，项目拟使用以下防治措施：</w:t>
      </w:r>
    </w:p>
    <w:p>
      <w:pPr>
        <w:pStyle w:val="32"/>
        <w:spacing w:line="360" w:lineRule="auto"/>
        <w:ind w:firstLine="480" w:firstLineChars="200"/>
        <w:rPr>
          <w:color w:val="auto"/>
        </w:rPr>
      </w:pPr>
      <w:r>
        <w:rPr>
          <w:color w:val="auto"/>
        </w:rPr>
        <w:t>1、源头控制</w:t>
      </w:r>
    </w:p>
    <w:p>
      <w:pPr>
        <w:pStyle w:val="32"/>
        <w:spacing w:line="360" w:lineRule="auto"/>
        <w:ind w:firstLine="480" w:firstLineChars="200"/>
        <w:rPr>
          <w:color w:val="auto"/>
        </w:rPr>
      </w:pPr>
      <w:r>
        <w:rPr>
          <w:color w:val="auto"/>
        </w:rPr>
        <w:t>对于生产装置，设计时应尽可能选择先进可靠的低噪音设备、降低噪声源声压等级是工业噪声防治的第一步，从源头上控制是除噪最直接、最有效、最经济、最根本的手段之一。项目拟选用螺杆式空压机等低噪声的机器设备，从源头上减少噪声的产生。</w:t>
      </w:r>
    </w:p>
    <w:p>
      <w:pPr>
        <w:pStyle w:val="32"/>
        <w:spacing w:line="360" w:lineRule="auto"/>
        <w:ind w:firstLine="480" w:firstLineChars="200"/>
        <w:rPr>
          <w:color w:val="auto"/>
        </w:rPr>
      </w:pPr>
      <w:r>
        <w:rPr>
          <w:color w:val="auto"/>
        </w:rPr>
        <w:t>2、合理布局</w:t>
      </w:r>
    </w:p>
    <w:p>
      <w:pPr>
        <w:pStyle w:val="32"/>
        <w:spacing w:line="360" w:lineRule="auto"/>
        <w:ind w:firstLine="480" w:firstLineChars="200"/>
        <w:rPr>
          <w:color w:val="auto"/>
        </w:rPr>
      </w:pPr>
      <w:r>
        <w:rPr>
          <w:color w:val="auto"/>
        </w:rPr>
        <w:t>合理布局，将生产设备分散布置在项目各车间，使用墙体隔开，甚至将其放置在独立的房间内，起到隔声作用。</w:t>
      </w:r>
    </w:p>
    <w:p>
      <w:pPr>
        <w:pStyle w:val="32"/>
        <w:spacing w:line="360" w:lineRule="auto"/>
        <w:ind w:firstLine="480" w:firstLineChars="200"/>
        <w:rPr>
          <w:color w:val="auto"/>
        </w:rPr>
      </w:pPr>
      <w:r>
        <w:rPr>
          <w:color w:val="auto"/>
        </w:rPr>
        <w:t>3、配套减振隔噪设施</w:t>
      </w:r>
    </w:p>
    <w:p>
      <w:pPr>
        <w:pStyle w:val="32"/>
        <w:spacing w:line="360" w:lineRule="auto"/>
        <w:ind w:firstLine="480" w:firstLineChars="200"/>
        <w:rPr>
          <w:color w:val="auto"/>
        </w:rPr>
      </w:pPr>
      <w:r>
        <w:rPr>
          <w:color w:val="auto"/>
        </w:rPr>
        <w:t>（1）对各种风机等产生气流噪声的设备，应在气体进出口部位安装适当的消声器，消声器的选择应注意噪声源的频率特性、设备的工艺要求和使用环境：对具有中、高频特性的风机，应采用阻性消声器，而对于具有低、中频特性的空压机噪声，则宜安装抗性消声器。</w:t>
      </w:r>
    </w:p>
    <w:p>
      <w:pPr>
        <w:pStyle w:val="32"/>
        <w:spacing w:line="360" w:lineRule="auto"/>
        <w:ind w:firstLine="480" w:firstLineChars="200"/>
        <w:rPr>
          <w:color w:val="auto"/>
        </w:rPr>
      </w:pPr>
      <w:r>
        <w:rPr>
          <w:color w:val="auto"/>
        </w:rPr>
        <w:t>（2）对泵类等因转动、摩擦产生噪声的设备，需要考虑减振和隔振措施，安装隔振机座、弹簧减振器等。项目拟为开炼机、密炼机、平板硫化成型机、挤出机、螺杆式空压机等震动较大的设备配置减振底座和减振垫。</w:t>
      </w:r>
    </w:p>
    <w:p>
      <w:pPr>
        <w:pStyle w:val="32"/>
        <w:spacing w:line="360" w:lineRule="auto"/>
        <w:ind w:firstLine="480" w:firstLineChars="200"/>
        <w:rPr>
          <w:color w:val="auto"/>
        </w:rPr>
      </w:pPr>
      <w:r>
        <w:rPr>
          <w:color w:val="auto"/>
        </w:rPr>
        <w:t>（3）设备与管道应采用橡胶材料等软性连接，避免用钢性接头。并合理地固定水管和生产车间内风管，减少管路的震动。</w:t>
      </w:r>
    </w:p>
    <w:p>
      <w:pPr>
        <w:pStyle w:val="32"/>
        <w:spacing w:line="360" w:lineRule="auto"/>
        <w:ind w:firstLine="480" w:firstLineChars="200"/>
        <w:rPr>
          <w:color w:val="auto"/>
        </w:rPr>
      </w:pPr>
      <w:r>
        <w:rPr>
          <w:color w:val="auto"/>
        </w:rPr>
        <w:t>4、使用隔声设施</w:t>
      </w:r>
    </w:p>
    <w:p>
      <w:pPr>
        <w:pStyle w:val="32"/>
        <w:spacing w:line="360" w:lineRule="auto"/>
        <w:ind w:firstLine="480" w:firstLineChars="200"/>
        <w:rPr>
          <w:color w:val="auto"/>
        </w:rPr>
      </w:pPr>
      <w:r>
        <w:rPr>
          <w:color w:val="auto"/>
        </w:rPr>
        <w:t>项目门窗使用隔声性能良好的产品，以减小生产噪声的传播。在噪声源生产车间上方安装吸声吊顶，降低建筑物内部声能密度，减少对外部环境的噪声影响。</w:t>
      </w:r>
    </w:p>
    <w:p>
      <w:pPr>
        <w:pStyle w:val="32"/>
        <w:spacing w:line="360" w:lineRule="auto"/>
        <w:ind w:firstLine="480" w:firstLineChars="200"/>
        <w:rPr>
          <w:color w:val="auto"/>
        </w:rPr>
      </w:pPr>
      <w:r>
        <w:rPr>
          <w:color w:val="auto"/>
        </w:rPr>
        <w:t>5、加强个人防护</w:t>
      </w:r>
    </w:p>
    <w:p>
      <w:pPr>
        <w:pStyle w:val="32"/>
        <w:spacing w:line="360" w:lineRule="auto"/>
        <w:ind w:firstLine="480" w:firstLineChars="200"/>
        <w:rPr>
          <w:color w:val="auto"/>
        </w:rPr>
      </w:pPr>
      <w:r>
        <w:rPr>
          <w:color w:val="auto"/>
        </w:rPr>
        <w:t>除采取以上防治措施外，工程还应充分重视操作人员的劳动保护，为其发放耳塞、耳罩，并设置操作人员值班室，避免操作人员长期处于高噪声环境中，从噪声受体保护方面减轻噪声对操作人员的直接影响。</w:t>
      </w:r>
    </w:p>
    <w:p>
      <w:pPr>
        <w:pStyle w:val="32"/>
        <w:spacing w:line="360" w:lineRule="auto"/>
        <w:ind w:firstLine="480" w:firstLineChars="200"/>
        <w:rPr>
          <w:color w:val="auto"/>
        </w:rPr>
      </w:pPr>
      <w:r>
        <w:rPr>
          <w:color w:val="auto"/>
        </w:rPr>
        <w:t>6、加强管理</w:t>
      </w:r>
    </w:p>
    <w:p>
      <w:pPr>
        <w:pStyle w:val="32"/>
        <w:spacing w:line="360" w:lineRule="auto"/>
        <w:ind w:firstLine="480" w:firstLineChars="200"/>
        <w:rPr>
          <w:color w:val="auto"/>
        </w:rPr>
      </w:pPr>
      <w:r>
        <w:rPr>
          <w:color w:val="auto"/>
        </w:rPr>
        <w:t>常尽可能必须关闭门窗生产；加强宣传，做到文明生产，禁止工作人员喧哗；为减轻运输车辆对区域声环境的影响，建议厂方对运输车辆加强管理和维护，保持车辆良好工况，运输车辆经过周围噪声敏感区时，应该限制车速，禁鸣喇叭，尽量避免夜间运输；加强设备维护，避免设备故障异常噪声产生。</w:t>
      </w:r>
    </w:p>
    <w:p>
      <w:pPr>
        <w:pStyle w:val="32"/>
        <w:spacing w:line="360" w:lineRule="auto"/>
        <w:ind w:firstLine="480" w:firstLineChars="200"/>
        <w:rPr>
          <w:color w:val="auto"/>
        </w:rPr>
      </w:pPr>
      <w:r>
        <w:rPr>
          <w:color w:val="auto"/>
        </w:rPr>
        <w:t>在采取相应的措施后，本项目厂界噪声</w:t>
      </w:r>
      <w:r>
        <w:rPr>
          <w:rFonts w:hint="eastAsia"/>
          <w:color w:val="auto"/>
        </w:rPr>
        <w:t>可</w:t>
      </w:r>
      <w:r>
        <w:rPr>
          <w:color w:val="auto"/>
        </w:rPr>
        <w:t>达到《工业企业厂界环境噪声排放标准》（GB12348-2008）中的3类标准要求，对周围环境影响很小。拟采取的措施符合噪声防治原则，技术也比较成熟，因此本环评认为本项目拟采取的噪声污染防治措施是可行的。</w:t>
      </w:r>
    </w:p>
    <w:p>
      <w:pPr>
        <w:spacing w:line="360" w:lineRule="auto"/>
        <w:outlineLvl w:val="1"/>
        <w:rPr>
          <w:b/>
          <w:color w:val="auto"/>
          <w:sz w:val="32"/>
          <w:szCs w:val="32"/>
        </w:rPr>
      </w:pPr>
      <w:bookmarkStart w:id="3196" w:name="_Toc14963"/>
      <w:bookmarkStart w:id="3197" w:name="_Toc5751"/>
      <w:r>
        <w:rPr>
          <w:rFonts w:hint="eastAsia"/>
          <w:b/>
          <w:color w:val="auto"/>
          <w:sz w:val="32"/>
          <w:szCs w:val="32"/>
        </w:rPr>
        <w:t xml:space="preserve">8.4  </w:t>
      </w:r>
      <w:r>
        <w:rPr>
          <w:b/>
          <w:color w:val="auto"/>
          <w:sz w:val="32"/>
          <w:szCs w:val="32"/>
        </w:rPr>
        <w:t>固废污染治理措施评述</w:t>
      </w:r>
      <w:bookmarkEnd w:id="3196"/>
      <w:bookmarkEnd w:id="3197"/>
    </w:p>
    <w:p>
      <w:pPr>
        <w:spacing w:line="360" w:lineRule="auto"/>
        <w:ind w:firstLine="480" w:firstLineChars="200"/>
        <w:rPr>
          <w:color w:val="auto"/>
          <w:sz w:val="24"/>
        </w:rPr>
      </w:pPr>
      <w:r>
        <w:rPr>
          <w:color w:val="auto"/>
          <w:sz w:val="24"/>
        </w:rPr>
        <w:t>本项目在生产运营过程中产生的一般工业固废包括员工垃圾、</w:t>
      </w:r>
      <w:r>
        <w:rPr>
          <w:rFonts w:hint="eastAsia"/>
          <w:color w:val="auto"/>
          <w:sz w:val="24"/>
        </w:rPr>
        <w:t>废塑料膜、</w:t>
      </w:r>
      <w:r>
        <w:rPr>
          <w:color w:val="auto"/>
          <w:sz w:val="24"/>
        </w:rPr>
        <w:t>包装废弃物、</w:t>
      </w:r>
      <w:r>
        <w:rPr>
          <w:rFonts w:hint="eastAsia"/>
          <w:color w:val="auto"/>
          <w:sz w:val="24"/>
        </w:rPr>
        <w:t>化粪池污泥、更换的布袋。</w:t>
      </w:r>
      <w:r>
        <w:rPr>
          <w:color w:val="auto"/>
          <w:sz w:val="24"/>
        </w:rPr>
        <w:t>危险废物包括含油抹布和手套、</w:t>
      </w:r>
      <w:r>
        <w:rPr>
          <w:rFonts w:hint="eastAsia"/>
          <w:color w:val="auto"/>
          <w:sz w:val="24"/>
        </w:rPr>
        <w:t>废矿物油、空油桶、废UV灯管、废活性炭、截留的粉尘和截留的沥青油</w:t>
      </w:r>
      <w:r>
        <w:rPr>
          <w:color w:val="auto"/>
          <w:sz w:val="24"/>
        </w:rPr>
        <w:t>。</w:t>
      </w:r>
    </w:p>
    <w:p>
      <w:pPr>
        <w:spacing w:line="360" w:lineRule="auto"/>
        <w:ind w:firstLine="480" w:firstLineChars="200"/>
        <w:rPr>
          <w:color w:val="auto"/>
          <w:sz w:val="24"/>
        </w:rPr>
      </w:pPr>
      <w:r>
        <w:rPr>
          <w:color w:val="auto"/>
          <w:sz w:val="24"/>
        </w:rPr>
        <w:t>员工生活垃圾定期收集后交由当地市政环卫部门处理；</w:t>
      </w:r>
      <w:r>
        <w:rPr>
          <w:rFonts w:hint="eastAsia"/>
          <w:color w:val="auto"/>
          <w:sz w:val="24"/>
        </w:rPr>
        <w:t>化粪池污泥交专业单位使用吸粪车定期清掏。废塑料膜、</w:t>
      </w:r>
      <w:r>
        <w:rPr>
          <w:color w:val="auto"/>
          <w:sz w:val="24"/>
        </w:rPr>
        <w:t>包装废弃物</w:t>
      </w:r>
      <w:r>
        <w:rPr>
          <w:rFonts w:hint="eastAsia"/>
          <w:color w:val="auto"/>
          <w:sz w:val="24"/>
        </w:rPr>
        <w:t>和更换的布袋</w:t>
      </w:r>
      <w:r>
        <w:rPr>
          <w:color w:val="auto"/>
          <w:sz w:val="24"/>
        </w:rPr>
        <w:t>拟将其收集后外售给回收单位</w:t>
      </w:r>
      <w:r>
        <w:rPr>
          <w:rFonts w:hint="eastAsia"/>
          <w:color w:val="auto"/>
          <w:sz w:val="24"/>
        </w:rPr>
        <w:t>。</w:t>
      </w:r>
    </w:p>
    <w:p>
      <w:pPr>
        <w:spacing w:line="360" w:lineRule="auto"/>
        <w:ind w:firstLine="480" w:firstLineChars="200"/>
        <w:rPr>
          <w:color w:val="auto"/>
        </w:rPr>
      </w:pPr>
      <w:r>
        <w:rPr>
          <w:rFonts w:hint="eastAsia"/>
          <w:color w:val="auto"/>
          <w:sz w:val="24"/>
        </w:rPr>
        <w:t>截留的粉尘和截留的沥青油</w:t>
      </w:r>
      <w:r>
        <w:rPr>
          <w:color w:val="auto"/>
          <w:sz w:val="24"/>
        </w:rPr>
        <w:t>属于本项目的原料，收集后回用于生产。废含油抹布和手套、</w:t>
      </w:r>
      <w:r>
        <w:rPr>
          <w:rFonts w:hint="eastAsia"/>
          <w:color w:val="auto"/>
          <w:sz w:val="24"/>
        </w:rPr>
        <w:t>废矿物油</w:t>
      </w:r>
      <w:r>
        <w:rPr>
          <w:color w:val="auto"/>
          <w:sz w:val="24"/>
        </w:rPr>
        <w:t>与</w:t>
      </w:r>
      <w:r>
        <w:rPr>
          <w:rFonts w:hint="eastAsia"/>
          <w:color w:val="auto"/>
          <w:sz w:val="24"/>
        </w:rPr>
        <w:t>空油桶、废UV灯管、废活性炭</w:t>
      </w:r>
      <w:r>
        <w:rPr>
          <w:color w:val="auto"/>
          <w:sz w:val="24"/>
        </w:rPr>
        <w:t>交由有资质单位进行处置。</w:t>
      </w:r>
    </w:p>
    <w:p>
      <w:pPr>
        <w:spacing w:line="360" w:lineRule="auto"/>
        <w:ind w:firstLine="482" w:firstLineChars="200"/>
        <w:rPr>
          <w:b/>
          <w:bCs/>
          <w:color w:val="auto"/>
          <w:sz w:val="24"/>
        </w:rPr>
      </w:pPr>
      <w:r>
        <w:rPr>
          <w:b/>
          <w:bCs/>
          <w:color w:val="auto"/>
          <w:sz w:val="24"/>
        </w:rPr>
        <w:t>1、一般固体废物贮存</w:t>
      </w:r>
    </w:p>
    <w:p>
      <w:pPr>
        <w:spacing w:line="360" w:lineRule="auto"/>
        <w:ind w:firstLine="480" w:firstLineChars="200"/>
        <w:jc w:val="left"/>
        <w:rPr>
          <w:color w:val="auto"/>
          <w:kern w:val="0"/>
          <w:sz w:val="24"/>
        </w:rPr>
      </w:pPr>
      <w:r>
        <w:rPr>
          <w:color w:val="auto"/>
          <w:kern w:val="0"/>
          <w:sz w:val="24"/>
        </w:rPr>
        <w:t>项目的</w:t>
      </w:r>
      <w:r>
        <w:rPr>
          <w:color w:val="auto"/>
          <w:sz w:val="24"/>
        </w:rPr>
        <w:t>一般固体废弃物贮存将按《一般工业固体废物贮存、处置场污染物控制标准》（GB18599-2001），和《&lt;一般工业固体废物贮存、处置场污染控制标准&gt;（GB18599-2001）等3项国家污染物控制标准修改单》（环境保护部公告2013年第36号）执行。在收集、储存废过程中，应注意：</w:t>
      </w:r>
    </w:p>
    <w:p>
      <w:pPr>
        <w:spacing w:line="360" w:lineRule="auto"/>
        <w:ind w:firstLine="480" w:firstLineChars="200"/>
        <w:jc w:val="left"/>
        <w:rPr>
          <w:color w:val="auto"/>
          <w:sz w:val="24"/>
        </w:rPr>
      </w:pPr>
      <w:r>
        <w:rPr>
          <w:color w:val="auto"/>
          <w:sz w:val="24"/>
        </w:rPr>
        <w:t>1、对固体废物实行从产生、收集、运输、贮存直至最终处理实行全过程管理，加强固体废物运输过程的事故风险防范，按照有关法律、法规的要求，对固体废弃物全过程管理应报当地生态环境主管部门等批准。</w:t>
      </w:r>
    </w:p>
    <w:p>
      <w:pPr>
        <w:spacing w:line="360" w:lineRule="auto"/>
        <w:ind w:firstLine="480" w:firstLineChars="200"/>
        <w:jc w:val="left"/>
        <w:rPr>
          <w:color w:val="auto"/>
          <w:kern w:val="0"/>
          <w:sz w:val="24"/>
        </w:rPr>
      </w:pPr>
      <w:r>
        <w:rPr>
          <w:color w:val="auto"/>
          <w:sz w:val="24"/>
        </w:rPr>
        <w:t>2、</w:t>
      </w:r>
      <w:r>
        <w:rPr>
          <w:color w:val="auto"/>
          <w:kern w:val="0"/>
          <w:sz w:val="24"/>
        </w:rPr>
        <w:t>在各车间设置垃圾箱，将生活垃圾分区、分点收集，并由环卫部门</w:t>
      </w:r>
      <w:r>
        <w:rPr>
          <w:color w:val="auto"/>
          <w:sz w:val="24"/>
        </w:rPr>
        <w:t>及时</w:t>
      </w:r>
      <w:r>
        <w:rPr>
          <w:color w:val="auto"/>
          <w:kern w:val="0"/>
          <w:sz w:val="24"/>
        </w:rPr>
        <w:t>清运至生活垃圾处理场进行集中安全卫生处置</w:t>
      </w:r>
      <w:r>
        <w:rPr>
          <w:color w:val="auto"/>
          <w:sz w:val="24"/>
        </w:rPr>
        <w:t>，避免产生二次污染。</w:t>
      </w:r>
    </w:p>
    <w:p>
      <w:pPr>
        <w:spacing w:line="360" w:lineRule="auto"/>
        <w:ind w:firstLine="480" w:firstLineChars="200"/>
        <w:jc w:val="left"/>
        <w:rPr>
          <w:color w:val="auto"/>
          <w:sz w:val="24"/>
        </w:rPr>
      </w:pPr>
      <w:r>
        <w:rPr>
          <w:color w:val="auto"/>
          <w:sz w:val="24"/>
        </w:rPr>
        <w:t>3、加强固体废物规范化管理，固体废物分类定点堆放，堆放场所远离办公区和周围环境敏感点。为了减少雨水侵蚀造成的二次污染，临时堆放场地要加盖顶棚。尽可能按时清理外售，避免固体废物的大量堆积，占据厂区空间、滋生蚊虫、老鼠等，使环境恶化。</w:t>
      </w:r>
    </w:p>
    <w:p>
      <w:pPr>
        <w:spacing w:line="360" w:lineRule="auto"/>
        <w:ind w:firstLine="480" w:firstLineChars="200"/>
        <w:jc w:val="left"/>
        <w:rPr>
          <w:color w:val="auto"/>
          <w:sz w:val="24"/>
        </w:rPr>
      </w:pPr>
      <w:r>
        <w:rPr>
          <w:color w:val="auto"/>
          <w:sz w:val="24"/>
        </w:rPr>
        <w:t>按上述要求执行后，项目产生的一般固体废物可实现资源化利用，处置率达100%，不对外界环境排放，对周边环境影响不大，可以接受。</w:t>
      </w:r>
    </w:p>
    <w:p>
      <w:pPr>
        <w:spacing w:line="360" w:lineRule="auto"/>
        <w:ind w:firstLine="482" w:firstLineChars="200"/>
        <w:rPr>
          <w:b/>
          <w:bCs/>
          <w:color w:val="auto"/>
          <w:sz w:val="24"/>
        </w:rPr>
      </w:pPr>
      <w:r>
        <w:rPr>
          <w:b/>
          <w:bCs/>
          <w:color w:val="auto"/>
          <w:sz w:val="24"/>
        </w:rPr>
        <w:t>2、危险废物贮存</w:t>
      </w:r>
    </w:p>
    <w:p>
      <w:pPr>
        <w:spacing w:line="360" w:lineRule="auto"/>
        <w:ind w:firstLine="480" w:firstLineChars="200"/>
        <w:rPr>
          <w:color w:val="auto"/>
          <w:sz w:val="24"/>
        </w:rPr>
      </w:pPr>
      <w:r>
        <w:rPr>
          <w:color w:val="auto"/>
          <w:sz w:val="24"/>
        </w:rPr>
        <w:t>本项目产生的危险废物主要为废含油抹布和手套、</w:t>
      </w:r>
      <w:r>
        <w:rPr>
          <w:rFonts w:hint="eastAsia"/>
          <w:color w:val="auto"/>
          <w:sz w:val="24"/>
        </w:rPr>
        <w:t>废矿物油</w:t>
      </w:r>
      <w:r>
        <w:rPr>
          <w:color w:val="auto"/>
          <w:sz w:val="24"/>
        </w:rPr>
        <w:t>与</w:t>
      </w:r>
      <w:r>
        <w:rPr>
          <w:rFonts w:hint="eastAsia"/>
          <w:color w:val="auto"/>
          <w:sz w:val="24"/>
        </w:rPr>
        <w:t>空油桶</w:t>
      </w:r>
      <w:r>
        <w:rPr>
          <w:color w:val="auto"/>
          <w:sz w:val="24"/>
        </w:rPr>
        <w:t>。为防止危险废物在收集、转移、暂存过程流失，对危险废物的收集、储存、转运和处置，需</w:t>
      </w:r>
      <w:bookmarkStart w:id="3198" w:name="_Hlk29067623"/>
      <w:r>
        <w:rPr>
          <w:color w:val="auto"/>
          <w:sz w:val="24"/>
        </w:rPr>
        <w:t>严格按照《危险废物收集贮存运输技术规范》和《危险废物贮存污染控制标准》执行相关措施。</w:t>
      </w:r>
      <w:bookmarkEnd w:id="3198"/>
    </w:p>
    <w:p>
      <w:pPr>
        <w:spacing w:line="360" w:lineRule="auto"/>
        <w:ind w:firstLine="480" w:firstLineChars="200"/>
        <w:rPr>
          <w:color w:val="auto"/>
          <w:sz w:val="24"/>
        </w:rPr>
      </w:pPr>
      <w:r>
        <w:rPr>
          <w:color w:val="auto"/>
          <w:sz w:val="24"/>
        </w:rPr>
        <w:t xml:space="preserve">此外，根据《危险废物收集贮存运输技术规范》（HJ 2025-2012）的相关要求，严格组织收集、贮存和运输。 </w:t>
      </w:r>
    </w:p>
    <w:p>
      <w:pPr>
        <w:spacing w:line="360" w:lineRule="auto"/>
        <w:ind w:firstLine="480" w:firstLineChars="200"/>
        <w:rPr>
          <w:color w:val="auto"/>
          <w:sz w:val="24"/>
        </w:rPr>
      </w:pPr>
      <w:r>
        <w:rPr>
          <w:color w:val="auto"/>
          <w:sz w:val="24"/>
        </w:rPr>
        <w:t xml:space="preserve">①危废的收集的要求 </w:t>
      </w:r>
    </w:p>
    <w:p>
      <w:pPr>
        <w:spacing w:line="360" w:lineRule="auto"/>
        <w:ind w:firstLine="480" w:firstLineChars="200"/>
        <w:rPr>
          <w:color w:val="auto"/>
          <w:sz w:val="24"/>
        </w:rPr>
      </w:pPr>
      <w:r>
        <w:rPr>
          <w:color w:val="auto"/>
          <w:sz w:val="24"/>
        </w:rPr>
        <w:t xml:space="preserve">1）性质类似的废物可收集到同一容器中，性质不相容的危险废物不应混合包装； </w:t>
      </w:r>
    </w:p>
    <w:p>
      <w:pPr>
        <w:spacing w:line="360" w:lineRule="auto"/>
        <w:ind w:firstLine="480" w:firstLineChars="200"/>
        <w:rPr>
          <w:color w:val="auto"/>
          <w:sz w:val="24"/>
        </w:rPr>
      </w:pPr>
      <w:r>
        <w:rPr>
          <w:color w:val="auto"/>
          <w:sz w:val="24"/>
        </w:rPr>
        <w:t xml:space="preserve">2）危险废物包装应能有效隔断危险废物迁移扩散途径，并达到防渗、防漏要求； </w:t>
      </w:r>
    </w:p>
    <w:p>
      <w:pPr>
        <w:spacing w:line="360" w:lineRule="auto"/>
        <w:ind w:firstLine="480" w:firstLineChars="200"/>
        <w:rPr>
          <w:color w:val="auto"/>
          <w:sz w:val="24"/>
        </w:rPr>
      </w:pPr>
      <w:r>
        <w:rPr>
          <w:color w:val="auto"/>
          <w:sz w:val="24"/>
        </w:rPr>
        <w:t xml:space="preserve">3）在危险废物的收集和转运过程中，应采取相应的安全防护和污染防治措施，包括防爆、防火、防泄露、防风、防雨或其它防止污染环境的措施； </w:t>
      </w:r>
    </w:p>
    <w:p>
      <w:pPr>
        <w:spacing w:line="360" w:lineRule="auto"/>
        <w:ind w:firstLine="480" w:firstLineChars="200"/>
        <w:rPr>
          <w:color w:val="auto"/>
          <w:sz w:val="24"/>
        </w:rPr>
      </w:pPr>
      <w:r>
        <w:rPr>
          <w:color w:val="auto"/>
          <w:sz w:val="24"/>
        </w:rPr>
        <w:t xml:space="preserve">4）危险废物内部转运应综合考虑厂区的实际情况确定转运路线，尽量避开办公区和生活区； </w:t>
      </w:r>
    </w:p>
    <w:p>
      <w:pPr>
        <w:spacing w:line="360" w:lineRule="auto"/>
        <w:ind w:firstLine="480" w:firstLineChars="200"/>
        <w:rPr>
          <w:color w:val="auto"/>
          <w:sz w:val="24"/>
        </w:rPr>
      </w:pPr>
      <w:r>
        <w:rPr>
          <w:color w:val="auto"/>
          <w:sz w:val="24"/>
        </w:rPr>
        <w:t xml:space="preserve">5）危险废物内部转运结束后，应对转运路线进行检查和清理，确保无危险废物遗失在转运路线上，并对转运工具进行清洗； </w:t>
      </w:r>
    </w:p>
    <w:p>
      <w:pPr>
        <w:spacing w:line="360" w:lineRule="auto"/>
        <w:ind w:firstLine="480" w:firstLineChars="200"/>
        <w:rPr>
          <w:color w:val="auto"/>
          <w:sz w:val="24"/>
        </w:rPr>
      </w:pPr>
      <w:r>
        <w:rPr>
          <w:color w:val="auto"/>
          <w:sz w:val="24"/>
        </w:rPr>
        <w:t>6）收集过危险废物的容器、设备、设施、场所及其它物品转作它用时，应消除污</w:t>
      </w:r>
    </w:p>
    <w:p>
      <w:pPr>
        <w:spacing w:line="360" w:lineRule="auto"/>
        <w:rPr>
          <w:color w:val="auto"/>
          <w:sz w:val="24"/>
        </w:rPr>
      </w:pPr>
      <w:r>
        <w:rPr>
          <w:color w:val="auto"/>
          <w:sz w:val="24"/>
        </w:rPr>
        <w:t xml:space="preserve">染，确保其使用安全。 </w:t>
      </w:r>
    </w:p>
    <w:p>
      <w:pPr>
        <w:spacing w:line="360" w:lineRule="auto"/>
        <w:ind w:firstLine="480" w:firstLineChars="200"/>
        <w:rPr>
          <w:color w:val="auto"/>
          <w:sz w:val="24"/>
        </w:rPr>
      </w:pPr>
      <w:r>
        <w:rPr>
          <w:color w:val="auto"/>
          <w:sz w:val="24"/>
        </w:rPr>
        <w:t xml:space="preserve">②危废的贮存的要求 </w:t>
      </w:r>
    </w:p>
    <w:p>
      <w:pPr>
        <w:spacing w:line="360" w:lineRule="auto"/>
        <w:ind w:firstLine="480" w:firstLineChars="200"/>
        <w:rPr>
          <w:color w:val="auto"/>
          <w:sz w:val="24"/>
        </w:rPr>
      </w:pPr>
      <w:bookmarkStart w:id="3199" w:name="_Hlk29067692"/>
      <w:r>
        <w:rPr>
          <w:rFonts w:hint="eastAsia"/>
          <w:color w:val="auto"/>
          <w:sz w:val="24"/>
        </w:rPr>
        <w:t>废矿物油</w:t>
      </w:r>
      <w:r>
        <w:rPr>
          <w:color w:val="auto"/>
          <w:sz w:val="24"/>
        </w:rPr>
        <w:t>采用防渗漏的储油桶集中收集，并与废油桶一起存放在危废暂存间内，定期外运至有资质的危废处置单位进行处置。废含油抹布和手套一同储存于危废暂存间内，定期外运至有资质的危废处置单位进行处置。</w:t>
      </w:r>
      <w:bookmarkEnd w:id="3199"/>
    </w:p>
    <w:p>
      <w:pPr>
        <w:spacing w:line="360" w:lineRule="auto"/>
        <w:ind w:firstLine="480" w:firstLineChars="200"/>
        <w:rPr>
          <w:color w:val="auto"/>
          <w:sz w:val="24"/>
        </w:rPr>
      </w:pPr>
      <w:r>
        <w:rPr>
          <w:color w:val="auto"/>
          <w:sz w:val="24"/>
        </w:rPr>
        <w:t xml:space="preserve">危废的贮存条件应满足《危险废物贮存污染控制标准》（GB18597-2001）及其2013年修改单的规定。危险废物贮存单位应建立危险废物贮存的台帐制度，危险废物交接应认真执行《危险废物转移联单管理办法》和《危险废物转移联单制度》，明确危险废物的数量、性质及组分等。危险废物的临时贮存应满足以下要求： </w:t>
      </w:r>
    </w:p>
    <w:p>
      <w:pPr>
        <w:spacing w:line="360" w:lineRule="auto"/>
        <w:ind w:firstLine="480" w:firstLineChars="200"/>
        <w:rPr>
          <w:color w:val="auto"/>
          <w:sz w:val="24"/>
        </w:rPr>
      </w:pPr>
      <w:r>
        <w:rPr>
          <w:color w:val="auto"/>
          <w:sz w:val="24"/>
        </w:rPr>
        <w:t xml:space="preserve">1）临时堆放场地面硬化，设顶棚和围墙，达到不扬散、不流失、不渗漏的要求。 </w:t>
      </w:r>
    </w:p>
    <w:p>
      <w:pPr>
        <w:spacing w:line="360" w:lineRule="auto"/>
        <w:ind w:firstLine="480" w:firstLineChars="200"/>
        <w:rPr>
          <w:color w:val="auto"/>
          <w:sz w:val="24"/>
        </w:rPr>
      </w:pPr>
      <w:r>
        <w:rPr>
          <w:color w:val="auto"/>
          <w:sz w:val="24"/>
        </w:rPr>
        <w:t xml:space="preserve">2）防止雨水径流进入贮存、处置场内，地周边设导渠。防止雨水径流进入贮存、处置场内，地周边设导渠。 </w:t>
      </w:r>
    </w:p>
    <w:p>
      <w:pPr>
        <w:spacing w:line="360" w:lineRule="auto"/>
        <w:ind w:firstLine="480" w:firstLineChars="200"/>
        <w:rPr>
          <w:color w:val="auto"/>
          <w:sz w:val="24"/>
        </w:rPr>
      </w:pPr>
      <w:r>
        <w:rPr>
          <w:color w:val="auto"/>
          <w:sz w:val="24"/>
        </w:rPr>
        <w:t xml:space="preserve">3）设计渗滤液集排水施。 </w:t>
      </w:r>
    </w:p>
    <w:p>
      <w:pPr>
        <w:spacing w:line="360" w:lineRule="auto"/>
        <w:ind w:firstLine="480" w:firstLineChars="200"/>
        <w:rPr>
          <w:color w:val="auto"/>
          <w:sz w:val="24"/>
        </w:rPr>
      </w:pPr>
      <w:r>
        <w:rPr>
          <w:color w:val="auto"/>
          <w:sz w:val="24"/>
        </w:rPr>
        <w:t>4）按GB15562.2</w:t>
      </w:r>
      <w:bookmarkStart w:id="3200" w:name="_Hlk29069659"/>
      <w:r>
        <w:rPr>
          <w:color w:val="auto"/>
          <w:sz w:val="24"/>
        </w:rPr>
        <w:t>设置环境保护图形标志</w:t>
      </w:r>
      <w:bookmarkEnd w:id="3200"/>
      <w:r>
        <w:rPr>
          <w:color w:val="auto"/>
          <w:sz w:val="24"/>
        </w:rPr>
        <w:t xml:space="preserve">。 </w:t>
      </w:r>
    </w:p>
    <w:p>
      <w:pPr>
        <w:spacing w:line="360" w:lineRule="auto"/>
        <w:ind w:firstLine="480" w:firstLineChars="200"/>
        <w:rPr>
          <w:color w:val="auto"/>
          <w:sz w:val="24"/>
        </w:rPr>
      </w:pPr>
      <w:r>
        <w:rPr>
          <w:color w:val="auto"/>
          <w:sz w:val="24"/>
        </w:rPr>
        <w:t xml:space="preserve">5）建立档案制度，详细记录入场的固体废物种类和数量等信息长期保存，供随时查阅。 </w:t>
      </w:r>
    </w:p>
    <w:p>
      <w:pPr>
        <w:spacing w:line="360" w:lineRule="auto"/>
        <w:ind w:firstLine="480" w:firstLineChars="200"/>
        <w:rPr>
          <w:color w:val="auto"/>
          <w:sz w:val="24"/>
        </w:rPr>
      </w:pPr>
      <w:r>
        <w:rPr>
          <w:color w:val="auto"/>
          <w:sz w:val="24"/>
        </w:rPr>
        <w:t xml:space="preserve">6）在常温、压下易爆燃及排出有毒气体的危险废物必须进行预处理，使之稳定后贮存，否则按易爆、燃危险品。 </w:t>
      </w:r>
    </w:p>
    <w:p>
      <w:pPr>
        <w:spacing w:line="360" w:lineRule="auto"/>
        <w:ind w:firstLine="480" w:firstLineChars="200"/>
        <w:rPr>
          <w:color w:val="auto"/>
          <w:sz w:val="24"/>
        </w:rPr>
      </w:pPr>
      <w:r>
        <w:rPr>
          <w:color w:val="auto"/>
          <w:sz w:val="24"/>
        </w:rPr>
        <w:t xml:space="preserve">7）禁止将不相容（相互反应）的危险废物在同一容器内混装。 </w:t>
      </w:r>
    </w:p>
    <w:p>
      <w:pPr>
        <w:spacing w:line="360" w:lineRule="auto"/>
        <w:ind w:firstLine="480" w:firstLineChars="200"/>
        <w:rPr>
          <w:color w:val="auto"/>
          <w:sz w:val="24"/>
        </w:rPr>
      </w:pPr>
      <w:r>
        <w:rPr>
          <w:color w:val="auto"/>
          <w:sz w:val="24"/>
        </w:rPr>
        <w:t xml:space="preserve">8）无法装入常用容器的危险废物可用防漏胶袋等盛装。 </w:t>
      </w:r>
    </w:p>
    <w:p>
      <w:pPr>
        <w:spacing w:line="360" w:lineRule="auto"/>
        <w:ind w:firstLine="480" w:firstLineChars="200"/>
        <w:rPr>
          <w:color w:val="auto"/>
          <w:sz w:val="24"/>
        </w:rPr>
      </w:pPr>
      <w:r>
        <w:rPr>
          <w:color w:val="auto"/>
          <w:sz w:val="24"/>
        </w:rPr>
        <w:t xml:space="preserve">9）装载液体、半固危险废物的容器内须留足够空间，容器顶部与液体表面之间保留100mm以上的空间。 </w:t>
      </w:r>
    </w:p>
    <w:p>
      <w:pPr>
        <w:spacing w:line="360" w:lineRule="auto"/>
        <w:ind w:firstLine="480" w:firstLineChars="200"/>
        <w:rPr>
          <w:color w:val="auto"/>
          <w:sz w:val="24"/>
        </w:rPr>
      </w:pPr>
      <w:r>
        <w:rPr>
          <w:color w:val="auto"/>
          <w:sz w:val="24"/>
        </w:rPr>
        <w:t xml:space="preserve">10）应当使用符合标准的容器盛装危险废物。 </w:t>
      </w:r>
    </w:p>
    <w:p>
      <w:pPr>
        <w:spacing w:line="360" w:lineRule="auto"/>
        <w:ind w:firstLine="480" w:firstLineChars="200"/>
        <w:rPr>
          <w:color w:val="auto"/>
          <w:sz w:val="24"/>
        </w:rPr>
      </w:pPr>
      <w:r>
        <w:rPr>
          <w:color w:val="auto"/>
          <w:sz w:val="24"/>
        </w:rPr>
        <w:t xml:space="preserve">11）不相容的危险废物必须分开存放，并设有隔离间隔离带。 </w:t>
      </w:r>
    </w:p>
    <w:p>
      <w:pPr>
        <w:spacing w:line="360" w:lineRule="auto"/>
        <w:ind w:firstLine="480" w:firstLineChars="200"/>
        <w:rPr>
          <w:color w:val="auto"/>
          <w:sz w:val="24"/>
        </w:rPr>
      </w:pPr>
      <w:r>
        <w:rPr>
          <w:color w:val="auto"/>
          <w:sz w:val="24"/>
        </w:rPr>
        <w:t xml:space="preserve">12）危险废物贮存前应进行检验，确保同预定接收的危险废物一致，并注册登记，作好记录，记录上须注明危险废物的名称、来源、数量、特性和包装容器的类别、入库日期、存放库位、废物出库日期及接受单位名称。 </w:t>
      </w:r>
    </w:p>
    <w:p>
      <w:pPr>
        <w:spacing w:line="360" w:lineRule="auto"/>
        <w:ind w:firstLine="480" w:firstLineChars="200"/>
        <w:rPr>
          <w:color w:val="auto"/>
          <w:sz w:val="24"/>
        </w:rPr>
      </w:pPr>
      <w:r>
        <w:rPr>
          <w:color w:val="auto"/>
          <w:sz w:val="24"/>
        </w:rPr>
        <w:t xml:space="preserve">13）必须定期对贮存危险废物的包装容器及贮存设施进行检查，发现破损，应及时采取措施清理更换。 </w:t>
      </w:r>
    </w:p>
    <w:p>
      <w:pPr>
        <w:spacing w:line="360" w:lineRule="auto"/>
        <w:ind w:firstLine="480" w:firstLineChars="200"/>
        <w:rPr>
          <w:color w:val="auto"/>
          <w:sz w:val="24"/>
        </w:rPr>
      </w:pPr>
      <w:r>
        <w:rPr>
          <w:color w:val="auto"/>
          <w:sz w:val="24"/>
        </w:rPr>
        <w:t>14）危险废物贮存设施内清理出来的泄漏物，一律按危险废物处理。</w:t>
      </w:r>
    </w:p>
    <w:p>
      <w:pPr>
        <w:spacing w:line="360" w:lineRule="auto"/>
        <w:ind w:firstLine="480" w:firstLineChars="200"/>
        <w:rPr>
          <w:color w:val="auto"/>
          <w:sz w:val="24"/>
        </w:rPr>
      </w:pPr>
      <w:r>
        <w:rPr>
          <w:color w:val="auto"/>
          <w:sz w:val="24"/>
        </w:rPr>
        <w:t xml:space="preserve">15）落实固废处置方案，签订协议，尽可能及时外运，避免长期堆存。 </w:t>
      </w:r>
    </w:p>
    <w:p>
      <w:pPr>
        <w:spacing w:line="360" w:lineRule="auto"/>
        <w:ind w:firstLine="480" w:firstLineChars="200"/>
        <w:rPr>
          <w:color w:val="auto"/>
          <w:sz w:val="24"/>
        </w:rPr>
      </w:pPr>
      <w:r>
        <w:rPr>
          <w:color w:val="auto"/>
          <w:sz w:val="24"/>
        </w:rPr>
        <w:t>本项目危险废物贮存场所基本情况见</w:t>
      </w:r>
      <w:r>
        <w:rPr>
          <w:rFonts w:hint="eastAsia"/>
          <w:color w:val="auto"/>
          <w:sz w:val="24"/>
        </w:rPr>
        <w:t>下表</w:t>
      </w:r>
      <w:r>
        <w:rPr>
          <w:color w:val="auto"/>
          <w:sz w:val="24"/>
        </w:rPr>
        <w:t xml:space="preserve">。 </w:t>
      </w:r>
    </w:p>
    <w:p>
      <w:pPr>
        <w:numPr>
          <w:ilvl w:val="3"/>
          <w:numId w:val="0"/>
        </w:numPr>
        <w:tabs>
          <w:tab w:val="left" w:pos="0"/>
        </w:tabs>
        <w:spacing w:line="360" w:lineRule="auto"/>
        <w:jc w:val="center"/>
        <w:rPr>
          <w:b/>
          <w:bCs/>
          <w:color w:val="auto"/>
          <w:szCs w:val="28"/>
        </w:rPr>
      </w:pPr>
    </w:p>
    <w:p>
      <w:pPr>
        <w:numPr>
          <w:ilvl w:val="3"/>
          <w:numId w:val="0"/>
        </w:numPr>
        <w:tabs>
          <w:tab w:val="left" w:pos="0"/>
        </w:tabs>
        <w:spacing w:line="360" w:lineRule="auto"/>
        <w:jc w:val="center"/>
        <w:rPr>
          <w:b/>
          <w:bCs/>
          <w:color w:val="auto"/>
          <w:szCs w:val="28"/>
        </w:rPr>
      </w:pPr>
    </w:p>
    <w:p>
      <w:pPr>
        <w:numPr>
          <w:ilvl w:val="3"/>
          <w:numId w:val="0"/>
        </w:numPr>
        <w:tabs>
          <w:tab w:val="left" w:pos="0"/>
        </w:tabs>
        <w:spacing w:line="360" w:lineRule="auto"/>
        <w:jc w:val="center"/>
        <w:rPr>
          <w:b/>
          <w:bCs/>
          <w:color w:val="auto"/>
          <w:szCs w:val="28"/>
        </w:rPr>
      </w:pPr>
    </w:p>
    <w:p>
      <w:pPr>
        <w:numPr>
          <w:ilvl w:val="3"/>
          <w:numId w:val="0"/>
        </w:numPr>
        <w:tabs>
          <w:tab w:val="left" w:pos="0"/>
        </w:tabs>
        <w:spacing w:line="360" w:lineRule="auto"/>
        <w:jc w:val="center"/>
        <w:rPr>
          <w:b/>
          <w:bCs/>
          <w:color w:val="auto"/>
          <w:szCs w:val="28"/>
          <w:highlight w:val="yellow"/>
        </w:rPr>
      </w:pPr>
      <w:r>
        <w:rPr>
          <w:b/>
          <w:bCs/>
          <w:color w:val="auto"/>
          <w:szCs w:val="28"/>
        </w:rPr>
        <w:t>表</w:t>
      </w:r>
      <w:r>
        <w:rPr>
          <w:rFonts w:hint="eastAsia"/>
          <w:b/>
          <w:bCs/>
          <w:color w:val="auto"/>
          <w:szCs w:val="28"/>
        </w:rPr>
        <w:t>8</w:t>
      </w:r>
      <w:r>
        <w:rPr>
          <w:b/>
          <w:bCs/>
          <w:color w:val="auto"/>
          <w:szCs w:val="28"/>
        </w:rPr>
        <w:t xml:space="preserve">.4-1 </w:t>
      </w:r>
      <w:r>
        <w:rPr>
          <w:rFonts w:hint="eastAsia"/>
          <w:b/>
          <w:bCs/>
          <w:color w:val="auto"/>
          <w:szCs w:val="28"/>
        </w:rPr>
        <w:t xml:space="preserve"> </w:t>
      </w:r>
      <w:r>
        <w:rPr>
          <w:b/>
          <w:bCs/>
          <w:color w:val="auto"/>
          <w:szCs w:val="28"/>
        </w:rPr>
        <w:t>项目危险废物贮存场所基本信息</w:t>
      </w:r>
    </w:p>
    <w:tbl>
      <w:tblPr>
        <w:tblStyle w:val="23"/>
        <w:tblW w:w="87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57"/>
        <w:gridCol w:w="1168"/>
        <w:gridCol w:w="773"/>
        <w:gridCol w:w="1111"/>
        <w:gridCol w:w="1157"/>
        <w:gridCol w:w="691"/>
        <w:gridCol w:w="825"/>
        <w:gridCol w:w="827"/>
        <w:gridCol w:w="827"/>
        <w:gridCol w:w="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5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序号</w:t>
            </w:r>
          </w:p>
        </w:tc>
        <w:tc>
          <w:tcPr>
            <w:tcW w:w="1168"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危险废物</w:t>
            </w:r>
          </w:p>
          <w:p>
            <w:pPr>
              <w:widowControl/>
              <w:spacing w:line="240" w:lineRule="atLeast"/>
              <w:jc w:val="center"/>
              <w:textAlignment w:val="top"/>
              <w:rPr>
                <w:color w:val="auto"/>
                <w:kern w:val="0"/>
                <w:szCs w:val="21"/>
                <w:lang w:bidi="ar"/>
              </w:rPr>
            </w:pPr>
            <w:r>
              <w:rPr>
                <w:color w:val="auto"/>
                <w:kern w:val="0"/>
                <w:szCs w:val="21"/>
                <w:lang w:bidi="ar"/>
              </w:rPr>
              <w:t>名称</w:t>
            </w:r>
          </w:p>
        </w:tc>
        <w:tc>
          <w:tcPr>
            <w:tcW w:w="773"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类别</w:t>
            </w:r>
          </w:p>
        </w:tc>
        <w:tc>
          <w:tcPr>
            <w:tcW w:w="1111"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代码</w:t>
            </w:r>
          </w:p>
        </w:tc>
        <w:tc>
          <w:tcPr>
            <w:tcW w:w="11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贮存方式</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贮存</w:t>
            </w:r>
          </w:p>
          <w:p>
            <w:pPr>
              <w:widowControl/>
              <w:spacing w:line="240" w:lineRule="atLeast"/>
              <w:jc w:val="center"/>
              <w:textAlignment w:val="top"/>
              <w:rPr>
                <w:color w:val="auto"/>
                <w:szCs w:val="21"/>
              </w:rPr>
            </w:pPr>
            <w:r>
              <w:rPr>
                <w:color w:val="auto"/>
                <w:kern w:val="0"/>
                <w:szCs w:val="21"/>
                <w:lang w:bidi="ar"/>
              </w:rPr>
              <w:t>能力</w:t>
            </w:r>
          </w:p>
        </w:tc>
        <w:tc>
          <w:tcPr>
            <w:tcW w:w="825"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贮存</w:t>
            </w:r>
          </w:p>
          <w:p>
            <w:pPr>
              <w:widowControl/>
              <w:spacing w:line="240" w:lineRule="atLeast"/>
              <w:jc w:val="center"/>
              <w:textAlignment w:val="top"/>
              <w:rPr>
                <w:color w:val="auto"/>
                <w:szCs w:val="21"/>
              </w:rPr>
            </w:pPr>
            <w:r>
              <w:rPr>
                <w:color w:val="auto"/>
                <w:kern w:val="0"/>
                <w:szCs w:val="21"/>
                <w:lang w:bidi="ar"/>
              </w:rPr>
              <w:t>周期</w:t>
            </w:r>
          </w:p>
        </w:tc>
        <w:tc>
          <w:tcPr>
            <w:tcW w:w="82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贮存</w:t>
            </w:r>
          </w:p>
          <w:p>
            <w:pPr>
              <w:widowControl/>
              <w:spacing w:line="240" w:lineRule="atLeast"/>
              <w:jc w:val="center"/>
              <w:textAlignment w:val="top"/>
              <w:rPr>
                <w:color w:val="auto"/>
                <w:kern w:val="0"/>
                <w:szCs w:val="21"/>
                <w:lang w:bidi="ar"/>
              </w:rPr>
            </w:pPr>
            <w:r>
              <w:rPr>
                <w:color w:val="auto"/>
                <w:kern w:val="0"/>
                <w:szCs w:val="21"/>
                <w:lang w:bidi="ar"/>
              </w:rPr>
              <w:t>场所</w:t>
            </w:r>
          </w:p>
        </w:tc>
        <w:tc>
          <w:tcPr>
            <w:tcW w:w="82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占地</w:t>
            </w:r>
          </w:p>
          <w:p>
            <w:pPr>
              <w:widowControl/>
              <w:spacing w:line="240" w:lineRule="atLeast"/>
              <w:jc w:val="center"/>
              <w:textAlignment w:val="top"/>
              <w:rPr>
                <w:color w:val="auto"/>
                <w:kern w:val="0"/>
                <w:szCs w:val="21"/>
                <w:lang w:bidi="ar"/>
              </w:rPr>
            </w:pPr>
            <w:r>
              <w:rPr>
                <w:color w:val="auto"/>
                <w:kern w:val="0"/>
                <w:szCs w:val="21"/>
                <w:lang w:bidi="ar"/>
              </w:rPr>
              <w:t>面积</w:t>
            </w:r>
          </w:p>
        </w:tc>
        <w:tc>
          <w:tcPr>
            <w:tcW w:w="826"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5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1</w:t>
            </w:r>
          </w:p>
        </w:tc>
        <w:tc>
          <w:tcPr>
            <w:tcW w:w="1168"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含油废抹布、手套</w:t>
            </w:r>
          </w:p>
        </w:tc>
        <w:tc>
          <w:tcPr>
            <w:tcW w:w="773"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HW49</w:t>
            </w:r>
          </w:p>
        </w:tc>
        <w:tc>
          <w:tcPr>
            <w:tcW w:w="1111"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900-041-49</w:t>
            </w:r>
          </w:p>
        </w:tc>
        <w:tc>
          <w:tcPr>
            <w:tcW w:w="11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0.</w:t>
            </w:r>
            <w:r>
              <w:rPr>
                <w:rFonts w:hint="eastAsia"/>
                <w:color w:val="auto"/>
                <w:kern w:val="0"/>
                <w:szCs w:val="21"/>
                <w:lang w:bidi="ar"/>
              </w:rPr>
              <w:t>1</w:t>
            </w:r>
            <w:r>
              <w:rPr>
                <w:color w:val="auto"/>
                <w:kern w:val="0"/>
                <w:szCs w:val="21"/>
                <w:lang w:bidi="ar"/>
              </w:rPr>
              <w:t>t</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restart"/>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危险废物暂存间</w:t>
            </w:r>
          </w:p>
        </w:tc>
        <w:tc>
          <w:tcPr>
            <w:tcW w:w="827" w:type="dxa"/>
            <w:vMerge w:val="restart"/>
            <w:tcBorders>
              <w:tl2br w:val="nil"/>
              <w:tr2bl w:val="nil"/>
            </w:tcBorders>
            <w:vAlign w:val="center"/>
          </w:tcPr>
          <w:p>
            <w:pPr>
              <w:widowControl/>
              <w:spacing w:line="240" w:lineRule="atLeast"/>
              <w:jc w:val="center"/>
              <w:textAlignment w:val="top"/>
              <w:rPr>
                <w:color w:val="auto"/>
                <w:kern w:val="0"/>
                <w:szCs w:val="21"/>
                <w:lang w:bidi="ar"/>
              </w:rPr>
            </w:pPr>
          </w:p>
          <w:p>
            <w:pPr>
              <w:widowControl/>
              <w:spacing w:line="240" w:lineRule="atLeast"/>
              <w:jc w:val="center"/>
              <w:textAlignment w:val="top"/>
              <w:rPr>
                <w:color w:val="auto"/>
                <w:kern w:val="0"/>
                <w:szCs w:val="21"/>
                <w:lang w:bidi="ar"/>
              </w:rPr>
            </w:pPr>
            <w:r>
              <w:rPr>
                <w:rFonts w:hint="eastAsia"/>
                <w:color w:val="auto"/>
                <w:kern w:val="0"/>
                <w:szCs w:val="21"/>
                <w:lang w:bidi="ar"/>
              </w:rPr>
              <w:t>3</w:t>
            </w:r>
            <w:r>
              <w:rPr>
                <w:color w:val="auto"/>
                <w:kern w:val="0"/>
                <w:szCs w:val="21"/>
                <w:lang w:bidi="ar"/>
              </w:rPr>
              <w:t>5m</w:t>
            </w:r>
            <w:r>
              <w:rPr>
                <w:color w:val="auto"/>
                <w:kern w:val="0"/>
                <w:szCs w:val="21"/>
                <w:vertAlign w:val="superscript"/>
                <w:lang w:bidi="ar"/>
              </w:rPr>
              <w:t>2</w:t>
            </w:r>
          </w:p>
        </w:tc>
        <w:tc>
          <w:tcPr>
            <w:tcW w:w="826" w:type="dxa"/>
            <w:vMerge w:val="restart"/>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危废暂存间位于项目</w:t>
            </w:r>
            <w:r>
              <w:rPr>
                <w:rFonts w:hint="eastAsia"/>
                <w:color w:val="auto"/>
                <w:kern w:val="0"/>
                <w:szCs w:val="21"/>
                <w:lang w:bidi="ar"/>
              </w:rPr>
              <w:t>东面边界处</w:t>
            </w:r>
            <w:r>
              <w:rPr>
                <w:color w:val="auto"/>
                <w:kern w:val="0"/>
                <w:szCs w:val="21"/>
                <w:lang w:bidi="ar"/>
              </w:rPr>
              <w:t>，防风、防雨、防渗、防漏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5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2</w:t>
            </w:r>
          </w:p>
        </w:tc>
        <w:tc>
          <w:tcPr>
            <w:tcW w:w="1168" w:type="dxa"/>
            <w:tcBorders>
              <w:tl2br w:val="nil"/>
              <w:tr2bl w:val="nil"/>
            </w:tcBorders>
            <w:vAlign w:val="center"/>
          </w:tcPr>
          <w:p>
            <w:pPr>
              <w:widowControl/>
              <w:adjustRightInd w:val="0"/>
              <w:snapToGrid w:val="0"/>
              <w:jc w:val="center"/>
              <w:textAlignment w:val="top"/>
              <w:rPr>
                <w:color w:val="auto"/>
                <w:szCs w:val="21"/>
              </w:rPr>
            </w:pPr>
            <w:r>
              <w:rPr>
                <w:rFonts w:hint="eastAsia"/>
                <w:color w:val="auto"/>
                <w:kern w:val="0"/>
                <w:szCs w:val="21"/>
                <w:lang w:bidi="ar"/>
              </w:rPr>
              <w:t>废矿物油</w:t>
            </w:r>
          </w:p>
        </w:tc>
        <w:tc>
          <w:tcPr>
            <w:tcW w:w="773"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HW08</w:t>
            </w:r>
          </w:p>
        </w:tc>
        <w:tc>
          <w:tcPr>
            <w:tcW w:w="1111" w:type="dxa"/>
            <w:tcBorders>
              <w:tl2br w:val="nil"/>
              <w:tr2bl w:val="nil"/>
            </w:tcBorders>
            <w:vAlign w:val="center"/>
          </w:tcPr>
          <w:p>
            <w:pPr>
              <w:widowControl/>
              <w:adjustRightInd w:val="0"/>
              <w:snapToGrid w:val="0"/>
              <w:jc w:val="center"/>
              <w:textAlignment w:val="top"/>
              <w:rPr>
                <w:color w:val="auto"/>
                <w:szCs w:val="21"/>
              </w:rPr>
            </w:pPr>
            <w:r>
              <w:rPr>
                <w:color w:val="auto"/>
                <w:kern w:val="0"/>
                <w:szCs w:val="21"/>
                <w:lang w:bidi="ar"/>
              </w:rPr>
              <w:t>900-249-08</w:t>
            </w:r>
          </w:p>
        </w:tc>
        <w:tc>
          <w:tcPr>
            <w:tcW w:w="11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szCs w:val="21"/>
              </w:rPr>
            </w:pPr>
            <w:r>
              <w:rPr>
                <w:rFonts w:hint="eastAsia"/>
                <w:color w:val="auto"/>
                <w:kern w:val="0"/>
                <w:szCs w:val="21"/>
                <w:lang w:bidi="ar"/>
              </w:rPr>
              <w:t>3</w:t>
            </w:r>
            <w:r>
              <w:rPr>
                <w:color w:val="auto"/>
                <w:kern w:val="0"/>
                <w:szCs w:val="21"/>
                <w:lang w:bidi="ar"/>
              </w:rPr>
              <w:t>t</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5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3</w:t>
            </w:r>
          </w:p>
        </w:tc>
        <w:tc>
          <w:tcPr>
            <w:tcW w:w="1168" w:type="dxa"/>
            <w:tcBorders>
              <w:tl2br w:val="nil"/>
              <w:tr2bl w:val="nil"/>
            </w:tcBorders>
            <w:vAlign w:val="center"/>
          </w:tcPr>
          <w:p>
            <w:pPr>
              <w:widowControl/>
              <w:adjustRightInd w:val="0"/>
              <w:snapToGrid w:val="0"/>
              <w:jc w:val="center"/>
              <w:textAlignment w:val="top"/>
              <w:rPr>
                <w:color w:val="auto"/>
                <w:kern w:val="0"/>
                <w:szCs w:val="21"/>
                <w:lang w:bidi="ar"/>
              </w:rPr>
            </w:pPr>
            <w:r>
              <w:rPr>
                <w:rFonts w:hint="eastAsia"/>
                <w:color w:val="auto"/>
                <w:szCs w:val="21"/>
              </w:rPr>
              <w:t>空油桶</w:t>
            </w:r>
          </w:p>
        </w:tc>
        <w:tc>
          <w:tcPr>
            <w:tcW w:w="773"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lang w:bidi="ar"/>
              </w:rPr>
              <w:t>HW49</w:t>
            </w:r>
          </w:p>
        </w:tc>
        <w:tc>
          <w:tcPr>
            <w:tcW w:w="1111"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szCs w:val="21"/>
              </w:rPr>
              <w:t>900-041-49</w:t>
            </w:r>
          </w:p>
        </w:tc>
        <w:tc>
          <w:tcPr>
            <w:tcW w:w="1157" w:type="dxa"/>
            <w:tcBorders>
              <w:tl2br w:val="nil"/>
              <w:tr2bl w:val="nil"/>
            </w:tcBorders>
            <w:vAlign w:val="center"/>
          </w:tcPr>
          <w:p>
            <w:pPr>
              <w:widowControl/>
              <w:spacing w:line="240" w:lineRule="atLeast"/>
              <w:jc w:val="center"/>
              <w:textAlignment w:val="top"/>
              <w:rPr>
                <w:color w:val="auto"/>
                <w:kern w:val="0"/>
                <w:szCs w:val="21"/>
                <w:lang w:bidi="ar"/>
              </w:rPr>
            </w:pPr>
            <w:r>
              <w:rPr>
                <w:color w:val="auto"/>
                <w:szCs w:val="21"/>
              </w:rPr>
              <w:t>单独存放</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0.</w:t>
            </w:r>
            <w:r>
              <w:rPr>
                <w:rFonts w:hint="eastAsia"/>
                <w:color w:val="auto"/>
                <w:kern w:val="0"/>
                <w:szCs w:val="21"/>
                <w:lang w:bidi="ar"/>
              </w:rPr>
              <w:t>1</w:t>
            </w:r>
            <w:r>
              <w:rPr>
                <w:color w:val="auto"/>
                <w:kern w:val="0"/>
                <w:szCs w:val="21"/>
                <w:lang w:bidi="ar"/>
              </w:rPr>
              <w:t>t</w:t>
            </w:r>
          </w:p>
        </w:tc>
        <w:tc>
          <w:tcPr>
            <w:tcW w:w="825" w:type="dxa"/>
            <w:tcBorders>
              <w:tl2br w:val="nil"/>
              <w:tr2bl w:val="nil"/>
            </w:tcBorders>
            <w:vAlign w:val="center"/>
          </w:tcPr>
          <w:p>
            <w:pPr>
              <w:widowControl/>
              <w:spacing w:line="240" w:lineRule="atLeast"/>
              <w:jc w:val="center"/>
              <w:textAlignment w:val="top"/>
              <w:rPr>
                <w:color w:val="auto"/>
                <w:kern w:val="0"/>
                <w:szCs w:val="21"/>
                <w:lang w:bidi="ar"/>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5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4</w:t>
            </w:r>
          </w:p>
        </w:tc>
        <w:tc>
          <w:tcPr>
            <w:tcW w:w="1168" w:type="dxa"/>
            <w:tcBorders>
              <w:tl2br w:val="nil"/>
              <w:tr2bl w:val="nil"/>
            </w:tcBorders>
            <w:vAlign w:val="center"/>
          </w:tcPr>
          <w:p>
            <w:pPr>
              <w:widowControl/>
              <w:adjustRightInd w:val="0"/>
              <w:snapToGrid w:val="0"/>
              <w:jc w:val="center"/>
              <w:textAlignment w:val="top"/>
              <w:rPr>
                <w:color w:val="auto"/>
                <w:szCs w:val="21"/>
              </w:rPr>
            </w:pPr>
            <w:r>
              <w:rPr>
                <w:color w:val="auto"/>
                <w:szCs w:val="21"/>
              </w:rPr>
              <w:t>废UV灯管</w:t>
            </w:r>
          </w:p>
        </w:tc>
        <w:tc>
          <w:tcPr>
            <w:tcW w:w="773"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szCs w:val="21"/>
              </w:rPr>
              <w:t>HW29</w:t>
            </w:r>
          </w:p>
        </w:tc>
        <w:tc>
          <w:tcPr>
            <w:tcW w:w="1111" w:type="dxa"/>
            <w:tcBorders>
              <w:tl2br w:val="nil"/>
              <w:tr2bl w:val="nil"/>
            </w:tcBorders>
            <w:vAlign w:val="center"/>
          </w:tcPr>
          <w:p>
            <w:pPr>
              <w:widowControl/>
              <w:adjustRightInd w:val="0"/>
              <w:snapToGrid w:val="0"/>
              <w:jc w:val="center"/>
              <w:textAlignment w:val="top"/>
              <w:rPr>
                <w:color w:val="auto"/>
                <w:szCs w:val="21"/>
              </w:rPr>
            </w:pPr>
            <w:r>
              <w:rPr>
                <w:color w:val="auto"/>
                <w:szCs w:val="21"/>
              </w:rPr>
              <w:t>900-023-29</w:t>
            </w:r>
          </w:p>
        </w:tc>
        <w:tc>
          <w:tcPr>
            <w:tcW w:w="1157" w:type="dxa"/>
            <w:tcBorders>
              <w:tl2br w:val="nil"/>
              <w:tr2bl w:val="nil"/>
            </w:tcBorders>
            <w:vAlign w:val="center"/>
          </w:tcPr>
          <w:p>
            <w:pPr>
              <w:widowControl/>
              <w:spacing w:line="240" w:lineRule="atLeast"/>
              <w:jc w:val="center"/>
              <w:textAlignment w:val="top"/>
              <w:rPr>
                <w:color w:val="auto"/>
                <w:szCs w:val="21"/>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0.1t</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56" w:hRule="atLeast"/>
          <w:jc w:val="center"/>
        </w:trPr>
        <w:tc>
          <w:tcPr>
            <w:tcW w:w="5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5</w:t>
            </w:r>
          </w:p>
        </w:tc>
        <w:tc>
          <w:tcPr>
            <w:tcW w:w="1168" w:type="dxa"/>
            <w:tcBorders>
              <w:tl2br w:val="nil"/>
              <w:tr2bl w:val="nil"/>
            </w:tcBorders>
            <w:vAlign w:val="center"/>
          </w:tcPr>
          <w:p>
            <w:pPr>
              <w:widowControl/>
              <w:adjustRightInd w:val="0"/>
              <w:snapToGrid w:val="0"/>
              <w:jc w:val="center"/>
              <w:textAlignment w:val="top"/>
              <w:rPr>
                <w:color w:val="auto"/>
                <w:szCs w:val="21"/>
              </w:rPr>
            </w:pPr>
            <w:r>
              <w:rPr>
                <w:color w:val="auto"/>
                <w:szCs w:val="21"/>
              </w:rPr>
              <w:t>废活性炭</w:t>
            </w:r>
          </w:p>
        </w:tc>
        <w:tc>
          <w:tcPr>
            <w:tcW w:w="773" w:type="dxa"/>
            <w:tcBorders>
              <w:tl2br w:val="nil"/>
              <w:tr2bl w:val="nil"/>
            </w:tcBorders>
            <w:vAlign w:val="center"/>
          </w:tcPr>
          <w:p>
            <w:pPr>
              <w:widowControl/>
              <w:adjustRightInd w:val="0"/>
              <w:snapToGrid w:val="0"/>
              <w:jc w:val="center"/>
              <w:textAlignment w:val="top"/>
              <w:rPr>
                <w:color w:val="auto"/>
                <w:szCs w:val="21"/>
              </w:rPr>
            </w:pPr>
            <w:r>
              <w:rPr>
                <w:color w:val="auto"/>
                <w:szCs w:val="21"/>
              </w:rPr>
              <w:t>HW49</w:t>
            </w:r>
          </w:p>
        </w:tc>
        <w:tc>
          <w:tcPr>
            <w:tcW w:w="1111" w:type="dxa"/>
            <w:tcBorders>
              <w:tl2br w:val="nil"/>
              <w:tr2bl w:val="nil"/>
            </w:tcBorders>
            <w:vAlign w:val="center"/>
          </w:tcPr>
          <w:p>
            <w:pPr>
              <w:widowControl/>
              <w:adjustRightInd w:val="0"/>
              <w:snapToGrid w:val="0"/>
              <w:jc w:val="center"/>
              <w:textAlignment w:val="top"/>
              <w:rPr>
                <w:color w:val="auto"/>
                <w:szCs w:val="21"/>
              </w:rPr>
            </w:pPr>
            <w:r>
              <w:rPr>
                <w:color w:val="auto"/>
                <w:szCs w:val="21"/>
              </w:rPr>
              <w:t>900-041-49</w:t>
            </w:r>
          </w:p>
        </w:tc>
        <w:tc>
          <w:tcPr>
            <w:tcW w:w="11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rFonts w:hint="eastAsia"/>
                <w:color w:val="auto"/>
                <w:kern w:val="0"/>
                <w:szCs w:val="21"/>
                <w:lang w:bidi="ar"/>
              </w:rPr>
              <w:t>5</w:t>
            </w:r>
            <w:r>
              <w:rPr>
                <w:color w:val="auto"/>
                <w:kern w:val="0"/>
                <w:szCs w:val="21"/>
                <w:lang w:bidi="ar"/>
              </w:rPr>
              <w:t>t</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56" w:hRule="atLeast"/>
          <w:jc w:val="center"/>
        </w:trPr>
        <w:tc>
          <w:tcPr>
            <w:tcW w:w="5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6</w:t>
            </w:r>
          </w:p>
        </w:tc>
        <w:tc>
          <w:tcPr>
            <w:tcW w:w="1168" w:type="dxa"/>
            <w:tcBorders>
              <w:tl2br w:val="nil"/>
              <w:tr2bl w:val="nil"/>
            </w:tcBorders>
            <w:vAlign w:val="center"/>
          </w:tcPr>
          <w:p>
            <w:pPr>
              <w:widowControl/>
              <w:adjustRightInd w:val="0"/>
              <w:snapToGrid w:val="0"/>
              <w:jc w:val="center"/>
              <w:textAlignment w:val="top"/>
              <w:rPr>
                <w:color w:val="auto"/>
                <w:szCs w:val="21"/>
              </w:rPr>
            </w:pPr>
            <w:r>
              <w:rPr>
                <w:color w:val="auto"/>
                <w:szCs w:val="21"/>
              </w:rPr>
              <w:t>截留的粉尘</w:t>
            </w:r>
          </w:p>
        </w:tc>
        <w:tc>
          <w:tcPr>
            <w:tcW w:w="773" w:type="dxa"/>
            <w:tcBorders>
              <w:tl2br w:val="nil"/>
              <w:tr2bl w:val="nil"/>
            </w:tcBorders>
            <w:vAlign w:val="center"/>
          </w:tcPr>
          <w:p>
            <w:pPr>
              <w:widowControl/>
              <w:adjustRightInd w:val="0"/>
              <w:snapToGrid w:val="0"/>
              <w:jc w:val="center"/>
              <w:textAlignment w:val="top"/>
              <w:rPr>
                <w:color w:val="auto"/>
                <w:kern w:val="0"/>
                <w:szCs w:val="21"/>
                <w:lang w:bidi="ar"/>
              </w:rPr>
            </w:pPr>
            <w:r>
              <w:rPr>
                <w:color w:val="auto"/>
                <w:kern w:val="0"/>
                <w:szCs w:val="21"/>
              </w:rPr>
              <w:t>HW13</w:t>
            </w:r>
          </w:p>
        </w:tc>
        <w:tc>
          <w:tcPr>
            <w:tcW w:w="1111" w:type="dxa"/>
            <w:tcBorders>
              <w:tl2br w:val="nil"/>
              <w:tr2bl w:val="nil"/>
            </w:tcBorders>
            <w:vAlign w:val="center"/>
          </w:tcPr>
          <w:p>
            <w:pPr>
              <w:widowControl/>
              <w:adjustRightInd w:val="0"/>
              <w:snapToGrid w:val="0"/>
              <w:jc w:val="center"/>
              <w:textAlignment w:val="center"/>
              <w:rPr>
                <w:color w:val="auto"/>
                <w:szCs w:val="21"/>
              </w:rPr>
            </w:pPr>
            <w:r>
              <w:rPr>
                <w:color w:val="auto"/>
                <w:szCs w:val="21"/>
              </w:rPr>
              <w:t>900-451-13</w:t>
            </w:r>
          </w:p>
        </w:tc>
        <w:tc>
          <w:tcPr>
            <w:tcW w:w="11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rFonts w:hint="eastAsia"/>
                <w:color w:val="auto"/>
                <w:kern w:val="0"/>
                <w:szCs w:val="21"/>
                <w:lang w:bidi="ar"/>
              </w:rPr>
              <w:t>10</w:t>
            </w:r>
            <w:r>
              <w:rPr>
                <w:color w:val="auto"/>
                <w:kern w:val="0"/>
                <w:szCs w:val="21"/>
                <w:lang w:bidi="ar"/>
              </w:rPr>
              <w:t>t</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56" w:hRule="atLeast"/>
          <w:jc w:val="center"/>
        </w:trPr>
        <w:tc>
          <w:tcPr>
            <w:tcW w:w="557" w:type="dxa"/>
            <w:tcBorders>
              <w:tl2br w:val="nil"/>
              <w:tr2bl w:val="nil"/>
            </w:tcBorders>
            <w:vAlign w:val="center"/>
          </w:tcPr>
          <w:p>
            <w:pPr>
              <w:widowControl/>
              <w:spacing w:line="240" w:lineRule="atLeast"/>
              <w:jc w:val="center"/>
              <w:textAlignment w:val="top"/>
              <w:rPr>
                <w:color w:val="auto"/>
                <w:kern w:val="0"/>
                <w:szCs w:val="21"/>
                <w:lang w:bidi="ar"/>
              </w:rPr>
            </w:pPr>
            <w:r>
              <w:rPr>
                <w:rFonts w:hint="eastAsia"/>
                <w:color w:val="auto"/>
                <w:kern w:val="0"/>
                <w:szCs w:val="21"/>
                <w:lang w:bidi="ar"/>
              </w:rPr>
              <w:t>7</w:t>
            </w:r>
          </w:p>
        </w:tc>
        <w:tc>
          <w:tcPr>
            <w:tcW w:w="1168" w:type="dxa"/>
            <w:tcBorders>
              <w:tl2br w:val="nil"/>
              <w:tr2bl w:val="nil"/>
            </w:tcBorders>
            <w:vAlign w:val="center"/>
          </w:tcPr>
          <w:p>
            <w:pPr>
              <w:widowControl/>
              <w:adjustRightInd w:val="0"/>
              <w:snapToGrid w:val="0"/>
              <w:jc w:val="center"/>
              <w:textAlignment w:val="top"/>
              <w:rPr>
                <w:color w:val="auto"/>
                <w:szCs w:val="21"/>
              </w:rPr>
            </w:pPr>
            <w:r>
              <w:rPr>
                <w:rFonts w:hint="eastAsia"/>
                <w:color w:val="auto"/>
                <w:kern w:val="0"/>
                <w:szCs w:val="21"/>
              </w:rPr>
              <w:t>截留的沥青油</w:t>
            </w:r>
          </w:p>
        </w:tc>
        <w:tc>
          <w:tcPr>
            <w:tcW w:w="773" w:type="dxa"/>
            <w:tcBorders>
              <w:tl2br w:val="nil"/>
              <w:tr2bl w:val="nil"/>
            </w:tcBorders>
            <w:vAlign w:val="center"/>
          </w:tcPr>
          <w:p>
            <w:pPr>
              <w:widowControl/>
              <w:adjustRightInd w:val="0"/>
              <w:snapToGrid w:val="0"/>
              <w:jc w:val="center"/>
              <w:textAlignment w:val="top"/>
              <w:rPr>
                <w:color w:val="auto"/>
                <w:szCs w:val="21"/>
              </w:rPr>
            </w:pPr>
            <w:r>
              <w:rPr>
                <w:rFonts w:hint="eastAsia"/>
                <w:color w:val="auto"/>
                <w:kern w:val="0"/>
                <w:szCs w:val="21"/>
              </w:rPr>
              <w:t>HW11</w:t>
            </w:r>
          </w:p>
        </w:tc>
        <w:tc>
          <w:tcPr>
            <w:tcW w:w="1111" w:type="dxa"/>
            <w:tcBorders>
              <w:tl2br w:val="nil"/>
              <w:tr2bl w:val="nil"/>
            </w:tcBorders>
            <w:vAlign w:val="center"/>
          </w:tcPr>
          <w:p>
            <w:pPr>
              <w:widowControl/>
              <w:adjustRightInd w:val="0"/>
              <w:snapToGrid w:val="0"/>
              <w:jc w:val="center"/>
              <w:textAlignment w:val="center"/>
              <w:rPr>
                <w:color w:val="auto"/>
                <w:szCs w:val="21"/>
              </w:rPr>
            </w:pPr>
            <w:r>
              <w:rPr>
                <w:rFonts w:ascii="TimesNewRomanPSMT" w:hAnsi="TimesNewRomanPSMT" w:eastAsia="TimesNewRomanPSMT"/>
                <w:color w:val="auto"/>
              </w:rPr>
              <w:t>252-016-11</w:t>
            </w:r>
          </w:p>
        </w:tc>
        <w:tc>
          <w:tcPr>
            <w:tcW w:w="1157" w:type="dxa"/>
            <w:tcBorders>
              <w:tl2br w:val="nil"/>
              <w:tr2bl w:val="nil"/>
            </w:tcBorders>
            <w:vAlign w:val="center"/>
          </w:tcPr>
          <w:p>
            <w:pPr>
              <w:widowControl/>
              <w:spacing w:line="240" w:lineRule="atLeast"/>
              <w:jc w:val="center"/>
              <w:textAlignment w:val="top"/>
              <w:rPr>
                <w:color w:val="auto"/>
                <w:kern w:val="0"/>
                <w:szCs w:val="21"/>
                <w:lang w:bidi="ar"/>
              </w:rPr>
            </w:pPr>
            <w:r>
              <w:rPr>
                <w:color w:val="auto"/>
                <w:kern w:val="0"/>
                <w:szCs w:val="21"/>
                <w:lang w:bidi="ar"/>
              </w:rPr>
              <w:t>高密度聚乙烯罐密封</w:t>
            </w:r>
          </w:p>
        </w:tc>
        <w:tc>
          <w:tcPr>
            <w:tcW w:w="691" w:type="dxa"/>
            <w:tcBorders>
              <w:tl2br w:val="nil"/>
              <w:tr2bl w:val="nil"/>
            </w:tcBorders>
            <w:vAlign w:val="center"/>
          </w:tcPr>
          <w:p>
            <w:pPr>
              <w:widowControl/>
              <w:spacing w:line="240" w:lineRule="atLeast"/>
              <w:jc w:val="center"/>
              <w:textAlignment w:val="top"/>
              <w:rPr>
                <w:color w:val="auto"/>
                <w:kern w:val="0"/>
                <w:szCs w:val="21"/>
                <w:lang w:bidi="ar"/>
              </w:rPr>
            </w:pPr>
            <w:r>
              <w:rPr>
                <w:rFonts w:hint="eastAsia"/>
                <w:color w:val="auto"/>
                <w:szCs w:val="21"/>
              </w:rPr>
              <w:t>0.5</w:t>
            </w:r>
          </w:p>
        </w:tc>
        <w:tc>
          <w:tcPr>
            <w:tcW w:w="825" w:type="dxa"/>
            <w:tcBorders>
              <w:tl2br w:val="nil"/>
              <w:tr2bl w:val="nil"/>
            </w:tcBorders>
            <w:vAlign w:val="center"/>
          </w:tcPr>
          <w:p>
            <w:pPr>
              <w:widowControl/>
              <w:spacing w:line="240" w:lineRule="atLeast"/>
              <w:jc w:val="center"/>
              <w:textAlignment w:val="top"/>
              <w:rPr>
                <w:color w:val="auto"/>
                <w:szCs w:val="21"/>
              </w:rPr>
            </w:pPr>
            <w:r>
              <w:rPr>
                <w:color w:val="auto"/>
                <w:szCs w:val="21"/>
              </w:rPr>
              <w:t>一年</w:t>
            </w: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7"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c>
          <w:tcPr>
            <w:tcW w:w="826" w:type="dxa"/>
            <w:vMerge w:val="continue"/>
            <w:tcBorders>
              <w:tl2br w:val="nil"/>
              <w:tr2bl w:val="nil"/>
            </w:tcBorders>
            <w:vAlign w:val="center"/>
          </w:tcPr>
          <w:p>
            <w:pPr>
              <w:widowControl/>
              <w:spacing w:line="240" w:lineRule="atLeast"/>
              <w:jc w:val="center"/>
              <w:textAlignment w:val="top"/>
              <w:rPr>
                <w:color w:val="auto"/>
                <w:kern w:val="0"/>
                <w:szCs w:val="21"/>
                <w:lang w:bidi="ar"/>
              </w:rPr>
            </w:pPr>
          </w:p>
        </w:tc>
      </w:tr>
    </w:tbl>
    <w:p>
      <w:pPr>
        <w:spacing w:line="360" w:lineRule="auto"/>
        <w:ind w:firstLine="480" w:firstLineChars="200"/>
        <w:rPr>
          <w:color w:val="auto"/>
          <w:sz w:val="24"/>
        </w:rPr>
      </w:pPr>
      <w:r>
        <w:rPr>
          <w:color w:val="auto"/>
          <w:sz w:val="24"/>
        </w:rPr>
        <w:t xml:space="preserve">③危废的运输的要求 </w:t>
      </w:r>
    </w:p>
    <w:p>
      <w:pPr>
        <w:spacing w:line="360" w:lineRule="auto"/>
        <w:ind w:firstLine="480" w:firstLineChars="200"/>
        <w:rPr>
          <w:color w:val="auto"/>
          <w:sz w:val="24"/>
        </w:rPr>
      </w:pPr>
      <w:r>
        <w:rPr>
          <w:color w:val="auto"/>
          <w:sz w:val="24"/>
        </w:rPr>
        <w:t xml:space="preserve">1）危险废物运输应由持有危险废物经营许可证的单位按照其许可证的经营范围组织实施，承担危险废物运输的单位应获得交通运输部门颁发的危险货物运输资质； </w:t>
      </w:r>
    </w:p>
    <w:p>
      <w:pPr>
        <w:spacing w:line="360" w:lineRule="auto"/>
        <w:ind w:firstLine="480" w:firstLineChars="200"/>
        <w:rPr>
          <w:color w:val="auto"/>
          <w:sz w:val="24"/>
        </w:rPr>
      </w:pPr>
      <w:r>
        <w:rPr>
          <w:color w:val="auto"/>
          <w:sz w:val="24"/>
        </w:rPr>
        <w:t xml:space="preserve">2）危险废物公路运输应严格执行《道路危险货物运输管理规定》（交通部令[2005年]第9号）相关标准； </w:t>
      </w:r>
    </w:p>
    <w:p>
      <w:pPr>
        <w:spacing w:line="360" w:lineRule="auto"/>
        <w:ind w:firstLine="480" w:firstLineChars="200"/>
        <w:rPr>
          <w:color w:val="auto"/>
          <w:sz w:val="24"/>
        </w:rPr>
      </w:pPr>
      <w:r>
        <w:rPr>
          <w:color w:val="auto"/>
          <w:sz w:val="24"/>
        </w:rPr>
        <w:t xml:space="preserve">3）卸载区的工作人员应熟悉废物的危险特性，并配备适当的个人防护装备； </w:t>
      </w:r>
    </w:p>
    <w:p>
      <w:pPr>
        <w:spacing w:line="360" w:lineRule="auto"/>
        <w:ind w:firstLine="480" w:firstLineChars="200"/>
        <w:rPr>
          <w:color w:val="auto"/>
          <w:sz w:val="24"/>
        </w:rPr>
      </w:pPr>
      <w:r>
        <w:rPr>
          <w:color w:val="auto"/>
          <w:sz w:val="24"/>
        </w:rPr>
        <w:t xml:space="preserve">4）卸载区应配备必要的消防设备和设施，并设置明显的指示标志。 </w:t>
      </w:r>
    </w:p>
    <w:p>
      <w:pPr>
        <w:spacing w:line="360" w:lineRule="auto"/>
        <w:ind w:firstLine="480" w:firstLineChars="200"/>
        <w:rPr>
          <w:color w:val="auto"/>
          <w:sz w:val="24"/>
        </w:rPr>
      </w:pPr>
      <w:r>
        <w:rPr>
          <w:color w:val="auto"/>
          <w:sz w:val="24"/>
        </w:rPr>
        <w:t>在严格规范危险固废的有关管理和处理处置规定后，项目内的危险固废可以达到100%无害化处理或综合利用，对环境影响较极小。</w:t>
      </w:r>
    </w:p>
    <w:p>
      <w:pPr>
        <w:pStyle w:val="5"/>
        <w:numPr>
          <w:ilvl w:val="1"/>
          <w:numId w:val="0"/>
        </w:numPr>
        <w:tabs>
          <w:tab w:val="clear" w:pos="720"/>
        </w:tabs>
        <w:spacing w:before="159" w:after="159"/>
        <w:rPr>
          <w:color w:val="auto"/>
          <w:sz w:val="32"/>
          <w:szCs w:val="21"/>
        </w:rPr>
      </w:pPr>
      <w:bookmarkStart w:id="3201" w:name="_Toc16984"/>
      <w:bookmarkStart w:id="3202" w:name="_Toc14595"/>
      <w:r>
        <w:rPr>
          <w:color w:val="auto"/>
          <w:sz w:val="32"/>
          <w:szCs w:val="21"/>
        </w:rPr>
        <w:t>8.5  土壤及地下水污染防治措施评述</w:t>
      </w:r>
      <w:bookmarkEnd w:id="3201"/>
      <w:bookmarkEnd w:id="3202"/>
    </w:p>
    <w:p>
      <w:pPr>
        <w:keepNext/>
        <w:keepLines/>
        <w:spacing w:line="360" w:lineRule="auto"/>
        <w:jc w:val="left"/>
        <w:outlineLvl w:val="2"/>
        <w:rPr>
          <w:color w:val="auto"/>
          <w:sz w:val="24"/>
        </w:rPr>
      </w:pPr>
      <w:bookmarkStart w:id="3203" w:name="_Toc3912"/>
      <w:r>
        <w:rPr>
          <w:rFonts w:hint="eastAsia"/>
          <w:b/>
          <w:bCs/>
          <w:color w:val="auto"/>
          <w:sz w:val="28"/>
          <w:szCs w:val="28"/>
        </w:rPr>
        <w:t>8</w:t>
      </w:r>
      <w:r>
        <w:rPr>
          <w:b/>
          <w:bCs/>
          <w:color w:val="auto"/>
          <w:sz w:val="28"/>
          <w:szCs w:val="28"/>
        </w:rPr>
        <w:t>.</w:t>
      </w:r>
      <w:r>
        <w:rPr>
          <w:rFonts w:hint="eastAsia"/>
          <w:b/>
          <w:bCs/>
          <w:color w:val="auto"/>
          <w:sz w:val="28"/>
          <w:szCs w:val="28"/>
        </w:rPr>
        <w:t>5</w:t>
      </w:r>
      <w:r>
        <w:rPr>
          <w:b/>
          <w:bCs/>
          <w:color w:val="auto"/>
          <w:sz w:val="28"/>
          <w:szCs w:val="28"/>
        </w:rPr>
        <w:t>.</w:t>
      </w:r>
      <w:r>
        <w:rPr>
          <w:rFonts w:hint="eastAsia"/>
          <w:b/>
          <w:bCs/>
          <w:color w:val="auto"/>
          <w:sz w:val="28"/>
          <w:szCs w:val="28"/>
        </w:rPr>
        <w:t>1  防治原则</w:t>
      </w:r>
      <w:bookmarkEnd w:id="3203"/>
    </w:p>
    <w:p>
      <w:pPr>
        <w:pStyle w:val="32"/>
        <w:spacing w:line="360" w:lineRule="auto"/>
        <w:ind w:firstLine="480" w:firstLineChars="200"/>
        <w:rPr>
          <w:color w:val="auto"/>
        </w:rPr>
      </w:pPr>
      <w:r>
        <w:rPr>
          <w:color w:val="auto"/>
        </w:rPr>
        <w:t>本项目不以地下水作为供水水源，也不向地下水排污。</w:t>
      </w:r>
      <w:r>
        <w:rPr>
          <w:rFonts w:hint="eastAsia"/>
          <w:color w:val="auto"/>
        </w:rPr>
        <w:t>项目全部地面均做好硬底化处理。</w:t>
      </w:r>
      <w:r>
        <w:rPr>
          <w:color w:val="auto"/>
        </w:rPr>
        <w:t>根据《环境影响评价技术导则地下水环境》（HJ610-2016）</w:t>
      </w:r>
      <w:r>
        <w:rPr>
          <w:rFonts w:hint="eastAsia"/>
          <w:color w:val="auto"/>
        </w:rPr>
        <w:t>、</w:t>
      </w:r>
      <w:r>
        <w:rPr>
          <w:color w:val="auto"/>
        </w:rPr>
        <w:t>《环境影响评价技术导则 土壤环境（试行）》（HJ 964-2018）内容，地下水</w:t>
      </w:r>
      <w:r>
        <w:rPr>
          <w:rFonts w:hint="eastAsia"/>
          <w:color w:val="auto"/>
        </w:rPr>
        <w:t>和土壤</w:t>
      </w:r>
      <w:r>
        <w:rPr>
          <w:color w:val="auto"/>
        </w:rPr>
        <w:t>环境保护措施与对策应按照“源头控制、分区防控、污染监控、应急响应，重点突出饮用水水质安全的原则确定”。结合工程水文地质特点，本项目仍应做好地下水污染防治措施，对厂区采取源头控制和分区防控措施。</w:t>
      </w:r>
    </w:p>
    <w:p>
      <w:pPr>
        <w:adjustRightInd w:val="0"/>
        <w:spacing w:line="360" w:lineRule="auto"/>
        <w:ind w:firstLine="480" w:firstLineChars="200"/>
        <w:rPr>
          <w:color w:val="auto"/>
          <w:sz w:val="24"/>
        </w:rPr>
      </w:pPr>
      <w:r>
        <w:rPr>
          <w:color w:val="auto"/>
          <w:sz w:val="24"/>
        </w:rPr>
        <w:t>1、源头控制措施（主动防渗措施）主要包括提出实施清洁生产及各类废物循环利用的具体方案，减少污染物的排放量；完善污、雨水的收集设施，采用先进工艺，对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并对项目区可能产生污染和无组织泄漏下渗的场地进行防渗处理。</w:t>
      </w:r>
    </w:p>
    <w:p>
      <w:pPr>
        <w:adjustRightInd w:val="0"/>
        <w:spacing w:line="360" w:lineRule="auto"/>
        <w:ind w:firstLine="480" w:firstLineChars="200"/>
        <w:rPr>
          <w:color w:val="auto"/>
          <w:sz w:val="24"/>
        </w:rPr>
      </w:pPr>
      <w:r>
        <w:rPr>
          <w:color w:val="auto"/>
          <w:sz w:val="24"/>
        </w:rPr>
        <w:t>2、末端控制措施主要包括污染区地面的防渗措施和泄漏、渗漏污染物收集措施。对于防渗措施，应严格按照建筑防渗设计规范，在施工中要严格执行较高的标准，房子洒落在地面的污染物渗入地下。末端控制采取分区防渗管理，按要求有区别地对重点污染防治区和一般污染防治区进行建设。</w:t>
      </w:r>
    </w:p>
    <w:p>
      <w:pPr>
        <w:spacing w:line="360" w:lineRule="auto"/>
        <w:ind w:firstLine="480" w:firstLineChars="200"/>
        <w:rPr>
          <w:color w:val="auto"/>
          <w:sz w:val="24"/>
        </w:rPr>
      </w:pPr>
      <w:r>
        <w:rPr>
          <w:color w:val="auto"/>
          <w:sz w:val="24"/>
        </w:rPr>
        <w:t>3、应急响应措施：一旦发现地下水污染事故，马上启动应急预案、采取应急措施控制地下水污染，并使污染得到治理。</w:t>
      </w:r>
    </w:p>
    <w:p>
      <w:pPr>
        <w:keepNext/>
        <w:keepLines/>
        <w:spacing w:line="360" w:lineRule="auto"/>
        <w:jc w:val="left"/>
        <w:outlineLvl w:val="2"/>
        <w:rPr>
          <w:color w:val="auto"/>
          <w:sz w:val="24"/>
        </w:rPr>
      </w:pPr>
      <w:bookmarkStart w:id="3204" w:name="_Toc32493"/>
      <w:r>
        <w:rPr>
          <w:rFonts w:hint="eastAsia"/>
          <w:b/>
          <w:bCs/>
          <w:color w:val="auto"/>
          <w:sz w:val="28"/>
          <w:szCs w:val="28"/>
        </w:rPr>
        <w:t>8</w:t>
      </w:r>
      <w:r>
        <w:rPr>
          <w:b/>
          <w:bCs/>
          <w:color w:val="auto"/>
          <w:sz w:val="28"/>
          <w:szCs w:val="28"/>
        </w:rPr>
        <w:t>.</w:t>
      </w:r>
      <w:r>
        <w:rPr>
          <w:rFonts w:hint="eastAsia"/>
          <w:b/>
          <w:bCs/>
          <w:color w:val="auto"/>
          <w:sz w:val="28"/>
          <w:szCs w:val="28"/>
        </w:rPr>
        <w:t>5</w:t>
      </w:r>
      <w:r>
        <w:rPr>
          <w:b/>
          <w:bCs/>
          <w:color w:val="auto"/>
          <w:sz w:val="28"/>
          <w:szCs w:val="28"/>
        </w:rPr>
        <w:t>.</w:t>
      </w:r>
      <w:r>
        <w:rPr>
          <w:rFonts w:hint="eastAsia"/>
          <w:b/>
          <w:bCs/>
          <w:color w:val="auto"/>
          <w:sz w:val="28"/>
          <w:szCs w:val="28"/>
        </w:rPr>
        <w:t>2  防治措施</w:t>
      </w:r>
      <w:bookmarkEnd w:id="3204"/>
    </w:p>
    <w:p>
      <w:pPr>
        <w:adjustRightInd w:val="0"/>
        <w:spacing w:line="360" w:lineRule="auto"/>
        <w:ind w:firstLine="480" w:firstLineChars="200"/>
        <w:rPr>
          <w:color w:val="auto"/>
          <w:sz w:val="24"/>
        </w:rPr>
      </w:pPr>
      <w:r>
        <w:rPr>
          <w:color w:val="auto"/>
          <w:sz w:val="24"/>
        </w:rPr>
        <w:t>污染物从污染源进入地下水</w:t>
      </w:r>
      <w:r>
        <w:rPr>
          <w:rFonts w:hint="eastAsia"/>
          <w:color w:val="auto"/>
          <w:sz w:val="24"/>
        </w:rPr>
        <w:t>、土壤</w:t>
      </w:r>
      <w:r>
        <w:rPr>
          <w:color w:val="auto"/>
          <w:sz w:val="24"/>
        </w:rPr>
        <w:t>所经过路径称为污染途径，污染途径是多种多样的。根据工程所处区域的地质情况，本项目可能对</w:t>
      </w:r>
      <w:r>
        <w:rPr>
          <w:rFonts w:hint="eastAsia"/>
          <w:color w:val="auto"/>
          <w:sz w:val="24"/>
        </w:rPr>
        <w:t>地</w:t>
      </w:r>
      <w:r>
        <w:rPr>
          <w:color w:val="auto"/>
          <w:sz w:val="24"/>
        </w:rPr>
        <w:t>下水</w:t>
      </w:r>
      <w:r>
        <w:rPr>
          <w:rFonts w:hint="eastAsia"/>
          <w:color w:val="auto"/>
          <w:sz w:val="24"/>
        </w:rPr>
        <w:t>和土壤</w:t>
      </w:r>
      <w:r>
        <w:rPr>
          <w:color w:val="auto"/>
          <w:sz w:val="24"/>
        </w:rPr>
        <w:t>造成污染的途径主要为：重点防渗区、一般防渗区所配套的污染防治设施的破裂导致污水的下渗，对地下水造成的污染。</w:t>
      </w:r>
    </w:p>
    <w:p>
      <w:pPr>
        <w:pStyle w:val="32"/>
        <w:spacing w:line="360" w:lineRule="auto"/>
        <w:ind w:firstLine="480" w:firstLineChars="200"/>
        <w:rPr>
          <w:bCs/>
          <w:color w:val="auto"/>
        </w:rPr>
      </w:pPr>
      <w:r>
        <w:rPr>
          <w:bCs/>
          <w:color w:val="auto"/>
        </w:rPr>
        <w:t>为保护地下水环境不受污染影响，根据构筑物功能和污染源分布情况，从污染防范角度按分区防渗理念，将场地划分为重点防渗区和一般防渗区，并对上述区域落实相应的防腐防渗措施，具体如下。</w:t>
      </w:r>
    </w:p>
    <w:p>
      <w:pPr>
        <w:pStyle w:val="32"/>
        <w:spacing w:line="360" w:lineRule="auto"/>
        <w:ind w:firstLine="480" w:firstLineChars="200"/>
        <w:rPr>
          <w:bCs/>
          <w:color w:val="auto"/>
        </w:rPr>
      </w:pPr>
      <w:r>
        <w:rPr>
          <w:bCs/>
          <w:color w:val="auto"/>
        </w:rPr>
        <w:t>1、重点防渗区</w:t>
      </w:r>
    </w:p>
    <w:p>
      <w:pPr>
        <w:pStyle w:val="32"/>
        <w:spacing w:line="360" w:lineRule="auto"/>
        <w:ind w:firstLine="480" w:firstLineChars="200"/>
        <w:rPr>
          <w:bCs/>
          <w:color w:val="auto"/>
        </w:rPr>
      </w:pPr>
      <w:r>
        <w:rPr>
          <w:bCs/>
          <w:color w:val="auto"/>
        </w:rPr>
        <w:t>根据本项目厂内设备的布置情况，重点防渗区主要包括：</w:t>
      </w:r>
      <w:r>
        <w:rPr>
          <w:rFonts w:hint="eastAsia"/>
          <w:color w:val="auto"/>
        </w:rPr>
        <w:t>三级化粪池</w:t>
      </w:r>
      <w:r>
        <w:rPr>
          <w:bCs/>
          <w:color w:val="auto"/>
        </w:rPr>
        <w:t>、</w:t>
      </w:r>
      <w:r>
        <w:rPr>
          <w:rFonts w:hint="eastAsia"/>
          <w:bCs/>
          <w:color w:val="auto"/>
        </w:rPr>
        <w:t>沉淀池、储罐和</w:t>
      </w:r>
      <w:r>
        <w:rPr>
          <w:bCs/>
          <w:color w:val="auto"/>
        </w:rPr>
        <w:t>危废暂存间。</w:t>
      </w:r>
    </w:p>
    <w:p>
      <w:pPr>
        <w:pStyle w:val="32"/>
        <w:spacing w:line="360" w:lineRule="auto"/>
        <w:ind w:firstLine="480" w:firstLineChars="200"/>
        <w:rPr>
          <w:bCs/>
          <w:color w:val="auto"/>
        </w:rPr>
      </w:pPr>
      <w:r>
        <w:rPr>
          <w:bCs/>
          <w:color w:val="auto"/>
        </w:rPr>
        <w:t>（1）</w:t>
      </w:r>
      <w:r>
        <w:rPr>
          <w:rFonts w:hint="eastAsia"/>
          <w:color w:val="auto"/>
        </w:rPr>
        <w:t>三级化粪池、沉淀池</w:t>
      </w:r>
    </w:p>
    <w:p>
      <w:pPr>
        <w:pStyle w:val="32"/>
        <w:spacing w:line="360" w:lineRule="auto"/>
        <w:ind w:firstLine="480" w:firstLineChars="200"/>
        <w:rPr>
          <w:bCs/>
          <w:color w:val="auto"/>
        </w:rPr>
      </w:pPr>
      <w:r>
        <w:rPr>
          <w:bCs/>
          <w:color w:val="auto"/>
        </w:rPr>
        <w:t>本项目拟使用</w:t>
      </w:r>
      <w:r>
        <w:rPr>
          <w:rFonts w:hint="eastAsia"/>
          <w:color w:val="auto"/>
        </w:rPr>
        <w:t>三级化粪池</w:t>
      </w:r>
      <w:r>
        <w:rPr>
          <w:bCs/>
          <w:color w:val="auto"/>
        </w:rPr>
        <w:t>处理生活水</w:t>
      </w:r>
      <w:r>
        <w:rPr>
          <w:rFonts w:hint="eastAsia"/>
          <w:bCs/>
          <w:color w:val="auto"/>
        </w:rPr>
        <w:t>，使用沉淀池处理生产废水</w:t>
      </w:r>
      <w:r>
        <w:rPr>
          <w:bCs/>
          <w:color w:val="auto"/>
        </w:rPr>
        <w:t>。</w:t>
      </w:r>
      <w:r>
        <w:rPr>
          <w:rFonts w:hint="eastAsia"/>
          <w:color w:val="auto"/>
        </w:rPr>
        <w:t>三级化粪池</w:t>
      </w:r>
      <w:r>
        <w:rPr>
          <w:bCs/>
          <w:color w:val="auto"/>
        </w:rPr>
        <w:t>为</w:t>
      </w:r>
      <w:r>
        <w:rPr>
          <w:rFonts w:hint="eastAsia"/>
          <w:bCs/>
          <w:color w:val="auto"/>
        </w:rPr>
        <w:t>地埋式</w:t>
      </w:r>
      <w:r>
        <w:rPr>
          <w:bCs/>
          <w:color w:val="auto"/>
        </w:rPr>
        <w:t>，</w:t>
      </w:r>
      <w:r>
        <w:rPr>
          <w:rFonts w:hint="eastAsia"/>
          <w:color w:val="auto"/>
        </w:rPr>
        <w:t>沉淀池为地面式。其</w:t>
      </w:r>
      <w:r>
        <w:rPr>
          <w:bCs/>
          <w:color w:val="auto"/>
        </w:rPr>
        <w:t>池体以及周边地面应用防渗混凝土进行硬化，同时项目范围内的排污沟、雨水排放沟及相应的U形槽均应作防渗处理。可铺设防渗结构和涂抹防渗涂料作防渗处理，防渗结构厚度不小40mm，防渗系数等效于黏土防渗层Mb≥6.0m，K≤1×10</w:t>
      </w:r>
      <w:r>
        <w:rPr>
          <w:bCs/>
          <w:color w:val="auto"/>
          <w:vertAlign w:val="superscript"/>
        </w:rPr>
        <w:t>-7</w:t>
      </w:r>
      <w:r>
        <w:rPr>
          <w:bCs/>
          <w:color w:val="auto"/>
        </w:rPr>
        <w:t>cm/s，以防止污水泄漏污染地下水</w:t>
      </w:r>
      <w:r>
        <w:rPr>
          <w:rFonts w:hint="eastAsia"/>
          <w:bCs/>
          <w:color w:val="auto"/>
        </w:rPr>
        <w:t>和土壤</w:t>
      </w:r>
      <w:r>
        <w:rPr>
          <w:bCs/>
          <w:color w:val="auto"/>
        </w:rPr>
        <w:t>。</w:t>
      </w:r>
    </w:p>
    <w:p>
      <w:pPr>
        <w:pStyle w:val="32"/>
        <w:spacing w:line="360" w:lineRule="auto"/>
        <w:ind w:firstLine="480" w:firstLineChars="200"/>
        <w:rPr>
          <w:bCs/>
          <w:color w:val="auto"/>
        </w:rPr>
      </w:pPr>
      <w:r>
        <w:rPr>
          <w:bCs/>
          <w:color w:val="auto"/>
        </w:rPr>
        <w:t>（2）危废暂存间</w:t>
      </w:r>
      <w:r>
        <w:rPr>
          <w:rFonts w:hint="eastAsia"/>
          <w:bCs/>
          <w:color w:val="auto"/>
        </w:rPr>
        <w:t>、储罐</w:t>
      </w:r>
    </w:p>
    <w:p>
      <w:pPr>
        <w:pStyle w:val="32"/>
        <w:spacing w:line="360" w:lineRule="auto"/>
        <w:ind w:firstLine="480" w:firstLineChars="200"/>
        <w:rPr>
          <w:bCs/>
          <w:color w:val="auto"/>
        </w:rPr>
      </w:pPr>
      <w:r>
        <w:rPr>
          <w:bCs/>
          <w:color w:val="auto"/>
        </w:rPr>
        <w:t>项目的危废暂存间</w:t>
      </w:r>
      <w:r>
        <w:rPr>
          <w:rFonts w:hint="eastAsia"/>
          <w:bCs/>
          <w:color w:val="auto"/>
        </w:rPr>
        <w:t>和储罐</w:t>
      </w:r>
      <w:r>
        <w:rPr>
          <w:bCs/>
          <w:color w:val="auto"/>
        </w:rPr>
        <w:t>应按《危险废物贮存污染控制标准》（GB8597-2001）及其2013年修改单、《危险废物填埋场污染控制标准》（GB18598-2001）设置防漏防渗措施，采取有效的措施防止危险废物散失。基础必须防渗，防渗层为至少lm厚粘土层（渗透系数≤10</w:t>
      </w:r>
      <w:r>
        <w:rPr>
          <w:bCs/>
          <w:color w:val="auto"/>
          <w:vertAlign w:val="superscript"/>
        </w:rPr>
        <w:t>-7</w:t>
      </w:r>
      <w:r>
        <w:rPr>
          <w:bCs/>
          <w:color w:val="auto"/>
        </w:rPr>
        <w:t>cm/s），或2mm厚高密度聚乙烯，或至少2mm厚的其它人工材料，渗透系数≤10</w:t>
      </w:r>
      <w:r>
        <w:rPr>
          <w:bCs/>
          <w:color w:val="auto"/>
          <w:vertAlign w:val="superscript"/>
        </w:rPr>
        <w:t>-10</w:t>
      </w:r>
      <w:r>
        <w:rPr>
          <w:bCs/>
          <w:color w:val="auto"/>
        </w:rPr>
        <w:t>cm/s；衬里要能够覆盖危险废物或其溶出物可能涉及到的范围；衬里材料与堆放危险废物相容。并需要设置导流沟，以防止危险物料及其废水的渗漏，从而污染地下水</w:t>
      </w:r>
      <w:r>
        <w:rPr>
          <w:rFonts w:hint="eastAsia"/>
          <w:bCs/>
          <w:color w:val="auto"/>
        </w:rPr>
        <w:t>和土壤</w:t>
      </w:r>
      <w:r>
        <w:rPr>
          <w:bCs/>
          <w:color w:val="auto"/>
        </w:rPr>
        <w:t>。</w:t>
      </w:r>
    </w:p>
    <w:p>
      <w:pPr>
        <w:pStyle w:val="32"/>
        <w:spacing w:line="360" w:lineRule="auto"/>
        <w:ind w:firstLine="480" w:firstLineChars="200"/>
        <w:rPr>
          <w:bCs/>
          <w:color w:val="auto"/>
        </w:rPr>
      </w:pPr>
      <w:r>
        <w:rPr>
          <w:bCs/>
          <w:color w:val="auto"/>
        </w:rPr>
        <w:t>2、一般防渗区</w:t>
      </w:r>
    </w:p>
    <w:p>
      <w:pPr>
        <w:pStyle w:val="32"/>
        <w:spacing w:line="360" w:lineRule="auto"/>
        <w:ind w:firstLine="480" w:firstLineChars="200"/>
        <w:rPr>
          <w:bCs/>
          <w:color w:val="auto"/>
        </w:rPr>
      </w:pPr>
      <w:r>
        <w:rPr>
          <w:bCs/>
          <w:color w:val="auto"/>
        </w:rPr>
        <w:t>根据本项目厂内设备的布置情况，一般防渗区主要包括</w:t>
      </w:r>
      <w:r>
        <w:rPr>
          <w:rFonts w:hint="eastAsia"/>
          <w:bCs/>
          <w:color w:val="auto"/>
        </w:rPr>
        <w:t>湿式破碎生产区</w:t>
      </w:r>
      <w:r>
        <w:rPr>
          <w:bCs/>
          <w:color w:val="auto"/>
        </w:rPr>
        <w:t>、</w:t>
      </w:r>
      <w:r>
        <w:rPr>
          <w:rFonts w:hint="eastAsia"/>
          <w:bCs/>
          <w:color w:val="auto"/>
        </w:rPr>
        <w:t>卷材生产区、原料堆放区</w:t>
      </w:r>
      <w:r>
        <w:rPr>
          <w:bCs/>
          <w:color w:val="auto"/>
        </w:rPr>
        <w:t>、</w:t>
      </w:r>
      <w:r>
        <w:rPr>
          <w:rFonts w:hint="eastAsia"/>
          <w:bCs/>
          <w:color w:val="auto"/>
        </w:rPr>
        <w:t>办公室</w:t>
      </w:r>
      <w:r>
        <w:rPr>
          <w:bCs/>
          <w:color w:val="auto"/>
        </w:rPr>
        <w:t>。</w:t>
      </w:r>
    </w:p>
    <w:p>
      <w:pPr>
        <w:pStyle w:val="32"/>
        <w:spacing w:line="360" w:lineRule="auto"/>
        <w:ind w:firstLine="480" w:firstLineChars="200"/>
        <w:rPr>
          <w:bCs/>
          <w:color w:val="auto"/>
        </w:rPr>
      </w:pPr>
      <w:r>
        <w:rPr>
          <w:rFonts w:hint="eastAsia"/>
          <w:bCs/>
          <w:color w:val="auto"/>
        </w:rPr>
        <w:t>湿式破碎生产区</w:t>
      </w:r>
      <w:r>
        <w:rPr>
          <w:bCs/>
          <w:color w:val="auto"/>
        </w:rPr>
        <w:t>、</w:t>
      </w:r>
      <w:r>
        <w:rPr>
          <w:rFonts w:hint="eastAsia"/>
          <w:bCs/>
          <w:color w:val="auto"/>
        </w:rPr>
        <w:t>卷材生产区、原料堆放区</w:t>
      </w:r>
      <w:r>
        <w:rPr>
          <w:bCs/>
          <w:color w:val="auto"/>
        </w:rPr>
        <w:t>、</w:t>
      </w:r>
      <w:r>
        <w:rPr>
          <w:rFonts w:hint="eastAsia"/>
          <w:bCs/>
          <w:color w:val="auto"/>
        </w:rPr>
        <w:t>办公室</w:t>
      </w:r>
      <w:r>
        <w:rPr>
          <w:bCs/>
          <w:color w:val="auto"/>
        </w:rPr>
        <w:t>应作防渗处理，即采取粘土铺底，等效黏土防渗层Mb≥1.5m，K≤1×10</w:t>
      </w:r>
      <w:r>
        <w:rPr>
          <w:bCs/>
          <w:color w:val="auto"/>
          <w:vertAlign w:val="superscript"/>
        </w:rPr>
        <w:t>-7</w:t>
      </w:r>
      <w:r>
        <w:rPr>
          <w:bCs/>
          <w:color w:val="auto"/>
        </w:rPr>
        <w:t>cm/s，再在上层铺10~15cm的水泥进行硬化，然后涂刷防腐环氧树脂层作为防渗层。。通过上述措施可使一般污染物各单元防渗层渗透系数≤10</w:t>
      </w:r>
      <w:r>
        <w:rPr>
          <w:bCs/>
          <w:color w:val="auto"/>
          <w:vertAlign w:val="superscript"/>
        </w:rPr>
        <w:t>-7</w:t>
      </w:r>
      <w:r>
        <w:rPr>
          <w:bCs/>
          <w:color w:val="auto"/>
        </w:rPr>
        <w:t>cm/s，可满足《一般工业固体废物贮存、处置场污染控制标准》（GB18599-2001）Ⅱ类场一般污染区防渗要求。</w:t>
      </w:r>
    </w:p>
    <w:p>
      <w:pPr>
        <w:spacing w:line="360" w:lineRule="auto"/>
        <w:ind w:firstLine="480" w:firstLineChars="200"/>
        <w:rPr>
          <w:color w:val="auto"/>
          <w:sz w:val="24"/>
        </w:rPr>
      </w:pPr>
      <w:r>
        <w:rPr>
          <w:color w:val="auto"/>
          <w:sz w:val="24"/>
        </w:rPr>
        <w:t>3、简单防渗区</w:t>
      </w:r>
    </w:p>
    <w:p>
      <w:pPr>
        <w:spacing w:line="360" w:lineRule="auto"/>
        <w:ind w:firstLine="480" w:firstLineChars="200"/>
        <w:rPr>
          <w:color w:val="auto"/>
          <w:sz w:val="24"/>
        </w:rPr>
        <w:sectPr>
          <w:headerReference r:id="rId9" w:type="first"/>
          <w:footerReference r:id="rId11" w:type="first"/>
          <w:headerReference r:id="rId8" w:type="even"/>
          <w:footerReference r:id="rId10" w:type="even"/>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对于</w:t>
      </w:r>
      <w:r>
        <w:rPr>
          <w:bCs/>
          <w:color w:val="auto"/>
          <w:sz w:val="24"/>
        </w:rPr>
        <w:t>办公室及车间内的</w:t>
      </w:r>
      <w:r>
        <w:rPr>
          <w:rFonts w:hint="eastAsia"/>
          <w:bCs/>
          <w:color w:val="auto"/>
          <w:sz w:val="24"/>
        </w:rPr>
        <w:t>通道</w:t>
      </w:r>
      <w:r>
        <w:rPr>
          <w:bCs/>
          <w:color w:val="auto"/>
          <w:sz w:val="24"/>
        </w:rPr>
        <w:t>，可</w:t>
      </w:r>
      <w:r>
        <w:rPr>
          <w:color w:val="auto"/>
          <w:sz w:val="24"/>
        </w:rPr>
        <w:t>不采取专门针对地下水污染的防治措施，但装置区外系统管廊区地基处理应分层压实。通过采取防泄漏、防溢流、防腐蚀等措施。</w:t>
      </w:r>
    </w:p>
    <w:p>
      <w:pPr>
        <w:jc w:val="center"/>
        <w:rPr>
          <w:color w:val="auto"/>
        </w:rPr>
      </w:pPr>
      <w:r>
        <w:rPr>
          <w:b/>
          <w:bCs/>
          <w:color w:val="auto"/>
          <w:szCs w:val="28"/>
        </w:rPr>
        <w:t>表</w:t>
      </w:r>
      <w:r>
        <w:rPr>
          <w:rFonts w:hint="eastAsia"/>
          <w:b/>
          <w:bCs/>
          <w:color w:val="auto"/>
          <w:szCs w:val="28"/>
        </w:rPr>
        <w:t>8</w:t>
      </w:r>
      <w:r>
        <w:rPr>
          <w:b/>
          <w:bCs/>
          <w:color w:val="auto"/>
          <w:szCs w:val="28"/>
        </w:rPr>
        <w:t>.5-1  项目厂区污染防渗分区</w:t>
      </w:r>
    </w:p>
    <w:tbl>
      <w:tblPr>
        <w:tblStyle w:val="23"/>
        <w:tblW w:w="14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1644"/>
        <w:gridCol w:w="9367"/>
        <w:gridCol w:w="2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tblHeader/>
          <w:jc w:val="center"/>
        </w:trPr>
        <w:tc>
          <w:tcPr>
            <w:tcW w:w="1192" w:type="dxa"/>
            <w:vAlign w:val="center"/>
          </w:tcPr>
          <w:p>
            <w:pPr>
              <w:tabs>
                <w:tab w:val="left" w:pos="480"/>
              </w:tabs>
              <w:snapToGrid w:val="0"/>
              <w:ind w:left="-42" w:leftChars="-20" w:right="-42" w:rightChars="-20"/>
              <w:jc w:val="center"/>
              <w:rPr>
                <w:b/>
                <w:color w:val="auto"/>
                <w:szCs w:val="21"/>
              </w:rPr>
            </w:pPr>
            <w:r>
              <w:rPr>
                <w:bCs/>
                <w:color w:val="auto"/>
                <w:szCs w:val="21"/>
              </w:rPr>
              <w:t>分区</w:t>
            </w:r>
          </w:p>
        </w:tc>
        <w:tc>
          <w:tcPr>
            <w:tcW w:w="1644" w:type="dxa"/>
            <w:vAlign w:val="center"/>
          </w:tcPr>
          <w:p>
            <w:pPr>
              <w:tabs>
                <w:tab w:val="left" w:pos="480"/>
              </w:tabs>
              <w:snapToGrid w:val="0"/>
              <w:ind w:left="-42" w:leftChars="-20" w:right="-42" w:rightChars="-20"/>
              <w:jc w:val="center"/>
              <w:rPr>
                <w:bCs/>
                <w:color w:val="auto"/>
                <w:szCs w:val="21"/>
              </w:rPr>
            </w:pPr>
            <w:r>
              <w:rPr>
                <w:bCs/>
                <w:color w:val="auto"/>
                <w:szCs w:val="21"/>
              </w:rPr>
              <w:t>工程内容</w:t>
            </w:r>
          </w:p>
        </w:tc>
        <w:tc>
          <w:tcPr>
            <w:tcW w:w="9367" w:type="dxa"/>
            <w:vAlign w:val="center"/>
          </w:tcPr>
          <w:p>
            <w:pPr>
              <w:tabs>
                <w:tab w:val="left" w:pos="480"/>
              </w:tabs>
              <w:snapToGrid w:val="0"/>
              <w:ind w:left="-42" w:leftChars="-20" w:right="-42" w:rightChars="-20"/>
              <w:jc w:val="center"/>
              <w:rPr>
                <w:bCs/>
                <w:color w:val="auto"/>
                <w:szCs w:val="21"/>
              </w:rPr>
            </w:pPr>
            <w:r>
              <w:rPr>
                <w:bCs/>
                <w:color w:val="auto"/>
                <w:szCs w:val="21"/>
              </w:rPr>
              <w:t>防渗方案</w:t>
            </w:r>
          </w:p>
        </w:tc>
        <w:tc>
          <w:tcPr>
            <w:tcW w:w="2017" w:type="dxa"/>
            <w:vAlign w:val="center"/>
          </w:tcPr>
          <w:p>
            <w:pPr>
              <w:tabs>
                <w:tab w:val="left" w:pos="480"/>
              </w:tabs>
              <w:snapToGrid w:val="0"/>
              <w:ind w:left="-42" w:leftChars="-20" w:right="-42" w:rightChars="-20"/>
              <w:jc w:val="center"/>
              <w:rPr>
                <w:bCs/>
                <w:color w:val="auto"/>
                <w:szCs w:val="21"/>
              </w:rPr>
            </w:pPr>
            <w:r>
              <w:rPr>
                <w:bCs/>
                <w:color w:val="auto"/>
                <w:szCs w:val="21"/>
              </w:rPr>
              <w:t>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1192" w:type="dxa"/>
            <w:vMerge w:val="restart"/>
            <w:vAlign w:val="center"/>
          </w:tcPr>
          <w:p>
            <w:pPr>
              <w:tabs>
                <w:tab w:val="left" w:pos="480"/>
              </w:tabs>
              <w:snapToGrid w:val="0"/>
              <w:ind w:left="-42" w:leftChars="-20" w:right="-42" w:rightChars="-20"/>
              <w:jc w:val="center"/>
              <w:rPr>
                <w:color w:val="auto"/>
                <w:szCs w:val="21"/>
              </w:rPr>
            </w:pPr>
          </w:p>
        </w:tc>
        <w:tc>
          <w:tcPr>
            <w:tcW w:w="1644" w:type="dxa"/>
            <w:vAlign w:val="center"/>
          </w:tcPr>
          <w:p>
            <w:pPr>
              <w:tabs>
                <w:tab w:val="left" w:pos="480"/>
              </w:tabs>
              <w:snapToGrid w:val="0"/>
              <w:ind w:left="-42" w:leftChars="-20" w:right="-42" w:rightChars="-20"/>
              <w:jc w:val="center"/>
              <w:rPr>
                <w:color w:val="auto"/>
                <w:szCs w:val="21"/>
              </w:rPr>
            </w:pPr>
            <w:r>
              <w:rPr>
                <w:color w:val="auto"/>
                <w:szCs w:val="21"/>
              </w:rPr>
              <w:t>沉淀池</w:t>
            </w:r>
            <w:r>
              <w:rPr>
                <w:rFonts w:hint="eastAsia"/>
                <w:color w:val="auto"/>
                <w:szCs w:val="21"/>
              </w:rPr>
              <w:t>、三级化粪池</w:t>
            </w:r>
          </w:p>
        </w:tc>
        <w:tc>
          <w:tcPr>
            <w:tcW w:w="9367" w:type="dxa"/>
            <w:tcBorders>
              <w:top w:val="single" w:color="000000" w:sz="4" w:space="0"/>
              <w:bottom w:val="single" w:color="000000" w:sz="4" w:space="0"/>
            </w:tcBorders>
            <w:vAlign w:val="center"/>
          </w:tcPr>
          <w:p>
            <w:pPr>
              <w:jc w:val="left"/>
              <w:rPr>
                <w:color w:val="auto"/>
                <w:szCs w:val="21"/>
              </w:rPr>
            </w:pPr>
            <w:r>
              <w:rPr>
                <w:color w:val="auto"/>
                <w:szCs w:val="21"/>
              </w:rPr>
              <w:t>防渗层构造：池体采用抗渗钢筋混凝土（抗渗等级不低于P8），在池壁铺一层防腐材料。</w:t>
            </w:r>
          </w:p>
          <w:p>
            <w:pPr>
              <w:jc w:val="left"/>
              <w:rPr>
                <w:color w:val="auto"/>
                <w:szCs w:val="21"/>
              </w:rPr>
            </w:pPr>
            <w:r>
              <w:rPr>
                <w:color w:val="auto"/>
                <w:szCs w:val="21"/>
              </w:rPr>
              <w:t>管道防渗：认真做好管道外观观测和通水试验，施工中加强监管，根据管径尺寸、设置固定垂直、水平支架、避免管道偏心、变形而渗水，地下埋管应设砖墩支撑，回填土时应两侧同时回填避免管道侧向变形，回填土前必须先做通水试验；尽量采用PVC管，避免采用铁管等易受地下水腐蚀的管道。</w:t>
            </w:r>
          </w:p>
        </w:tc>
        <w:tc>
          <w:tcPr>
            <w:tcW w:w="2017" w:type="dxa"/>
            <w:tcBorders>
              <w:top w:val="single" w:color="000000" w:sz="4" w:space="0"/>
              <w:bottom w:val="single" w:color="000000" w:sz="4" w:space="0"/>
            </w:tcBorders>
            <w:vAlign w:val="center"/>
          </w:tcPr>
          <w:p>
            <w:pPr>
              <w:tabs>
                <w:tab w:val="left" w:pos="480"/>
              </w:tabs>
              <w:snapToGrid w:val="0"/>
              <w:ind w:left="-42" w:leftChars="-20" w:right="-42" w:rightChars="-20"/>
              <w:rPr>
                <w:color w:val="auto"/>
                <w:szCs w:val="21"/>
              </w:rPr>
            </w:pPr>
            <w:r>
              <w:rPr>
                <w:bCs/>
                <w:color w:val="auto"/>
                <w:szCs w:val="21"/>
              </w:rPr>
              <w:t>防渗结构厚度不小40mm，防渗系数等效于黏土防渗层Mb≥6.0m，K≤1×10</w:t>
            </w:r>
            <w:r>
              <w:rPr>
                <w:bCs/>
                <w:color w:val="auto"/>
                <w:szCs w:val="21"/>
                <w:vertAlign w:val="superscript"/>
              </w:rPr>
              <w:t>-7</w:t>
            </w:r>
            <w:r>
              <w:rPr>
                <w:bCs/>
                <w:color w:val="auto"/>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92" w:type="dxa"/>
            <w:vMerge w:val="continue"/>
            <w:vAlign w:val="center"/>
          </w:tcPr>
          <w:p>
            <w:pPr>
              <w:ind w:left="-42" w:leftChars="-20" w:right="-42" w:rightChars="-20"/>
              <w:jc w:val="left"/>
              <w:rPr>
                <w:color w:val="auto"/>
                <w:szCs w:val="21"/>
              </w:rPr>
            </w:pPr>
          </w:p>
        </w:tc>
        <w:tc>
          <w:tcPr>
            <w:tcW w:w="1644" w:type="dxa"/>
            <w:vAlign w:val="center"/>
          </w:tcPr>
          <w:p>
            <w:pPr>
              <w:tabs>
                <w:tab w:val="left" w:pos="480"/>
              </w:tabs>
              <w:snapToGrid w:val="0"/>
              <w:ind w:left="-42" w:leftChars="-20" w:right="-42" w:rightChars="-20"/>
              <w:jc w:val="center"/>
              <w:rPr>
                <w:color w:val="auto"/>
                <w:szCs w:val="21"/>
              </w:rPr>
            </w:pPr>
            <w:r>
              <w:rPr>
                <w:color w:val="auto"/>
                <w:szCs w:val="21"/>
              </w:rPr>
              <w:t>危废暂存间</w:t>
            </w:r>
          </w:p>
        </w:tc>
        <w:tc>
          <w:tcPr>
            <w:tcW w:w="9367" w:type="dxa"/>
            <w:tcBorders>
              <w:top w:val="single" w:color="000000" w:sz="4" w:space="0"/>
            </w:tcBorders>
            <w:vAlign w:val="center"/>
          </w:tcPr>
          <w:p>
            <w:pPr>
              <w:jc w:val="left"/>
              <w:rPr>
                <w:color w:val="auto"/>
                <w:szCs w:val="21"/>
              </w:rPr>
            </w:pPr>
            <w:r>
              <w:rPr>
                <w:color w:val="auto"/>
                <w:szCs w:val="21"/>
              </w:rPr>
              <w:t xml:space="preserve">（1）防渗层构造：防渗层为至少1m </w:t>
            </w:r>
            <w:r>
              <w:rPr>
                <w:rFonts w:hint="eastAsia"/>
                <w:color w:val="auto"/>
                <w:szCs w:val="21"/>
              </w:rPr>
              <w:t>厚</w:t>
            </w:r>
            <w:r>
              <w:rPr>
                <w:color w:val="auto"/>
                <w:szCs w:val="21"/>
              </w:rPr>
              <w:t>粘土层（渗透系数≤10</w:t>
            </w:r>
            <w:r>
              <w:rPr>
                <w:color w:val="auto"/>
                <w:szCs w:val="21"/>
                <w:vertAlign w:val="superscript"/>
              </w:rPr>
              <w:t>-7</w:t>
            </w:r>
            <w:r>
              <w:rPr>
                <w:color w:val="auto"/>
                <w:szCs w:val="21"/>
              </w:rPr>
              <w:t>cm/s），或2mm厚高密度聚乙烯，或至少2mm厚的其他人工材料，渗透系数≤10</w:t>
            </w:r>
            <w:r>
              <w:rPr>
                <w:color w:val="auto"/>
                <w:szCs w:val="21"/>
                <w:vertAlign w:val="superscript"/>
              </w:rPr>
              <w:t>-10</w:t>
            </w:r>
            <w:r>
              <w:rPr>
                <w:color w:val="auto"/>
                <w:szCs w:val="21"/>
              </w:rPr>
              <w:t>cm/s。</w:t>
            </w:r>
          </w:p>
          <w:p>
            <w:pPr>
              <w:jc w:val="left"/>
              <w:rPr>
                <w:color w:val="auto"/>
                <w:szCs w:val="21"/>
              </w:rPr>
            </w:pPr>
            <w:r>
              <w:rPr>
                <w:color w:val="auto"/>
                <w:szCs w:val="21"/>
              </w:rPr>
              <w:t>（2）各仓库（含包含在车间内部的原辅材料仓）门口应设置高度不小于10cm的慢坡。</w:t>
            </w:r>
          </w:p>
          <w:p>
            <w:pPr>
              <w:jc w:val="left"/>
              <w:rPr>
                <w:color w:val="auto"/>
                <w:szCs w:val="21"/>
              </w:rPr>
            </w:pPr>
            <w:r>
              <w:rPr>
                <w:color w:val="auto"/>
                <w:szCs w:val="21"/>
              </w:rPr>
              <w:t>（3）暂存仓库内部渗滤液排水沟，除敷设基础防渗层外，内表面涂刷水泥基渗透结晶型防水剂。</w:t>
            </w:r>
          </w:p>
        </w:tc>
        <w:tc>
          <w:tcPr>
            <w:tcW w:w="2017" w:type="dxa"/>
            <w:vMerge w:val="restart"/>
            <w:tcBorders>
              <w:top w:val="single" w:color="000000" w:sz="4" w:space="0"/>
            </w:tcBorders>
            <w:vAlign w:val="center"/>
          </w:tcPr>
          <w:p>
            <w:pPr>
              <w:jc w:val="left"/>
              <w:rPr>
                <w:color w:val="auto"/>
                <w:szCs w:val="21"/>
              </w:rPr>
            </w:pPr>
            <w:r>
              <w:rPr>
                <w:color w:val="auto"/>
                <w:szCs w:val="21"/>
              </w:rPr>
              <w:t>满足《危险废物贮存污染控制标准》（GB18597-2001）</w:t>
            </w:r>
          </w:p>
          <w:p>
            <w:pPr>
              <w:tabs>
                <w:tab w:val="left" w:pos="480"/>
              </w:tabs>
              <w:snapToGrid w:val="0"/>
              <w:ind w:left="-42" w:leftChars="-20" w:right="-42" w:rightChars="-20"/>
              <w:jc w:val="center"/>
              <w:rPr>
                <w:color w:val="auto"/>
                <w:szCs w:val="21"/>
              </w:rPr>
            </w:pPr>
            <w:r>
              <w:rPr>
                <w:color w:val="auto"/>
                <w:szCs w:val="21"/>
              </w:rPr>
              <w:t>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92" w:type="dxa"/>
            <w:vMerge w:val="continue"/>
            <w:vAlign w:val="center"/>
          </w:tcPr>
          <w:p>
            <w:pPr>
              <w:ind w:left="-42" w:leftChars="-20" w:right="-42" w:rightChars="-20"/>
              <w:jc w:val="left"/>
              <w:rPr>
                <w:color w:val="auto"/>
                <w:szCs w:val="21"/>
              </w:rPr>
            </w:pPr>
          </w:p>
        </w:tc>
        <w:tc>
          <w:tcPr>
            <w:tcW w:w="1644" w:type="dxa"/>
            <w:vAlign w:val="center"/>
          </w:tcPr>
          <w:p>
            <w:pPr>
              <w:tabs>
                <w:tab w:val="left" w:pos="480"/>
              </w:tabs>
              <w:snapToGrid w:val="0"/>
              <w:ind w:left="-42" w:leftChars="-20" w:right="-42" w:rightChars="-20"/>
              <w:jc w:val="center"/>
              <w:rPr>
                <w:color w:val="auto"/>
                <w:szCs w:val="21"/>
              </w:rPr>
            </w:pPr>
            <w:r>
              <w:rPr>
                <w:color w:val="auto"/>
                <w:szCs w:val="21"/>
              </w:rPr>
              <w:t>储罐</w:t>
            </w:r>
          </w:p>
        </w:tc>
        <w:tc>
          <w:tcPr>
            <w:tcW w:w="9367" w:type="dxa"/>
            <w:tcBorders>
              <w:top w:val="single" w:color="000000" w:sz="4" w:space="0"/>
            </w:tcBorders>
            <w:vAlign w:val="center"/>
          </w:tcPr>
          <w:p>
            <w:pPr>
              <w:jc w:val="left"/>
              <w:rPr>
                <w:color w:val="auto"/>
                <w:szCs w:val="21"/>
              </w:rPr>
            </w:pPr>
            <w:r>
              <w:rPr>
                <w:color w:val="auto"/>
                <w:szCs w:val="21"/>
              </w:rPr>
              <w:t xml:space="preserve">（1）防渗层构造：防渗层为至少1m </w:t>
            </w:r>
            <w:r>
              <w:rPr>
                <w:rFonts w:hint="eastAsia"/>
                <w:color w:val="auto"/>
                <w:szCs w:val="21"/>
              </w:rPr>
              <w:t>厚</w:t>
            </w:r>
            <w:r>
              <w:rPr>
                <w:color w:val="auto"/>
                <w:szCs w:val="21"/>
              </w:rPr>
              <w:t>粘土层（渗透系数≤10</w:t>
            </w:r>
            <w:r>
              <w:rPr>
                <w:color w:val="auto"/>
                <w:szCs w:val="21"/>
                <w:vertAlign w:val="superscript"/>
              </w:rPr>
              <w:t>-7</w:t>
            </w:r>
            <w:r>
              <w:rPr>
                <w:color w:val="auto"/>
                <w:szCs w:val="21"/>
              </w:rPr>
              <w:t>cm/s），或2mm 厚高密度聚乙烯，或至少2mm 厚的其他人工材料，渗透系数≤10</w:t>
            </w:r>
            <w:r>
              <w:rPr>
                <w:color w:val="auto"/>
                <w:szCs w:val="21"/>
                <w:vertAlign w:val="superscript"/>
              </w:rPr>
              <w:t>-10</w:t>
            </w:r>
            <w:r>
              <w:rPr>
                <w:color w:val="auto"/>
                <w:szCs w:val="21"/>
              </w:rPr>
              <w:t>cm/s。</w:t>
            </w:r>
          </w:p>
          <w:p>
            <w:pPr>
              <w:jc w:val="left"/>
              <w:rPr>
                <w:color w:val="auto"/>
                <w:szCs w:val="21"/>
              </w:rPr>
            </w:pPr>
            <w:r>
              <w:rPr>
                <w:color w:val="auto"/>
                <w:szCs w:val="21"/>
              </w:rPr>
              <w:t>（2）储罐基础：对于液体储罐，基础采用石桩和钢筋混凝土环墙作为储罐基础，防止由于不均与沉降，造成储罐应力破坏，导致泄漏，混凝土强度等级为C30，抗渗等级S8。</w:t>
            </w:r>
          </w:p>
          <w:p>
            <w:pPr>
              <w:jc w:val="left"/>
              <w:rPr>
                <w:color w:val="auto"/>
                <w:szCs w:val="21"/>
              </w:rPr>
            </w:pPr>
            <w:r>
              <w:rPr>
                <w:color w:val="auto"/>
                <w:szCs w:val="21"/>
              </w:rPr>
              <w:t>（3）围堰（防火堤）的设置：储罐区周边应设置围堰（防火堤），围堰高度不应小于0.45m，厚度不小于0.15m，围堰包围的范围按照储罐最大外形再向外延伸0.8m。围堰内的有效容积应不小于围堰内最大储罐的容量。</w:t>
            </w:r>
          </w:p>
          <w:p>
            <w:pPr>
              <w:jc w:val="left"/>
              <w:rPr>
                <w:color w:val="auto"/>
                <w:szCs w:val="21"/>
              </w:rPr>
            </w:pPr>
            <w:r>
              <w:rPr>
                <w:color w:val="auto"/>
                <w:szCs w:val="21"/>
              </w:rPr>
              <w:t>（4）围堰内排水系统：围堰内不得设置地漏，但应设置排水系统及排水口，围堰内排水沟坡度不应小于3‰，一旦发生泄漏等突发状况，打开排水口与事故应急池连接的闸阀。</w:t>
            </w:r>
          </w:p>
        </w:tc>
        <w:tc>
          <w:tcPr>
            <w:tcW w:w="2017" w:type="dxa"/>
            <w:vMerge w:val="continue"/>
            <w:vAlign w:val="center"/>
          </w:tcPr>
          <w:p>
            <w:pPr>
              <w:tabs>
                <w:tab w:val="left" w:pos="480"/>
              </w:tabs>
              <w:snapToGrid w:val="0"/>
              <w:ind w:left="-42" w:leftChars="-20" w:right="-42" w:rightChars="-2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92" w:type="dxa"/>
            <w:vAlign w:val="center"/>
          </w:tcPr>
          <w:p>
            <w:pPr>
              <w:widowControl/>
              <w:ind w:left="-42" w:leftChars="-20" w:right="-42" w:rightChars="-20"/>
              <w:jc w:val="left"/>
              <w:rPr>
                <w:color w:val="auto"/>
                <w:szCs w:val="21"/>
              </w:rPr>
            </w:pPr>
            <w:r>
              <w:rPr>
                <w:color w:val="auto"/>
                <w:szCs w:val="21"/>
              </w:rPr>
              <w:t>一般防渗区</w:t>
            </w:r>
          </w:p>
        </w:tc>
        <w:tc>
          <w:tcPr>
            <w:tcW w:w="1644" w:type="dxa"/>
            <w:vAlign w:val="center"/>
          </w:tcPr>
          <w:p>
            <w:pPr>
              <w:tabs>
                <w:tab w:val="left" w:pos="480"/>
              </w:tabs>
              <w:snapToGrid w:val="0"/>
              <w:ind w:left="-42" w:leftChars="-20" w:right="-42" w:rightChars="-20"/>
              <w:jc w:val="center"/>
              <w:rPr>
                <w:color w:val="auto"/>
                <w:szCs w:val="21"/>
              </w:rPr>
            </w:pPr>
            <w:r>
              <w:rPr>
                <w:color w:val="auto"/>
                <w:szCs w:val="21"/>
              </w:rPr>
              <w:t>湿式破碎区</w:t>
            </w:r>
            <w:r>
              <w:rPr>
                <w:rFonts w:hint="eastAsia"/>
                <w:color w:val="auto"/>
                <w:szCs w:val="21"/>
              </w:rPr>
              <w:t>、</w:t>
            </w:r>
            <w:r>
              <w:rPr>
                <w:color w:val="auto"/>
                <w:szCs w:val="21"/>
              </w:rPr>
              <w:t>卷材生产区</w:t>
            </w:r>
            <w:r>
              <w:rPr>
                <w:rFonts w:hint="eastAsia"/>
                <w:color w:val="auto"/>
                <w:szCs w:val="21"/>
              </w:rPr>
              <w:t>、原料堆放区</w:t>
            </w:r>
          </w:p>
        </w:tc>
        <w:tc>
          <w:tcPr>
            <w:tcW w:w="9367" w:type="dxa"/>
            <w:vAlign w:val="center"/>
          </w:tcPr>
          <w:p>
            <w:pPr>
              <w:tabs>
                <w:tab w:val="left" w:pos="480"/>
              </w:tabs>
              <w:snapToGrid w:val="0"/>
              <w:ind w:left="-42" w:leftChars="-20" w:right="-42" w:rightChars="-20"/>
              <w:jc w:val="center"/>
              <w:rPr>
                <w:color w:val="auto"/>
                <w:szCs w:val="21"/>
              </w:rPr>
            </w:pPr>
            <w:r>
              <w:rPr>
                <w:color w:val="auto"/>
                <w:szCs w:val="21"/>
              </w:rPr>
              <w:t>采用抗渗混凝土，抗渗等级不低于P6</w:t>
            </w:r>
          </w:p>
        </w:tc>
        <w:tc>
          <w:tcPr>
            <w:tcW w:w="2017" w:type="dxa"/>
            <w:vAlign w:val="center"/>
          </w:tcPr>
          <w:p>
            <w:pPr>
              <w:tabs>
                <w:tab w:val="left" w:pos="480"/>
              </w:tabs>
              <w:snapToGrid w:val="0"/>
              <w:ind w:left="-42" w:leftChars="-20" w:right="-42" w:rightChars="-20"/>
              <w:jc w:val="center"/>
              <w:rPr>
                <w:color w:val="auto"/>
                <w:szCs w:val="21"/>
              </w:rPr>
            </w:pPr>
            <w:r>
              <w:rPr>
                <w:color w:val="auto"/>
                <w:szCs w:val="21"/>
              </w:rPr>
              <w:t>等效粘土防渗层Mb≥1.5m，K≤1×10</w:t>
            </w:r>
            <w:r>
              <w:rPr>
                <w:color w:val="auto"/>
                <w:szCs w:val="21"/>
                <w:vertAlign w:val="superscript"/>
              </w:rPr>
              <w:t>-7</w:t>
            </w:r>
            <w:r>
              <w:rPr>
                <w:color w:val="auto"/>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92" w:type="dxa"/>
            <w:vAlign w:val="center"/>
          </w:tcPr>
          <w:p>
            <w:pPr>
              <w:tabs>
                <w:tab w:val="left" w:pos="480"/>
              </w:tabs>
              <w:snapToGrid w:val="0"/>
              <w:ind w:left="-42" w:leftChars="-20" w:right="-42" w:rightChars="-20"/>
              <w:jc w:val="center"/>
              <w:rPr>
                <w:color w:val="auto"/>
                <w:szCs w:val="21"/>
              </w:rPr>
            </w:pPr>
            <w:r>
              <w:rPr>
                <w:color w:val="auto"/>
                <w:szCs w:val="21"/>
              </w:rPr>
              <w:t>简单防渗区</w:t>
            </w:r>
          </w:p>
        </w:tc>
        <w:tc>
          <w:tcPr>
            <w:tcW w:w="1644" w:type="dxa"/>
            <w:vAlign w:val="center"/>
          </w:tcPr>
          <w:p>
            <w:pPr>
              <w:pStyle w:val="42"/>
              <w:spacing w:line="240" w:lineRule="auto"/>
              <w:ind w:firstLine="0" w:firstLineChars="0"/>
              <w:jc w:val="both"/>
              <w:rPr>
                <w:color w:val="auto"/>
              </w:rPr>
            </w:pPr>
            <w:r>
              <w:rPr>
                <w:color w:val="auto"/>
              </w:rPr>
              <w:t>办公区</w:t>
            </w:r>
            <w:r>
              <w:rPr>
                <w:rFonts w:hint="eastAsia"/>
                <w:color w:val="auto"/>
              </w:rPr>
              <w:t>、</w:t>
            </w:r>
            <w:r>
              <w:rPr>
                <w:rFonts w:hint="eastAsia"/>
                <w:color w:val="auto"/>
                <w:lang w:val="en-US" w:eastAsia="zh-CN"/>
              </w:rPr>
              <w:t>原料堆放区及湿式破碎生产区</w:t>
            </w:r>
            <w:r>
              <w:rPr>
                <w:rFonts w:hint="eastAsia"/>
                <w:color w:val="auto"/>
              </w:rPr>
              <w:t>内</w:t>
            </w:r>
            <w:r>
              <w:rPr>
                <w:rFonts w:hint="eastAsia"/>
                <w:color w:val="auto"/>
                <w:lang w:val="en-US" w:eastAsia="zh-CN"/>
              </w:rPr>
              <w:t>的</w:t>
            </w:r>
            <w:r>
              <w:rPr>
                <w:rFonts w:hint="eastAsia"/>
                <w:color w:val="auto"/>
              </w:rPr>
              <w:t>通道</w:t>
            </w:r>
          </w:p>
        </w:tc>
        <w:tc>
          <w:tcPr>
            <w:tcW w:w="9367" w:type="dxa"/>
            <w:vAlign w:val="center"/>
          </w:tcPr>
          <w:p>
            <w:pPr>
              <w:tabs>
                <w:tab w:val="left" w:pos="480"/>
              </w:tabs>
              <w:snapToGrid w:val="0"/>
              <w:ind w:left="-42" w:leftChars="-20" w:right="-42" w:rightChars="-20"/>
              <w:jc w:val="center"/>
              <w:rPr>
                <w:color w:val="auto"/>
                <w:szCs w:val="21"/>
              </w:rPr>
            </w:pPr>
            <w:r>
              <w:rPr>
                <w:color w:val="auto"/>
                <w:szCs w:val="21"/>
              </w:rPr>
              <w:t>地面硬化</w:t>
            </w:r>
          </w:p>
        </w:tc>
        <w:tc>
          <w:tcPr>
            <w:tcW w:w="2017" w:type="dxa"/>
            <w:vAlign w:val="center"/>
          </w:tcPr>
          <w:p>
            <w:pPr>
              <w:tabs>
                <w:tab w:val="left" w:pos="480"/>
              </w:tabs>
              <w:snapToGrid w:val="0"/>
              <w:ind w:left="-42" w:leftChars="-20" w:right="-42" w:rightChars="-20"/>
              <w:jc w:val="center"/>
              <w:rPr>
                <w:color w:val="auto"/>
                <w:szCs w:val="21"/>
              </w:rPr>
            </w:pPr>
            <w:r>
              <w:rPr>
                <w:color w:val="auto"/>
                <w:szCs w:val="21"/>
              </w:rPr>
              <w:t>一般地面硬化</w:t>
            </w:r>
          </w:p>
        </w:tc>
      </w:tr>
    </w:tbl>
    <w:p>
      <w:pPr>
        <w:spacing w:line="360" w:lineRule="auto"/>
        <w:rPr>
          <w:color w:val="auto"/>
          <w:sz w:val="24"/>
        </w:rPr>
      </w:pPr>
    </w:p>
    <w:p>
      <w:pPr>
        <w:jc w:val="center"/>
        <w:rPr>
          <w:rFonts w:hint="eastAsia" w:eastAsia="宋体"/>
          <w:color w:val="auto"/>
          <w:sz w:val="24"/>
          <w:lang w:eastAsia="zh-CN"/>
        </w:rPr>
      </w:pPr>
    </w:p>
    <w:p>
      <w:pPr>
        <w:pStyle w:val="6"/>
        <w:spacing w:line="360" w:lineRule="auto"/>
        <w:ind w:firstLine="480"/>
        <w:jc w:val="center"/>
        <w:rPr>
          <w:b/>
          <w:bCs/>
          <w:color w:val="auto"/>
          <w:kern w:val="2"/>
          <w:sz w:val="21"/>
          <w:szCs w:val="28"/>
        </w:rPr>
      </w:pPr>
      <w:r>
        <w:rPr>
          <w:b/>
          <w:bCs/>
          <w:color w:val="auto"/>
          <w:kern w:val="2"/>
          <w:sz w:val="21"/>
          <w:szCs w:val="28"/>
        </w:rPr>
        <w:drawing>
          <wp:inline distT="0" distB="0" distL="114300" distR="114300">
            <wp:extent cx="7108825" cy="5599430"/>
            <wp:effectExtent l="0" t="0" r="15875" b="1270"/>
            <wp:docPr id="106" name="图片 106" descr="防渗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防渗区"/>
                    <pic:cNvPicPr>
                      <a:picLocks noChangeAspect="1"/>
                    </pic:cNvPicPr>
                  </pic:nvPicPr>
                  <pic:blipFill>
                    <a:blip r:embed="rId108"/>
                    <a:stretch>
                      <a:fillRect/>
                    </a:stretch>
                  </pic:blipFill>
                  <pic:spPr>
                    <a:xfrm>
                      <a:off x="0" y="0"/>
                      <a:ext cx="7108825" cy="5599430"/>
                    </a:xfrm>
                    <a:prstGeom prst="rect">
                      <a:avLst/>
                    </a:prstGeom>
                  </pic:spPr>
                </pic:pic>
              </a:graphicData>
            </a:graphic>
          </wp:inline>
        </w:drawing>
      </w:r>
    </w:p>
    <w:p>
      <w:pPr>
        <w:pStyle w:val="6"/>
        <w:spacing w:line="360" w:lineRule="auto"/>
        <w:ind w:firstLine="480"/>
        <w:jc w:val="center"/>
        <w:rPr>
          <w:b/>
          <w:bCs/>
          <w:color w:val="auto"/>
          <w:kern w:val="2"/>
          <w:sz w:val="21"/>
          <w:szCs w:val="28"/>
        </w:rPr>
      </w:pPr>
      <w:r>
        <w:rPr>
          <w:b/>
          <w:bCs/>
          <w:color w:val="auto"/>
          <w:kern w:val="2"/>
          <w:sz w:val="21"/>
          <w:szCs w:val="28"/>
        </w:rPr>
        <w:t>图</w:t>
      </w:r>
      <w:r>
        <w:rPr>
          <w:rFonts w:hint="eastAsia"/>
          <w:b/>
          <w:bCs/>
          <w:color w:val="auto"/>
          <w:kern w:val="2"/>
          <w:sz w:val="21"/>
          <w:szCs w:val="28"/>
        </w:rPr>
        <w:t>8.5</w:t>
      </w:r>
      <w:r>
        <w:rPr>
          <w:b/>
          <w:bCs/>
          <w:color w:val="auto"/>
          <w:kern w:val="2"/>
          <w:sz w:val="21"/>
          <w:szCs w:val="28"/>
        </w:rPr>
        <w:t>-1 地下水防渗分区图</w:t>
      </w:r>
    </w:p>
    <w:p>
      <w:pPr>
        <w:pStyle w:val="2"/>
        <w:ind w:firstLine="400"/>
        <w:rPr>
          <w:color w:val="auto"/>
        </w:rPr>
        <w:sectPr>
          <w:pgSz w:w="16838" w:h="11906" w:orient="landscape"/>
          <w:pgMar w:top="116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p>
    <w:p>
      <w:pPr>
        <w:keepNext/>
        <w:keepLines/>
        <w:spacing w:line="360" w:lineRule="auto"/>
        <w:jc w:val="left"/>
        <w:outlineLvl w:val="2"/>
        <w:rPr>
          <w:color w:val="auto"/>
          <w:sz w:val="24"/>
        </w:rPr>
      </w:pPr>
      <w:bookmarkStart w:id="3205" w:name="_Toc5141"/>
      <w:r>
        <w:rPr>
          <w:rFonts w:hint="eastAsia"/>
          <w:b/>
          <w:bCs/>
          <w:color w:val="auto"/>
          <w:sz w:val="28"/>
          <w:szCs w:val="28"/>
        </w:rPr>
        <w:t>8</w:t>
      </w:r>
      <w:r>
        <w:rPr>
          <w:b/>
          <w:bCs/>
          <w:color w:val="auto"/>
          <w:sz w:val="28"/>
          <w:szCs w:val="28"/>
        </w:rPr>
        <w:t>.</w:t>
      </w:r>
      <w:r>
        <w:rPr>
          <w:rFonts w:hint="eastAsia"/>
          <w:b/>
          <w:bCs/>
          <w:color w:val="auto"/>
          <w:sz w:val="28"/>
          <w:szCs w:val="28"/>
        </w:rPr>
        <w:t>5</w:t>
      </w:r>
      <w:r>
        <w:rPr>
          <w:b/>
          <w:bCs/>
          <w:color w:val="auto"/>
          <w:sz w:val="28"/>
          <w:szCs w:val="28"/>
        </w:rPr>
        <w:t>.</w:t>
      </w:r>
      <w:r>
        <w:rPr>
          <w:rFonts w:hint="eastAsia"/>
          <w:b/>
          <w:bCs/>
          <w:color w:val="auto"/>
          <w:sz w:val="28"/>
          <w:szCs w:val="28"/>
        </w:rPr>
        <w:t>3  土壤及地下水防治分析小结</w:t>
      </w:r>
      <w:bookmarkEnd w:id="3205"/>
    </w:p>
    <w:p>
      <w:pPr>
        <w:pStyle w:val="32"/>
        <w:spacing w:line="360" w:lineRule="auto"/>
        <w:ind w:firstLine="480" w:firstLineChars="200"/>
        <w:rPr>
          <w:bCs/>
          <w:color w:val="auto"/>
        </w:rPr>
      </w:pPr>
      <w:r>
        <w:rPr>
          <w:color w:val="auto"/>
        </w:rPr>
        <w:t>本项目</w:t>
      </w:r>
      <w:r>
        <w:rPr>
          <w:rFonts w:hint="eastAsia"/>
          <w:color w:val="auto"/>
        </w:rPr>
        <w:t>各处</w:t>
      </w:r>
      <w:r>
        <w:rPr>
          <w:color w:val="auto"/>
        </w:rPr>
        <w:t>按照上述有关标准的要求作了必要的防渗、防漏、防雨等安全措施后，由于有耐腐蚀的硬化地面，透水性较差。在正常情况下，</w:t>
      </w:r>
      <w:r>
        <w:rPr>
          <w:rFonts w:hint="eastAsia"/>
          <w:color w:val="auto"/>
        </w:rPr>
        <w:t>废水及物料</w:t>
      </w:r>
      <w:r>
        <w:rPr>
          <w:color w:val="auto"/>
        </w:rPr>
        <w:t>不会直接进入地下水</w:t>
      </w:r>
      <w:r>
        <w:rPr>
          <w:rFonts w:hint="eastAsia"/>
          <w:color w:val="auto"/>
        </w:rPr>
        <w:t>或土壤</w:t>
      </w:r>
      <w:r>
        <w:rPr>
          <w:color w:val="auto"/>
        </w:rPr>
        <w:t>，不会对地下水</w:t>
      </w:r>
      <w:r>
        <w:rPr>
          <w:rFonts w:hint="eastAsia"/>
          <w:color w:val="auto"/>
        </w:rPr>
        <w:t>和土壤环境</w:t>
      </w:r>
      <w:r>
        <w:rPr>
          <w:color w:val="auto"/>
        </w:rPr>
        <w:t>产生明显的不利影响。</w:t>
      </w:r>
    </w:p>
    <w:p>
      <w:pPr>
        <w:pStyle w:val="32"/>
        <w:spacing w:line="360" w:lineRule="auto"/>
        <w:ind w:firstLine="480" w:firstLineChars="200"/>
        <w:rPr>
          <w:bCs/>
          <w:color w:val="auto"/>
        </w:rPr>
      </w:pPr>
      <w:r>
        <w:rPr>
          <w:bCs/>
          <w:color w:val="auto"/>
        </w:rPr>
        <w:t>本环评建议经常对上述重点防渗区进行巡查，发现泄漏及时进行处理，污染源的存在只是短时的间断存在，只要及时发现、及时处理，污染物作用时间短，很难穿透基础防渗层。因此，固废堆存场所对地下水影响也较小。</w:t>
      </w:r>
    </w:p>
    <w:p>
      <w:pPr>
        <w:pStyle w:val="32"/>
        <w:spacing w:line="360" w:lineRule="auto"/>
        <w:ind w:firstLine="480" w:firstLineChars="200"/>
        <w:rPr>
          <w:bCs/>
          <w:color w:val="auto"/>
        </w:rPr>
      </w:pPr>
      <w:r>
        <w:rPr>
          <w:bCs/>
          <w:color w:val="auto"/>
        </w:rPr>
        <w:t>由污染途径及对应措施分析可知，本项目对可能产生地下水影响的各项途径均进行有效预防，在确保各项防渗措施得以落实，并加强维护和厂区环境管理的前提下，可有效控制厂区内的液态污染物下渗现象，避免污染地下水</w:t>
      </w:r>
      <w:r>
        <w:rPr>
          <w:rFonts w:hint="eastAsia"/>
          <w:bCs/>
          <w:color w:val="auto"/>
        </w:rPr>
        <w:t>和土壤</w:t>
      </w:r>
      <w:r>
        <w:rPr>
          <w:bCs/>
          <w:color w:val="auto"/>
        </w:rPr>
        <w:t>。 因此项目不会对区域地下水环境</w:t>
      </w:r>
      <w:r>
        <w:rPr>
          <w:rFonts w:hint="eastAsia"/>
          <w:bCs/>
          <w:color w:val="auto"/>
        </w:rPr>
        <w:t>及土壤环境</w:t>
      </w:r>
      <w:r>
        <w:rPr>
          <w:bCs/>
          <w:color w:val="auto"/>
        </w:rPr>
        <w:t>产生明显影响。</w:t>
      </w:r>
    </w:p>
    <w:p>
      <w:pPr>
        <w:pStyle w:val="5"/>
        <w:numPr>
          <w:ilvl w:val="1"/>
          <w:numId w:val="0"/>
        </w:numPr>
        <w:tabs>
          <w:tab w:val="clear" w:pos="720"/>
        </w:tabs>
        <w:spacing w:before="159" w:after="159"/>
        <w:rPr>
          <w:color w:val="auto"/>
          <w:sz w:val="32"/>
          <w:szCs w:val="21"/>
        </w:rPr>
      </w:pPr>
      <w:bookmarkStart w:id="3206" w:name="_Toc12809"/>
      <w:bookmarkStart w:id="3207" w:name="_Toc18251"/>
      <w:r>
        <w:rPr>
          <w:rFonts w:hint="eastAsia"/>
          <w:color w:val="auto"/>
          <w:sz w:val="32"/>
          <w:szCs w:val="21"/>
        </w:rPr>
        <w:t xml:space="preserve">8.6  </w:t>
      </w:r>
      <w:r>
        <w:rPr>
          <w:color w:val="auto"/>
          <w:sz w:val="32"/>
          <w:szCs w:val="21"/>
        </w:rPr>
        <w:t>营运期污染控制措施经济技术可行性分析小结</w:t>
      </w:r>
      <w:bookmarkEnd w:id="3206"/>
      <w:bookmarkEnd w:id="3207"/>
    </w:p>
    <w:p>
      <w:pPr>
        <w:snapToGrid w:val="0"/>
        <w:spacing w:line="360" w:lineRule="auto"/>
        <w:ind w:firstLine="480" w:firstLineChars="200"/>
        <w:jc w:val="left"/>
        <w:rPr>
          <w:color w:val="auto"/>
          <w:sz w:val="24"/>
        </w:rPr>
      </w:pPr>
      <w:r>
        <w:rPr>
          <w:color w:val="auto"/>
          <w:sz w:val="24"/>
        </w:rPr>
        <w:t>通过以上对项目各项污染治理措施的经济技术可行性进行综合分析，本项目采用的污染治理措施具有较强的经济技术可行性。具体污染防治工程措施见</w:t>
      </w:r>
      <w:r>
        <w:rPr>
          <w:rFonts w:hint="eastAsia"/>
          <w:color w:val="auto"/>
          <w:sz w:val="24"/>
        </w:rPr>
        <w:t>下表</w:t>
      </w:r>
      <w:r>
        <w:rPr>
          <w:color w:val="auto"/>
          <w:sz w:val="24"/>
        </w:rPr>
        <w:t>。</w:t>
      </w:r>
    </w:p>
    <w:p>
      <w:pPr>
        <w:snapToGrid w:val="0"/>
        <w:spacing w:line="360" w:lineRule="auto"/>
        <w:jc w:val="center"/>
        <w:rPr>
          <w:color w:val="auto"/>
        </w:rPr>
      </w:pPr>
      <w:r>
        <w:rPr>
          <w:b/>
          <w:bCs/>
          <w:color w:val="auto"/>
          <w:szCs w:val="21"/>
        </w:rPr>
        <w:t>表</w:t>
      </w:r>
      <w:r>
        <w:rPr>
          <w:rFonts w:hint="eastAsia"/>
          <w:b/>
          <w:bCs/>
          <w:color w:val="auto"/>
          <w:szCs w:val="21"/>
        </w:rPr>
        <w:t>8</w:t>
      </w:r>
      <w:r>
        <w:rPr>
          <w:b/>
          <w:bCs/>
          <w:color w:val="auto"/>
          <w:szCs w:val="21"/>
        </w:rPr>
        <w:t>.6-1 本项目主要环保投资估算</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601"/>
        <w:gridCol w:w="4575"/>
        <w:gridCol w:w="1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30" w:type="dxa"/>
            <w:gridSpan w:val="2"/>
            <w:vAlign w:val="center"/>
          </w:tcPr>
          <w:p>
            <w:pPr>
              <w:widowControl/>
              <w:spacing w:line="25" w:lineRule="atLeast"/>
              <w:jc w:val="center"/>
              <w:textAlignment w:val="center"/>
              <w:rPr>
                <w:color w:val="auto"/>
              </w:rPr>
            </w:pPr>
            <w:r>
              <w:rPr>
                <w:color w:val="auto"/>
                <w:szCs w:val="21"/>
              </w:rPr>
              <w:t>污染源</w:t>
            </w:r>
          </w:p>
        </w:tc>
        <w:tc>
          <w:tcPr>
            <w:tcW w:w="4575" w:type="dxa"/>
            <w:vAlign w:val="center"/>
          </w:tcPr>
          <w:p>
            <w:pPr>
              <w:widowControl/>
              <w:spacing w:line="25" w:lineRule="atLeast"/>
              <w:jc w:val="center"/>
              <w:textAlignment w:val="center"/>
              <w:rPr>
                <w:color w:val="auto"/>
              </w:rPr>
            </w:pPr>
            <w:r>
              <w:rPr>
                <w:color w:val="auto"/>
                <w:szCs w:val="21"/>
              </w:rPr>
              <w:t>污染防治措施</w:t>
            </w:r>
          </w:p>
        </w:tc>
        <w:tc>
          <w:tcPr>
            <w:tcW w:w="1943" w:type="dxa"/>
            <w:vAlign w:val="center"/>
          </w:tcPr>
          <w:p>
            <w:pPr>
              <w:widowControl/>
              <w:spacing w:line="25" w:lineRule="atLeast"/>
              <w:jc w:val="center"/>
              <w:textAlignment w:val="center"/>
              <w:rPr>
                <w:color w:val="auto"/>
              </w:rPr>
            </w:pPr>
            <w:r>
              <w:rPr>
                <w:color w:val="auto"/>
                <w:szCs w:val="21"/>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restart"/>
            <w:vAlign w:val="center"/>
          </w:tcPr>
          <w:p>
            <w:pPr>
              <w:widowControl/>
              <w:spacing w:line="25" w:lineRule="atLeast"/>
              <w:jc w:val="center"/>
              <w:textAlignment w:val="center"/>
              <w:rPr>
                <w:color w:val="auto"/>
              </w:rPr>
            </w:pPr>
            <w:r>
              <w:rPr>
                <w:color w:val="auto"/>
                <w:szCs w:val="21"/>
              </w:rPr>
              <w:t>废气</w:t>
            </w:r>
          </w:p>
        </w:tc>
        <w:tc>
          <w:tcPr>
            <w:tcW w:w="1601" w:type="dxa"/>
            <w:vAlign w:val="center"/>
          </w:tcPr>
          <w:p>
            <w:pPr>
              <w:widowControl/>
              <w:spacing w:line="25" w:lineRule="atLeast"/>
              <w:jc w:val="center"/>
              <w:textAlignment w:val="center"/>
              <w:rPr>
                <w:color w:val="auto"/>
              </w:rPr>
            </w:pPr>
            <w:r>
              <w:rPr>
                <w:color w:val="auto"/>
                <w:szCs w:val="21"/>
              </w:rPr>
              <w:t>破碎工序</w:t>
            </w:r>
          </w:p>
        </w:tc>
        <w:tc>
          <w:tcPr>
            <w:tcW w:w="4575" w:type="dxa"/>
            <w:vAlign w:val="center"/>
          </w:tcPr>
          <w:p>
            <w:pPr>
              <w:widowControl/>
              <w:spacing w:line="25" w:lineRule="atLeast"/>
              <w:jc w:val="center"/>
              <w:textAlignment w:val="center"/>
              <w:rPr>
                <w:color w:val="auto"/>
              </w:rPr>
            </w:pPr>
            <w:r>
              <w:rPr>
                <w:color w:val="auto"/>
                <w:szCs w:val="21"/>
              </w:rPr>
              <w:t>集气罩+旋风布袋除尘器+15m排气筒</w:t>
            </w:r>
          </w:p>
        </w:tc>
        <w:tc>
          <w:tcPr>
            <w:tcW w:w="1943" w:type="dxa"/>
            <w:vAlign w:val="center"/>
          </w:tcPr>
          <w:p>
            <w:pPr>
              <w:spacing w:line="25" w:lineRule="atLeast"/>
              <w:jc w:val="center"/>
              <w:rPr>
                <w:color w:val="auto"/>
              </w:rPr>
            </w:pPr>
            <w:r>
              <w:rPr>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continue"/>
            <w:vAlign w:val="center"/>
          </w:tcPr>
          <w:p>
            <w:pPr>
              <w:spacing w:line="25" w:lineRule="atLeast"/>
              <w:ind w:firstLine="420"/>
              <w:jc w:val="center"/>
              <w:rPr>
                <w:color w:val="auto"/>
              </w:rPr>
            </w:pPr>
          </w:p>
        </w:tc>
        <w:tc>
          <w:tcPr>
            <w:tcW w:w="1601" w:type="dxa"/>
            <w:vMerge w:val="restart"/>
            <w:vAlign w:val="center"/>
          </w:tcPr>
          <w:p>
            <w:pPr>
              <w:spacing w:line="25" w:lineRule="atLeast"/>
              <w:jc w:val="center"/>
              <w:rPr>
                <w:color w:val="auto"/>
              </w:rPr>
            </w:pPr>
            <w:r>
              <w:rPr>
                <w:color w:val="auto"/>
                <w:szCs w:val="21"/>
              </w:rPr>
              <w:t>卷材生产</w:t>
            </w:r>
          </w:p>
        </w:tc>
        <w:tc>
          <w:tcPr>
            <w:tcW w:w="4575" w:type="dxa"/>
            <w:vAlign w:val="center"/>
          </w:tcPr>
          <w:p>
            <w:pPr>
              <w:widowControl/>
              <w:spacing w:line="25" w:lineRule="atLeast"/>
              <w:jc w:val="center"/>
              <w:textAlignment w:val="center"/>
              <w:rPr>
                <w:color w:val="auto"/>
              </w:rPr>
            </w:pPr>
            <w:r>
              <w:rPr>
                <w:color w:val="auto"/>
                <w:szCs w:val="21"/>
              </w:rPr>
              <w:t>密闭生产线+旋风除尘+冷凝器+油烟净化器+UV光解+活性炭吸附+15m排气筒</w:t>
            </w:r>
          </w:p>
        </w:tc>
        <w:tc>
          <w:tcPr>
            <w:tcW w:w="1943" w:type="dxa"/>
            <w:vAlign w:val="center"/>
          </w:tcPr>
          <w:p>
            <w:pPr>
              <w:spacing w:line="25" w:lineRule="atLeast"/>
              <w:jc w:val="center"/>
              <w:rPr>
                <w:color w:val="auto"/>
              </w:rPr>
            </w:pPr>
            <w:r>
              <w:rPr>
                <w:rFonts w:hint="eastAsia"/>
                <w:color w:val="auto"/>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continue"/>
            <w:vAlign w:val="center"/>
          </w:tcPr>
          <w:p>
            <w:pPr>
              <w:spacing w:line="25" w:lineRule="atLeast"/>
              <w:ind w:firstLine="420"/>
              <w:jc w:val="center"/>
              <w:rPr>
                <w:color w:val="auto"/>
              </w:rPr>
            </w:pPr>
          </w:p>
        </w:tc>
        <w:tc>
          <w:tcPr>
            <w:tcW w:w="1601" w:type="dxa"/>
            <w:vMerge w:val="continue"/>
            <w:vAlign w:val="center"/>
          </w:tcPr>
          <w:p>
            <w:pPr>
              <w:spacing w:line="25" w:lineRule="atLeast"/>
              <w:rPr>
                <w:color w:val="auto"/>
              </w:rPr>
            </w:pPr>
          </w:p>
        </w:tc>
        <w:tc>
          <w:tcPr>
            <w:tcW w:w="4575" w:type="dxa"/>
            <w:vAlign w:val="center"/>
          </w:tcPr>
          <w:p>
            <w:pPr>
              <w:widowControl/>
              <w:spacing w:line="25" w:lineRule="atLeast"/>
              <w:jc w:val="center"/>
              <w:textAlignment w:val="center"/>
              <w:rPr>
                <w:color w:val="auto"/>
              </w:rPr>
            </w:pPr>
            <w:r>
              <w:rPr>
                <w:rFonts w:hint="eastAsia"/>
                <w:color w:val="auto"/>
                <w:szCs w:val="21"/>
                <w:lang w:eastAsia="zh-CN"/>
              </w:rPr>
              <w:t>导热油炉</w:t>
            </w:r>
            <w:r>
              <w:rPr>
                <w:color w:val="auto"/>
                <w:szCs w:val="21"/>
              </w:rPr>
              <w:t>管道收集+15m排气筒</w:t>
            </w:r>
          </w:p>
        </w:tc>
        <w:tc>
          <w:tcPr>
            <w:tcW w:w="1943" w:type="dxa"/>
            <w:vAlign w:val="center"/>
          </w:tcPr>
          <w:p>
            <w:pPr>
              <w:spacing w:line="25" w:lineRule="atLeast"/>
              <w:jc w:val="center"/>
              <w:rPr>
                <w:color w:val="auto"/>
              </w:rPr>
            </w:pPr>
            <w:r>
              <w:rPr>
                <w:rFonts w:hint="eastAsia"/>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restart"/>
            <w:vAlign w:val="center"/>
          </w:tcPr>
          <w:p>
            <w:pPr>
              <w:widowControl/>
              <w:spacing w:line="25" w:lineRule="atLeast"/>
              <w:jc w:val="center"/>
              <w:textAlignment w:val="center"/>
              <w:rPr>
                <w:color w:val="auto"/>
              </w:rPr>
            </w:pPr>
            <w:r>
              <w:rPr>
                <w:color w:val="auto"/>
                <w:szCs w:val="21"/>
              </w:rPr>
              <w:t>废水</w:t>
            </w:r>
          </w:p>
        </w:tc>
        <w:tc>
          <w:tcPr>
            <w:tcW w:w="1601" w:type="dxa"/>
            <w:vAlign w:val="center"/>
          </w:tcPr>
          <w:p>
            <w:pPr>
              <w:widowControl/>
              <w:spacing w:line="25" w:lineRule="atLeast"/>
              <w:jc w:val="center"/>
              <w:textAlignment w:val="center"/>
              <w:rPr>
                <w:color w:val="auto"/>
              </w:rPr>
            </w:pPr>
            <w:r>
              <w:rPr>
                <w:color w:val="auto"/>
                <w:szCs w:val="21"/>
              </w:rPr>
              <w:t>生活废水</w:t>
            </w:r>
          </w:p>
        </w:tc>
        <w:tc>
          <w:tcPr>
            <w:tcW w:w="4575" w:type="dxa"/>
            <w:vAlign w:val="center"/>
          </w:tcPr>
          <w:p>
            <w:pPr>
              <w:widowControl/>
              <w:spacing w:line="25" w:lineRule="atLeast"/>
              <w:jc w:val="center"/>
              <w:textAlignment w:val="center"/>
              <w:rPr>
                <w:color w:val="auto"/>
              </w:rPr>
            </w:pPr>
            <w:r>
              <w:rPr>
                <w:color w:val="auto"/>
                <w:szCs w:val="21"/>
              </w:rPr>
              <w:t>三级化粪池</w:t>
            </w:r>
          </w:p>
        </w:tc>
        <w:tc>
          <w:tcPr>
            <w:tcW w:w="1943" w:type="dxa"/>
            <w:vAlign w:val="center"/>
          </w:tcPr>
          <w:p>
            <w:pPr>
              <w:spacing w:line="25" w:lineRule="atLeast"/>
              <w:jc w:val="center"/>
              <w:rPr>
                <w:color w:val="auto"/>
              </w:rPr>
            </w:pPr>
            <w:r>
              <w:rPr>
                <w:rFonts w:hint="eastAsia"/>
                <w:color w:val="auto"/>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continue"/>
            <w:vAlign w:val="center"/>
          </w:tcPr>
          <w:p>
            <w:pPr>
              <w:spacing w:line="25" w:lineRule="atLeast"/>
              <w:ind w:firstLine="420"/>
              <w:jc w:val="center"/>
              <w:rPr>
                <w:color w:val="auto"/>
              </w:rPr>
            </w:pPr>
          </w:p>
        </w:tc>
        <w:tc>
          <w:tcPr>
            <w:tcW w:w="1601" w:type="dxa"/>
            <w:vMerge w:val="restart"/>
            <w:vAlign w:val="center"/>
          </w:tcPr>
          <w:p>
            <w:pPr>
              <w:widowControl/>
              <w:spacing w:line="25" w:lineRule="atLeast"/>
              <w:jc w:val="center"/>
              <w:textAlignment w:val="center"/>
              <w:rPr>
                <w:color w:val="auto"/>
                <w:szCs w:val="21"/>
              </w:rPr>
            </w:pPr>
            <w:r>
              <w:rPr>
                <w:color w:val="auto"/>
                <w:szCs w:val="21"/>
              </w:rPr>
              <w:t>生产废水</w:t>
            </w:r>
          </w:p>
        </w:tc>
        <w:tc>
          <w:tcPr>
            <w:tcW w:w="4575" w:type="dxa"/>
            <w:vAlign w:val="center"/>
          </w:tcPr>
          <w:p>
            <w:pPr>
              <w:widowControl/>
              <w:spacing w:line="25" w:lineRule="atLeast"/>
              <w:jc w:val="center"/>
              <w:textAlignment w:val="center"/>
              <w:rPr>
                <w:color w:val="auto"/>
                <w:szCs w:val="21"/>
              </w:rPr>
            </w:pPr>
            <w:r>
              <w:rPr>
                <w:color w:val="auto"/>
                <w:szCs w:val="21"/>
              </w:rPr>
              <w:t>沉淀池</w:t>
            </w:r>
          </w:p>
        </w:tc>
        <w:tc>
          <w:tcPr>
            <w:tcW w:w="1943" w:type="dxa"/>
            <w:vMerge w:val="restart"/>
            <w:vAlign w:val="center"/>
          </w:tcPr>
          <w:p>
            <w:pPr>
              <w:spacing w:line="25" w:lineRule="atLeast"/>
              <w:jc w:val="center"/>
              <w:rPr>
                <w:color w:val="auto"/>
              </w:rPr>
            </w:pPr>
            <w:r>
              <w:rPr>
                <w:rFonts w:hint="eastAsia"/>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continue"/>
            <w:vAlign w:val="center"/>
          </w:tcPr>
          <w:p>
            <w:pPr>
              <w:spacing w:line="25" w:lineRule="atLeast"/>
              <w:ind w:firstLine="420"/>
              <w:jc w:val="center"/>
              <w:rPr>
                <w:color w:val="auto"/>
              </w:rPr>
            </w:pPr>
          </w:p>
        </w:tc>
        <w:tc>
          <w:tcPr>
            <w:tcW w:w="1601" w:type="dxa"/>
            <w:vMerge w:val="continue"/>
            <w:vAlign w:val="center"/>
          </w:tcPr>
          <w:p>
            <w:pPr>
              <w:widowControl/>
              <w:spacing w:line="25" w:lineRule="atLeast"/>
              <w:jc w:val="center"/>
              <w:textAlignment w:val="center"/>
              <w:rPr>
                <w:color w:val="auto"/>
                <w:szCs w:val="21"/>
              </w:rPr>
            </w:pPr>
          </w:p>
        </w:tc>
        <w:tc>
          <w:tcPr>
            <w:tcW w:w="4575" w:type="dxa"/>
            <w:vAlign w:val="center"/>
          </w:tcPr>
          <w:p>
            <w:pPr>
              <w:widowControl/>
              <w:spacing w:line="25" w:lineRule="atLeast"/>
              <w:jc w:val="center"/>
              <w:textAlignment w:val="center"/>
              <w:rPr>
                <w:color w:val="auto"/>
                <w:szCs w:val="21"/>
              </w:rPr>
            </w:pPr>
            <w:r>
              <w:rPr>
                <w:color w:val="auto"/>
                <w:szCs w:val="21"/>
              </w:rPr>
              <w:t>铺设排污管道</w:t>
            </w:r>
          </w:p>
        </w:tc>
        <w:tc>
          <w:tcPr>
            <w:tcW w:w="1943" w:type="dxa"/>
            <w:vMerge w:val="continue"/>
            <w:vAlign w:val="center"/>
          </w:tcPr>
          <w:p>
            <w:pPr>
              <w:spacing w:line="25" w:lineRule="atLeas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restart"/>
            <w:vAlign w:val="center"/>
          </w:tcPr>
          <w:p>
            <w:pPr>
              <w:widowControl/>
              <w:spacing w:line="25" w:lineRule="atLeast"/>
              <w:jc w:val="center"/>
              <w:textAlignment w:val="center"/>
              <w:rPr>
                <w:color w:val="auto"/>
              </w:rPr>
            </w:pPr>
            <w:r>
              <w:rPr>
                <w:color w:val="auto"/>
                <w:szCs w:val="21"/>
              </w:rPr>
              <w:t>固体废物</w:t>
            </w:r>
          </w:p>
        </w:tc>
        <w:tc>
          <w:tcPr>
            <w:tcW w:w="1601" w:type="dxa"/>
            <w:vAlign w:val="center"/>
          </w:tcPr>
          <w:p>
            <w:pPr>
              <w:widowControl/>
              <w:spacing w:line="25" w:lineRule="atLeast"/>
              <w:jc w:val="center"/>
              <w:textAlignment w:val="center"/>
              <w:rPr>
                <w:color w:val="auto"/>
                <w:szCs w:val="21"/>
              </w:rPr>
            </w:pPr>
            <w:r>
              <w:rPr>
                <w:color w:val="auto"/>
                <w:szCs w:val="21"/>
              </w:rPr>
              <w:t>一般固废</w:t>
            </w:r>
          </w:p>
        </w:tc>
        <w:tc>
          <w:tcPr>
            <w:tcW w:w="4575" w:type="dxa"/>
            <w:vAlign w:val="center"/>
          </w:tcPr>
          <w:p>
            <w:pPr>
              <w:widowControl/>
              <w:spacing w:line="25" w:lineRule="atLeast"/>
              <w:jc w:val="center"/>
              <w:textAlignment w:val="center"/>
              <w:rPr>
                <w:color w:val="auto"/>
                <w:szCs w:val="21"/>
              </w:rPr>
            </w:pPr>
            <w:r>
              <w:rPr>
                <w:rFonts w:hint="eastAsia"/>
                <w:color w:val="auto"/>
                <w:szCs w:val="21"/>
              </w:rPr>
              <w:t>分类垃圾桶等措施</w:t>
            </w:r>
          </w:p>
        </w:tc>
        <w:tc>
          <w:tcPr>
            <w:tcW w:w="1943" w:type="dxa"/>
            <w:vAlign w:val="center"/>
          </w:tcPr>
          <w:p>
            <w:pPr>
              <w:spacing w:line="25" w:lineRule="atLeast"/>
              <w:jc w:val="center"/>
              <w:rPr>
                <w:color w:val="auto"/>
              </w:rPr>
            </w:pPr>
            <w:r>
              <w:rPr>
                <w:rFonts w:hint="eastAsia"/>
                <w:color w:val="auto"/>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9" w:type="dxa"/>
            <w:vMerge w:val="continue"/>
            <w:vAlign w:val="center"/>
          </w:tcPr>
          <w:p>
            <w:pPr>
              <w:spacing w:line="25" w:lineRule="atLeast"/>
              <w:ind w:firstLine="420"/>
              <w:jc w:val="center"/>
              <w:rPr>
                <w:color w:val="auto"/>
              </w:rPr>
            </w:pPr>
          </w:p>
        </w:tc>
        <w:tc>
          <w:tcPr>
            <w:tcW w:w="1601" w:type="dxa"/>
            <w:vAlign w:val="center"/>
          </w:tcPr>
          <w:p>
            <w:pPr>
              <w:widowControl/>
              <w:spacing w:line="25" w:lineRule="atLeast"/>
              <w:jc w:val="center"/>
              <w:textAlignment w:val="center"/>
              <w:rPr>
                <w:color w:val="auto"/>
                <w:szCs w:val="21"/>
              </w:rPr>
            </w:pPr>
            <w:r>
              <w:rPr>
                <w:color w:val="auto"/>
                <w:szCs w:val="21"/>
              </w:rPr>
              <w:t>危险废物</w:t>
            </w:r>
          </w:p>
        </w:tc>
        <w:tc>
          <w:tcPr>
            <w:tcW w:w="4575" w:type="dxa"/>
            <w:vAlign w:val="center"/>
          </w:tcPr>
          <w:p>
            <w:pPr>
              <w:widowControl/>
              <w:spacing w:line="25" w:lineRule="atLeast"/>
              <w:jc w:val="center"/>
              <w:textAlignment w:val="center"/>
              <w:rPr>
                <w:color w:val="auto"/>
                <w:szCs w:val="21"/>
              </w:rPr>
            </w:pPr>
            <w:r>
              <w:rPr>
                <w:color w:val="auto"/>
                <w:szCs w:val="21"/>
              </w:rPr>
              <w:t>危废暂存间，定期交有资质单位处理处置，不排入外环境，执行危险废物转移联单管理办法</w:t>
            </w:r>
          </w:p>
        </w:tc>
        <w:tc>
          <w:tcPr>
            <w:tcW w:w="1943" w:type="dxa"/>
            <w:vAlign w:val="center"/>
          </w:tcPr>
          <w:p>
            <w:pPr>
              <w:spacing w:line="25" w:lineRule="atLeast"/>
              <w:jc w:val="center"/>
              <w:rPr>
                <w:color w:val="auto"/>
              </w:rPr>
            </w:pPr>
            <w:r>
              <w:rPr>
                <w:color w:val="auto"/>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30" w:type="dxa"/>
            <w:gridSpan w:val="2"/>
            <w:vAlign w:val="center"/>
          </w:tcPr>
          <w:p>
            <w:pPr>
              <w:widowControl/>
              <w:spacing w:line="25" w:lineRule="atLeast"/>
              <w:jc w:val="center"/>
              <w:textAlignment w:val="center"/>
              <w:rPr>
                <w:color w:val="auto"/>
              </w:rPr>
            </w:pPr>
            <w:r>
              <w:rPr>
                <w:color w:val="auto"/>
                <w:szCs w:val="21"/>
              </w:rPr>
              <w:t>噪声</w:t>
            </w:r>
          </w:p>
        </w:tc>
        <w:tc>
          <w:tcPr>
            <w:tcW w:w="4575" w:type="dxa"/>
            <w:vAlign w:val="center"/>
          </w:tcPr>
          <w:p>
            <w:pPr>
              <w:widowControl/>
              <w:spacing w:line="25" w:lineRule="atLeast"/>
              <w:ind w:firstLine="420"/>
              <w:jc w:val="center"/>
              <w:textAlignment w:val="center"/>
              <w:rPr>
                <w:color w:val="auto"/>
                <w:szCs w:val="21"/>
              </w:rPr>
            </w:pPr>
            <w:r>
              <w:rPr>
                <w:color w:val="auto"/>
                <w:szCs w:val="21"/>
              </w:rPr>
              <w:t>隔声、隔振、减振设备</w:t>
            </w:r>
          </w:p>
        </w:tc>
        <w:tc>
          <w:tcPr>
            <w:tcW w:w="1943" w:type="dxa"/>
            <w:vAlign w:val="center"/>
          </w:tcPr>
          <w:p>
            <w:pPr>
              <w:spacing w:line="25" w:lineRule="atLeast"/>
              <w:jc w:val="center"/>
              <w:rPr>
                <w:color w:val="auto"/>
              </w:rPr>
            </w:pPr>
            <w:r>
              <w:rPr>
                <w:color w:val="auto"/>
                <w:szCs w:val="21"/>
              </w:rPr>
              <w:t>2</w:t>
            </w:r>
            <w:r>
              <w:rPr>
                <w:rFonts w:hint="eastAsia"/>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30" w:type="dxa"/>
            <w:gridSpan w:val="2"/>
            <w:vAlign w:val="center"/>
          </w:tcPr>
          <w:p>
            <w:pPr>
              <w:widowControl/>
              <w:spacing w:line="25" w:lineRule="atLeast"/>
              <w:jc w:val="center"/>
              <w:textAlignment w:val="center"/>
              <w:rPr>
                <w:color w:val="auto"/>
              </w:rPr>
            </w:pPr>
            <w:r>
              <w:rPr>
                <w:color w:val="auto"/>
                <w:szCs w:val="21"/>
              </w:rPr>
              <w:t>地下水</w:t>
            </w:r>
          </w:p>
        </w:tc>
        <w:tc>
          <w:tcPr>
            <w:tcW w:w="4575" w:type="dxa"/>
            <w:vAlign w:val="center"/>
          </w:tcPr>
          <w:p>
            <w:pPr>
              <w:widowControl/>
              <w:spacing w:line="25" w:lineRule="atLeast"/>
              <w:jc w:val="center"/>
              <w:textAlignment w:val="center"/>
              <w:rPr>
                <w:color w:val="auto"/>
                <w:szCs w:val="21"/>
              </w:rPr>
            </w:pPr>
            <w:r>
              <w:rPr>
                <w:color w:val="auto"/>
                <w:szCs w:val="21"/>
              </w:rPr>
              <w:t>采取分区防渗措施</w:t>
            </w:r>
          </w:p>
        </w:tc>
        <w:tc>
          <w:tcPr>
            <w:tcW w:w="1943" w:type="dxa"/>
            <w:vAlign w:val="center"/>
          </w:tcPr>
          <w:p>
            <w:pPr>
              <w:spacing w:line="25" w:lineRule="atLeast"/>
              <w:jc w:val="center"/>
              <w:rPr>
                <w:color w:val="auto"/>
                <w:szCs w:val="21"/>
              </w:rPr>
            </w:pPr>
            <w:r>
              <w:rPr>
                <w:color w:val="auto"/>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30" w:type="dxa"/>
            <w:gridSpan w:val="2"/>
            <w:vAlign w:val="center"/>
          </w:tcPr>
          <w:p>
            <w:pPr>
              <w:widowControl/>
              <w:spacing w:line="25" w:lineRule="atLeast"/>
              <w:jc w:val="center"/>
              <w:textAlignment w:val="center"/>
              <w:rPr>
                <w:rFonts w:hint="eastAsia" w:eastAsia="宋体"/>
                <w:color w:val="auto"/>
                <w:szCs w:val="21"/>
                <w:lang w:val="en-US" w:eastAsia="zh-CN"/>
              </w:rPr>
            </w:pPr>
            <w:r>
              <w:rPr>
                <w:rFonts w:hint="eastAsia"/>
                <w:color w:val="auto"/>
                <w:szCs w:val="21"/>
                <w:lang w:val="en-US" w:eastAsia="zh-CN"/>
              </w:rPr>
              <w:t>风险事故</w:t>
            </w:r>
          </w:p>
        </w:tc>
        <w:tc>
          <w:tcPr>
            <w:tcW w:w="4575" w:type="dxa"/>
            <w:vAlign w:val="center"/>
          </w:tcPr>
          <w:p>
            <w:pPr>
              <w:widowControl/>
              <w:spacing w:line="25" w:lineRule="atLeast"/>
              <w:jc w:val="center"/>
              <w:textAlignment w:val="center"/>
              <w:rPr>
                <w:rFonts w:hint="eastAsia" w:eastAsia="宋体"/>
                <w:color w:val="auto"/>
                <w:szCs w:val="21"/>
                <w:lang w:val="en-US" w:eastAsia="zh-CN"/>
              </w:rPr>
            </w:pPr>
            <w:r>
              <w:rPr>
                <w:rFonts w:hint="eastAsia"/>
                <w:color w:val="auto"/>
                <w:szCs w:val="21"/>
                <w:lang w:val="en-US" w:eastAsia="zh-CN"/>
              </w:rPr>
              <w:t>设置围堰、购置突发风险事故防治物质</w:t>
            </w:r>
          </w:p>
        </w:tc>
        <w:tc>
          <w:tcPr>
            <w:tcW w:w="1943" w:type="dxa"/>
            <w:vAlign w:val="center"/>
          </w:tcPr>
          <w:p>
            <w:pPr>
              <w:spacing w:line="25" w:lineRule="atLeast"/>
              <w:jc w:val="center"/>
              <w:rPr>
                <w:rFonts w:hint="eastAsia" w:eastAsia="宋体"/>
                <w:color w:val="auto"/>
                <w:szCs w:val="21"/>
                <w:lang w:val="en-US" w:eastAsia="zh-CN"/>
              </w:rPr>
            </w:pPr>
            <w:r>
              <w:rPr>
                <w:rFonts w:hint="eastAsia"/>
                <w:color w:val="auto"/>
                <w:szCs w:val="21"/>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005" w:type="dxa"/>
            <w:gridSpan w:val="3"/>
            <w:vAlign w:val="center"/>
          </w:tcPr>
          <w:p>
            <w:pPr>
              <w:widowControl/>
              <w:spacing w:line="25" w:lineRule="atLeast"/>
              <w:ind w:firstLine="420"/>
              <w:jc w:val="center"/>
              <w:textAlignment w:val="center"/>
              <w:rPr>
                <w:color w:val="auto"/>
                <w:szCs w:val="21"/>
              </w:rPr>
            </w:pPr>
            <w:r>
              <w:rPr>
                <w:color w:val="auto"/>
                <w:szCs w:val="21"/>
              </w:rPr>
              <w:t>合计</w:t>
            </w:r>
          </w:p>
        </w:tc>
        <w:tc>
          <w:tcPr>
            <w:tcW w:w="1943" w:type="dxa"/>
            <w:vAlign w:val="center"/>
          </w:tcPr>
          <w:p>
            <w:pPr>
              <w:widowControl/>
              <w:spacing w:line="25" w:lineRule="atLeast"/>
              <w:jc w:val="center"/>
              <w:textAlignment w:val="center"/>
              <w:rPr>
                <w:color w:val="auto"/>
                <w:szCs w:val="21"/>
              </w:rPr>
            </w:pPr>
            <w:r>
              <w:rPr>
                <w:color w:val="auto"/>
                <w:szCs w:val="21"/>
              </w:rPr>
              <w:t>50</w:t>
            </w:r>
          </w:p>
        </w:tc>
      </w:tr>
    </w:tbl>
    <w:p>
      <w:pPr>
        <w:snapToGrid w:val="0"/>
        <w:spacing w:line="360" w:lineRule="auto"/>
        <w:ind w:firstLine="480" w:firstLineChars="200"/>
        <w:jc w:val="left"/>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由</w:t>
      </w:r>
      <w:r>
        <w:rPr>
          <w:rFonts w:hint="eastAsia"/>
          <w:color w:val="auto"/>
          <w:sz w:val="24"/>
        </w:rPr>
        <w:t>上表</w:t>
      </w:r>
      <w:r>
        <w:rPr>
          <w:color w:val="auto"/>
          <w:sz w:val="24"/>
        </w:rPr>
        <w:t>可以看出，根据环评提出的环保治理方案，估算环保投资额50万元，占项目投资16.7%。在建设单位的承受范围内。</w:t>
      </w:r>
    </w:p>
    <w:p>
      <w:pPr>
        <w:pStyle w:val="4"/>
        <w:numPr>
          <w:ilvl w:val="0"/>
          <w:numId w:val="0"/>
        </w:numPr>
        <w:spacing w:before="159" w:after="159"/>
        <w:ind w:left="568"/>
        <w:rPr>
          <w:color w:val="auto"/>
          <w:sz w:val="44"/>
          <w:szCs w:val="44"/>
        </w:rPr>
      </w:pPr>
      <w:bookmarkStart w:id="3208" w:name="_Toc14142"/>
      <w:bookmarkStart w:id="3209" w:name="_Toc25305"/>
      <w:bookmarkStart w:id="3210" w:name="_Toc12959343"/>
      <w:bookmarkStart w:id="3211" w:name="_Toc1729017"/>
      <w:bookmarkStart w:id="3212" w:name="_Toc514067730"/>
      <w:r>
        <w:rPr>
          <w:rFonts w:hint="eastAsia"/>
          <w:color w:val="auto"/>
          <w:sz w:val="44"/>
          <w:szCs w:val="44"/>
        </w:rPr>
        <w:t xml:space="preserve">9  </w:t>
      </w:r>
      <w:r>
        <w:rPr>
          <w:color w:val="auto"/>
          <w:sz w:val="44"/>
          <w:szCs w:val="44"/>
        </w:rPr>
        <w:t>环境影响经济损益分析</w:t>
      </w:r>
      <w:bookmarkEnd w:id="3208"/>
      <w:bookmarkEnd w:id="3209"/>
      <w:bookmarkEnd w:id="3210"/>
      <w:bookmarkEnd w:id="3211"/>
      <w:bookmarkEnd w:id="3212"/>
    </w:p>
    <w:p>
      <w:pPr>
        <w:autoSpaceDE w:val="0"/>
        <w:autoSpaceDN w:val="0"/>
        <w:spacing w:line="360" w:lineRule="auto"/>
        <w:ind w:firstLine="480"/>
        <w:textAlignment w:val="baseline"/>
        <w:rPr>
          <w:color w:val="auto"/>
          <w:kern w:val="0"/>
          <w:sz w:val="24"/>
        </w:rPr>
      </w:pPr>
      <w:r>
        <w:rPr>
          <w:color w:val="auto"/>
          <w:kern w:val="0"/>
          <w:sz w:val="24"/>
        </w:rPr>
        <w:t>环境影响经济损益分析包括对建设项目环保投资估算、环境损失和环境收益，以及建设项目的经济效益和社会效益。本评价报告以资料调查为主，结合一定的类比调查，了解建设项目所排放的污染物所引起的环境损失，以及建设项目采取各项环境保护措施后所得到的环境收益，估算整个建设项目建成前后的环境-经济损益。</w:t>
      </w:r>
    </w:p>
    <w:p>
      <w:pPr>
        <w:autoSpaceDE w:val="0"/>
        <w:autoSpaceDN w:val="0"/>
        <w:spacing w:line="360" w:lineRule="auto"/>
        <w:ind w:firstLine="480"/>
        <w:textAlignment w:val="baseline"/>
        <w:rPr>
          <w:color w:val="auto"/>
          <w:kern w:val="0"/>
          <w:sz w:val="24"/>
        </w:rPr>
      </w:pPr>
      <w:r>
        <w:rPr>
          <w:color w:val="auto"/>
          <w:kern w:val="0"/>
          <w:sz w:val="24"/>
        </w:rPr>
        <w:t>以调查和资料分析为主，在详细了解项目的工程概况、环保投资及施工运行等各个环节影响的程度和范围的基础上，进行经济损益分析评价。</w:t>
      </w:r>
    </w:p>
    <w:p>
      <w:pPr>
        <w:pStyle w:val="5"/>
        <w:numPr>
          <w:ilvl w:val="1"/>
          <w:numId w:val="0"/>
        </w:numPr>
        <w:tabs>
          <w:tab w:val="clear" w:pos="720"/>
        </w:tabs>
        <w:spacing w:before="159" w:after="159"/>
        <w:rPr>
          <w:color w:val="auto"/>
          <w:sz w:val="32"/>
          <w:szCs w:val="21"/>
        </w:rPr>
      </w:pPr>
      <w:bookmarkStart w:id="3213" w:name="_Toc11859"/>
      <w:bookmarkStart w:id="3214" w:name="_Toc11502"/>
      <w:bookmarkStart w:id="3215" w:name="_Toc441753672"/>
      <w:bookmarkStart w:id="3216" w:name="_Toc1729019"/>
      <w:bookmarkStart w:id="3217" w:name="_Toc12959345"/>
      <w:bookmarkStart w:id="3218" w:name="_Toc514067732"/>
      <w:r>
        <w:rPr>
          <w:rFonts w:hint="eastAsia"/>
          <w:color w:val="auto"/>
          <w:sz w:val="32"/>
          <w:szCs w:val="21"/>
        </w:rPr>
        <w:t xml:space="preserve">9.1  </w:t>
      </w:r>
      <w:r>
        <w:rPr>
          <w:color w:val="auto"/>
          <w:sz w:val="32"/>
          <w:szCs w:val="21"/>
        </w:rPr>
        <w:t>环境经济损益分析</w:t>
      </w:r>
      <w:bookmarkEnd w:id="3213"/>
      <w:bookmarkEnd w:id="3214"/>
      <w:bookmarkEnd w:id="3215"/>
      <w:bookmarkEnd w:id="3216"/>
      <w:bookmarkEnd w:id="3217"/>
      <w:bookmarkEnd w:id="3218"/>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19" w:name="_Toc3070"/>
      <w:r>
        <w:rPr>
          <w:rFonts w:hint="eastAsia"/>
          <w:color w:val="auto"/>
        </w:rPr>
        <w:t xml:space="preserve">9.1.1  </w:t>
      </w:r>
      <w:r>
        <w:rPr>
          <w:color w:val="auto"/>
        </w:rPr>
        <w:t>经济效益分析</w:t>
      </w:r>
      <w:bookmarkEnd w:id="3219"/>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经济效益分析通过技术和经济分析及项目实际运行情况分析，本项目建成投产后，企业可以取得较好的经济效益。项目投资300万元，经测算，本项目生产期内年均销售收入和销售税金及附加分别为:年均销售收入600万元，年均利税总额60万元。本项目具有较好的盈利能力，同时具有较好的抗风险能力，各项评价指标均高于行业的标准，因此本项目在财务上是可行的。经济费用效益分析的结果表明本项目在财务上是可行的，项目建成投产后，经济效益良好。本项目可为国家及地方增加相当数量的税收，同时又能为一定数量人员提供劳动就业的机会，提高当地人民群众的生活水平，也可进一步推动当地社会经济的发展，其社会经济效益显著.项目经济分析的基本情况详见</w:t>
      </w:r>
      <w:r>
        <w:rPr>
          <w:rFonts w:hint="eastAsia" w:ascii="Times New Roman" w:hAnsi="Times New Roman" w:cs="Times New Roman"/>
          <w:color w:val="auto"/>
          <w:sz w:val="24"/>
        </w:rPr>
        <w:t>下表</w:t>
      </w:r>
      <w:r>
        <w:rPr>
          <w:rFonts w:ascii="Times New Roman" w:hAnsi="Times New Roman" w:cs="Times New Roman"/>
          <w:color w:val="auto"/>
          <w:sz w:val="24"/>
        </w:rPr>
        <w:t>。</w:t>
      </w:r>
    </w:p>
    <w:p>
      <w:pPr>
        <w:pStyle w:val="43"/>
        <w:spacing w:line="360" w:lineRule="auto"/>
        <w:ind w:firstLine="422" w:firstLineChars="200"/>
        <w:jc w:val="center"/>
        <w:rPr>
          <w:rFonts w:ascii="Times New Roman" w:hAnsi="Times New Roman" w:cs="Times New Roman"/>
          <w:b/>
          <w:bCs/>
          <w:color w:val="auto"/>
        </w:rPr>
      </w:pPr>
      <w:r>
        <w:rPr>
          <w:rFonts w:ascii="Times New Roman" w:hAnsi="Times New Roman" w:cs="Times New Roman"/>
          <w:b/>
          <w:bCs/>
          <w:color w:val="auto"/>
        </w:rPr>
        <w:t>表</w:t>
      </w:r>
      <w:r>
        <w:rPr>
          <w:rFonts w:hint="eastAsia" w:ascii="Times New Roman" w:hAnsi="Times New Roman" w:cs="Times New Roman"/>
          <w:b/>
          <w:bCs/>
          <w:color w:val="auto"/>
        </w:rPr>
        <w:t>9</w:t>
      </w:r>
      <w:r>
        <w:rPr>
          <w:rFonts w:ascii="Times New Roman" w:hAnsi="Times New Roman" w:cs="Times New Roman"/>
          <w:b/>
          <w:bCs/>
          <w:color w:val="auto"/>
        </w:rPr>
        <w:t>.1-1</w:t>
      </w:r>
      <w:r>
        <w:rPr>
          <w:rFonts w:hint="eastAsia" w:ascii="Times New Roman" w:hAnsi="Times New Roman" w:cs="Times New Roman"/>
          <w:b/>
          <w:bCs/>
          <w:color w:val="auto"/>
        </w:rPr>
        <w:t xml:space="preserve">  </w:t>
      </w:r>
      <w:r>
        <w:rPr>
          <w:rFonts w:ascii="Times New Roman" w:hAnsi="Times New Roman" w:cs="Times New Roman"/>
          <w:b/>
          <w:bCs/>
          <w:color w:val="auto"/>
        </w:rPr>
        <w:t>本项目主要投资情况</w:t>
      </w:r>
    </w:p>
    <w:tbl>
      <w:tblPr>
        <w:tblStyle w:val="24"/>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1701"/>
        <w:gridCol w:w="768"/>
        <w:gridCol w:w="2206"/>
        <w:gridCol w:w="3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序号</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指标</w:t>
            </w:r>
          </w:p>
        </w:tc>
        <w:tc>
          <w:tcPr>
            <w:tcW w:w="768"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单位</w:t>
            </w:r>
          </w:p>
        </w:tc>
        <w:tc>
          <w:tcPr>
            <w:tcW w:w="220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数量</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1</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生产规模</w:t>
            </w:r>
          </w:p>
        </w:tc>
        <w:tc>
          <w:tcPr>
            <w:tcW w:w="768"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w:t>
            </w:r>
          </w:p>
        </w:tc>
        <w:tc>
          <w:tcPr>
            <w:tcW w:w="2206" w:type="dxa"/>
            <w:vAlign w:val="center"/>
          </w:tcPr>
          <w:p>
            <w:pPr>
              <w:pStyle w:val="43"/>
              <w:spacing w:line="300" w:lineRule="auto"/>
              <w:jc w:val="center"/>
              <w:rPr>
                <w:rFonts w:ascii="Times New Roman" w:hAnsi="Times New Roman" w:cs="Times New Roman"/>
                <w:bCs/>
                <w:snapToGrid w:val="0"/>
                <w:color w:val="auto"/>
              </w:rPr>
            </w:pPr>
            <w:r>
              <w:rPr>
                <w:rFonts w:ascii="Times New Roman" w:hAnsi="Times New Roman" w:cs="Times New Roman"/>
                <w:bCs/>
                <w:color w:val="auto"/>
              </w:rPr>
              <w:t>资源化利用</w:t>
            </w:r>
            <w:r>
              <w:rPr>
                <w:rFonts w:ascii="Times New Roman" w:hAnsi="Times New Roman" w:cs="Times New Roman"/>
                <w:bCs/>
                <w:snapToGrid w:val="0"/>
                <w:color w:val="auto"/>
              </w:rPr>
              <w:t>覆铜板</w:t>
            </w:r>
          </w:p>
          <w:p>
            <w:pPr>
              <w:pStyle w:val="43"/>
              <w:spacing w:line="300" w:lineRule="auto"/>
              <w:jc w:val="center"/>
              <w:rPr>
                <w:rFonts w:ascii="Times New Roman" w:hAnsi="Times New Roman" w:cs="Times New Roman"/>
                <w:color w:val="auto"/>
              </w:rPr>
            </w:pPr>
            <w:r>
              <w:rPr>
                <w:rFonts w:hint="eastAsia" w:ascii="Times New Roman" w:hAnsi="Times New Roman" w:cs="Times New Roman"/>
                <w:bCs/>
                <w:snapToGrid w:val="0"/>
                <w:color w:val="auto"/>
              </w:rPr>
              <w:t>3万</w:t>
            </w:r>
            <w:r>
              <w:rPr>
                <w:rFonts w:ascii="Times New Roman" w:hAnsi="Times New Roman" w:cs="Times New Roman"/>
                <w:bCs/>
                <w:snapToGrid w:val="0"/>
                <w:color w:val="auto"/>
              </w:rPr>
              <w:t>t/a</w:t>
            </w:r>
          </w:p>
        </w:tc>
        <w:tc>
          <w:tcPr>
            <w:tcW w:w="3357" w:type="dxa"/>
            <w:vAlign w:val="center"/>
          </w:tcPr>
          <w:p>
            <w:pPr>
              <w:pStyle w:val="43"/>
              <w:spacing w:line="300" w:lineRule="auto"/>
              <w:jc w:val="center"/>
              <w:rPr>
                <w:rFonts w:ascii="Times New Roman" w:hAnsi="Times New Roman" w:cs="Times New Roman"/>
                <w:color w:val="auto"/>
              </w:rPr>
            </w:pPr>
            <w:r>
              <w:rPr>
                <w:rFonts w:hint="eastAsia" w:ascii="Times New Roman" w:hAnsi="Times New Roman" w:cs="Times New Roman"/>
                <w:bCs/>
                <w:snapToGrid w:val="0"/>
                <w:color w:val="auto"/>
                <w:lang w:val="en-US" w:eastAsia="zh-CN"/>
              </w:rPr>
              <w:t>产出</w:t>
            </w:r>
            <w:r>
              <w:rPr>
                <w:rFonts w:hint="eastAsia" w:ascii="Times New Roman" w:hAnsi="Times New Roman"/>
                <w:color w:val="auto"/>
                <w:lang w:val="en-US" w:eastAsia="zh-CN"/>
              </w:rPr>
              <w:t>铜粉23574t/a、</w:t>
            </w:r>
            <w:r>
              <w:rPr>
                <w:rFonts w:ascii="Times New Roman" w:hAnsi="Times New Roman" w:cs="Times New Roman"/>
                <w:bCs/>
                <w:snapToGrid w:val="0"/>
                <w:color w:val="auto"/>
              </w:rPr>
              <w:t>防水卷材</w:t>
            </w:r>
            <w:r>
              <w:rPr>
                <w:rFonts w:hint="eastAsia" w:ascii="Times New Roman" w:hAnsi="Times New Roman" w:cs="Times New Roman"/>
                <w:bCs/>
                <w:snapToGrid w:val="0"/>
                <w:color w:val="auto"/>
              </w:rPr>
              <w:t>2.3万t/a（折合1000</w:t>
            </w:r>
            <w:r>
              <w:rPr>
                <w:rFonts w:ascii="Times New Roman" w:hAnsi="Times New Roman" w:cs="Times New Roman"/>
                <w:bCs/>
                <w:snapToGrid w:val="0"/>
                <w:color w:val="auto"/>
              </w:rPr>
              <w:t>万平方米</w:t>
            </w:r>
            <w:r>
              <w:rPr>
                <w:rFonts w:hint="eastAsia" w:ascii="Times New Roman" w:hAnsi="Times New Roman" w:cs="Times New Roman"/>
                <w:bCs/>
                <w:snapToGrid w:val="0"/>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2</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总投资</w:t>
            </w:r>
          </w:p>
        </w:tc>
        <w:tc>
          <w:tcPr>
            <w:tcW w:w="768"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万元</w:t>
            </w:r>
          </w:p>
        </w:tc>
        <w:tc>
          <w:tcPr>
            <w:tcW w:w="220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300</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3</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环保投资</w:t>
            </w:r>
          </w:p>
        </w:tc>
        <w:tc>
          <w:tcPr>
            <w:tcW w:w="768"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万元</w:t>
            </w:r>
          </w:p>
        </w:tc>
        <w:tc>
          <w:tcPr>
            <w:tcW w:w="220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50</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废水处理、废气处理、噪声治理等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4</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项目定员</w:t>
            </w:r>
          </w:p>
        </w:tc>
        <w:tc>
          <w:tcPr>
            <w:tcW w:w="768"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人</w:t>
            </w:r>
          </w:p>
        </w:tc>
        <w:tc>
          <w:tcPr>
            <w:tcW w:w="2206" w:type="dxa"/>
            <w:vAlign w:val="center"/>
          </w:tcPr>
          <w:p>
            <w:pPr>
              <w:pStyle w:val="43"/>
              <w:spacing w:line="300" w:lineRule="auto"/>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60</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仅本项目所需人员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5</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年收入</w:t>
            </w:r>
          </w:p>
        </w:tc>
        <w:tc>
          <w:tcPr>
            <w:tcW w:w="768" w:type="dxa"/>
            <w:vAlign w:val="center"/>
          </w:tcPr>
          <w:p>
            <w:pPr>
              <w:spacing w:line="300" w:lineRule="auto"/>
              <w:jc w:val="center"/>
              <w:rPr>
                <w:color w:val="auto"/>
                <w:szCs w:val="21"/>
              </w:rPr>
            </w:pPr>
            <w:r>
              <w:rPr>
                <w:color w:val="auto"/>
                <w:szCs w:val="21"/>
              </w:rPr>
              <w:t>万元</w:t>
            </w:r>
          </w:p>
        </w:tc>
        <w:tc>
          <w:tcPr>
            <w:tcW w:w="220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600</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年平均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6</w:t>
            </w:r>
          </w:p>
        </w:tc>
        <w:tc>
          <w:tcPr>
            <w:tcW w:w="1701"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年均利润总额</w:t>
            </w:r>
          </w:p>
        </w:tc>
        <w:tc>
          <w:tcPr>
            <w:tcW w:w="768" w:type="dxa"/>
            <w:vAlign w:val="center"/>
          </w:tcPr>
          <w:p>
            <w:pPr>
              <w:spacing w:line="300" w:lineRule="auto"/>
              <w:jc w:val="center"/>
              <w:rPr>
                <w:color w:val="auto"/>
                <w:szCs w:val="21"/>
              </w:rPr>
            </w:pPr>
            <w:r>
              <w:rPr>
                <w:color w:val="auto"/>
                <w:szCs w:val="21"/>
              </w:rPr>
              <w:t>万元</w:t>
            </w:r>
          </w:p>
        </w:tc>
        <w:tc>
          <w:tcPr>
            <w:tcW w:w="2206"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60</w:t>
            </w:r>
          </w:p>
        </w:tc>
        <w:tc>
          <w:tcPr>
            <w:tcW w:w="3357" w:type="dxa"/>
            <w:vAlign w:val="center"/>
          </w:tcPr>
          <w:p>
            <w:pPr>
              <w:pStyle w:val="43"/>
              <w:spacing w:line="300" w:lineRule="auto"/>
              <w:jc w:val="center"/>
              <w:rPr>
                <w:rFonts w:ascii="Times New Roman" w:hAnsi="Times New Roman" w:cs="Times New Roman"/>
                <w:color w:val="auto"/>
              </w:rPr>
            </w:pPr>
            <w:r>
              <w:rPr>
                <w:rFonts w:ascii="Times New Roman" w:hAnsi="Times New Roman" w:cs="Times New Roman"/>
                <w:color w:val="auto"/>
              </w:rPr>
              <w:t>年平均</w:t>
            </w:r>
          </w:p>
        </w:tc>
      </w:tr>
    </w:tbl>
    <w:p>
      <w:pPr>
        <w:pStyle w:val="5"/>
        <w:numPr>
          <w:ilvl w:val="1"/>
          <w:numId w:val="0"/>
        </w:numPr>
        <w:tabs>
          <w:tab w:val="clear" w:pos="720"/>
        </w:tabs>
        <w:spacing w:before="159" w:after="159"/>
        <w:rPr>
          <w:color w:val="auto"/>
          <w:sz w:val="32"/>
          <w:szCs w:val="21"/>
        </w:rPr>
      </w:pPr>
      <w:bookmarkStart w:id="3220" w:name="_Toc31090"/>
      <w:bookmarkStart w:id="3221" w:name="_Toc2859"/>
      <w:bookmarkStart w:id="3222" w:name="_Toc12959346"/>
      <w:bookmarkStart w:id="3223" w:name="_Toc441753673"/>
      <w:bookmarkStart w:id="3224" w:name="_Toc514067735"/>
      <w:bookmarkStart w:id="3225" w:name="_Toc292808588"/>
      <w:bookmarkStart w:id="3226" w:name="_Toc1729020"/>
      <w:r>
        <w:rPr>
          <w:rFonts w:hint="eastAsia"/>
          <w:color w:val="auto"/>
          <w:sz w:val="32"/>
          <w:szCs w:val="21"/>
        </w:rPr>
        <w:t xml:space="preserve">9.2  </w:t>
      </w:r>
      <w:r>
        <w:rPr>
          <w:color w:val="auto"/>
          <w:sz w:val="32"/>
          <w:szCs w:val="21"/>
        </w:rPr>
        <w:t>环境效益</w:t>
      </w:r>
      <w:bookmarkEnd w:id="3220"/>
      <w:bookmarkEnd w:id="3221"/>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27" w:name="_Toc23366"/>
      <w:r>
        <w:rPr>
          <w:rFonts w:hint="eastAsia"/>
          <w:color w:val="auto"/>
        </w:rPr>
        <w:t xml:space="preserve">9.2.1  </w:t>
      </w:r>
      <w:r>
        <w:rPr>
          <w:color w:val="auto"/>
        </w:rPr>
        <w:t>环保投资估算</w:t>
      </w:r>
      <w:bookmarkEnd w:id="3227"/>
    </w:p>
    <w:p>
      <w:pPr>
        <w:spacing w:line="360" w:lineRule="auto"/>
        <w:ind w:firstLine="480"/>
        <w:jc w:val="left"/>
        <w:textAlignment w:val="baseline"/>
        <w:rPr>
          <w:color w:val="auto"/>
          <w:kern w:val="0"/>
          <w:sz w:val="24"/>
        </w:rPr>
      </w:pPr>
      <w:r>
        <w:rPr>
          <w:color w:val="auto"/>
          <w:kern w:val="0"/>
          <w:sz w:val="24"/>
        </w:rPr>
        <w:t>根据工程分析和环境影响预测可知，本项目建成投产后，产生的废气、废水、噪声将对周围产生一定的影响，因此必须采取相应的环境治理措施加以控制，并保证相应资金的投入，使项目建成后生产过程中产生的各类污染物对周围环境影响降到最小。本项目总投资为</w:t>
      </w:r>
      <w:r>
        <w:rPr>
          <w:color w:val="auto"/>
          <w:spacing w:val="4"/>
          <w:kern w:val="0"/>
          <w:sz w:val="24"/>
        </w:rPr>
        <w:t>300万元</w:t>
      </w:r>
      <w:r>
        <w:rPr>
          <w:color w:val="auto"/>
          <w:kern w:val="0"/>
          <w:sz w:val="24"/>
        </w:rPr>
        <w:t>，环保设施投资为50万元，占总投资的16.67%，在企业可承受的范围内。环保设施投资明细详见</w:t>
      </w:r>
      <w:r>
        <w:rPr>
          <w:rFonts w:hint="eastAsia"/>
          <w:color w:val="auto"/>
          <w:kern w:val="0"/>
          <w:sz w:val="24"/>
        </w:rPr>
        <w:t>下表</w:t>
      </w:r>
      <w:r>
        <w:rPr>
          <w:color w:val="auto"/>
          <w:kern w:val="0"/>
          <w:sz w:val="24"/>
        </w:rPr>
        <w:t>。</w:t>
      </w:r>
    </w:p>
    <w:p>
      <w:pPr>
        <w:pStyle w:val="43"/>
        <w:spacing w:line="360" w:lineRule="auto"/>
        <w:jc w:val="center"/>
        <w:rPr>
          <w:rFonts w:ascii="Times New Roman" w:hAnsi="Times New Roman" w:cs="Times New Roman"/>
          <w:b/>
          <w:color w:val="auto"/>
        </w:rPr>
      </w:pPr>
      <w:r>
        <w:rPr>
          <w:rFonts w:ascii="Times New Roman" w:hAnsi="Times New Roman" w:cs="Times New Roman"/>
          <w:b/>
          <w:color w:val="auto"/>
        </w:rPr>
        <w:t>表</w:t>
      </w:r>
      <w:r>
        <w:rPr>
          <w:rFonts w:hint="eastAsia" w:ascii="Times New Roman" w:hAnsi="Times New Roman" w:cs="Times New Roman"/>
          <w:b/>
          <w:color w:val="auto"/>
        </w:rPr>
        <w:t>9</w:t>
      </w:r>
      <w:r>
        <w:rPr>
          <w:rFonts w:ascii="Times New Roman" w:hAnsi="Times New Roman" w:cs="Times New Roman"/>
          <w:b/>
          <w:color w:val="auto"/>
        </w:rPr>
        <w:t>.2-1 项目环境保护投资一览表</w:t>
      </w:r>
    </w:p>
    <w:tbl>
      <w:tblPr>
        <w:tblStyle w:val="23"/>
        <w:tblW w:w="8762" w:type="dxa"/>
        <w:jc w:val="center"/>
        <w:tblLayout w:type="fixed"/>
        <w:tblCellMar>
          <w:top w:w="0" w:type="dxa"/>
          <w:left w:w="0" w:type="dxa"/>
          <w:bottom w:w="0" w:type="dxa"/>
          <w:right w:w="0" w:type="dxa"/>
        </w:tblCellMar>
      </w:tblPr>
      <w:tblGrid>
        <w:gridCol w:w="765"/>
        <w:gridCol w:w="1560"/>
        <w:gridCol w:w="4271"/>
        <w:gridCol w:w="1086"/>
        <w:gridCol w:w="1080"/>
      </w:tblGrid>
      <w:tr>
        <w:tblPrEx>
          <w:tblCellMar>
            <w:top w:w="0" w:type="dxa"/>
            <w:left w:w="0" w:type="dxa"/>
            <w:bottom w:w="0" w:type="dxa"/>
            <w:right w:w="0" w:type="dxa"/>
          </w:tblCellMar>
        </w:tblPrEx>
        <w:trPr>
          <w:trHeight w:val="397" w:hRule="atLeast"/>
          <w:jc w:val="center"/>
        </w:trPr>
        <w:tc>
          <w:tcPr>
            <w:tcW w:w="2325"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污染源</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污染防治措施</w:t>
            </w:r>
          </w:p>
        </w:tc>
        <w:tc>
          <w:tcPr>
            <w:tcW w:w="108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环保投资</w:t>
            </w:r>
            <w:r>
              <w:rPr>
                <w:color w:val="auto"/>
                <w:szCs w:val="21"/>
              </w:rPr>
              <w:br w:type="textWrapping"/>
            </w:r>
            <w:r>
              <w:rPr>
                <w:color w:val="auto"/>
                <w:szCs w:val="21"/>
              </w:rPr>
              <w:t>（万元）</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备注</w:t>
            </w:r>
          </w:p>
        </w:tc>
      </w:tr>
      <w:tr>
        <w:tblPrEx>
          <w:tblCellMar>
            <w:top w:w="0" w:type="dxa"/>
            <w:left w:w="0" w:type="dxa"/>
            <w:bottom w:w="0" w:type="dxa"/>
            <w:right w:w="0" w:type="dxa"/>
          </w:tblCellMar>
        </w:tblPrEx>
        <w:trPr>
          <w:trHeight w:val="397" w:hRule="atLeast"/>
          <w:jc w:val="center"/>
        </w:trPr>
        <w:tc>
          <w:tcPr>
            <w:tcW w:w="765" w:type="dxa"/>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废气</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破碎工序</w:t>
            </w: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集气罩+旋风布袋除尘器+15m排气筒</w:t>
            </w:r>
          </w:p>
        </w:tc>
        <w:tc>
          <w:tcPr>
            <w:tcW w:w="108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r>
              <w:rPr>
                <w:color w:val="auto"/>
                <w:szCs w:val="21"/>
              </w:rPr>
              <w:t>10</w:t>
            </w:r>
          </w:p>
        </w:tc>
        <w:tc>
          <w:tcPr>
            <w:tcW w:w="1080" w:type="dxa"/>
            <w:vMerge w:val="restart"/>
            <w:tcBorders>
              <w:top w:val="single" w:color="000000" w:sz="4" w:space="0"/>
              <w:left w:val="single" w:color="auto"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新建</w:t>
            </w:r>
          </w:p>
        </w:tc>
      </w:tr>
      <w:tr>
        <w:tblPrEx>
          <w:tblCellMar>
            <w:top w:w="0" w:type="dxa"/>
            <w:left w:w="0" w:type="dxa"/>
            <w:bottom w:w="0" w:type="dxa"/>
            <w:right w:w="0" w:type="dxa"/>
          </w:tblCellMar>
        </w:tblPrEx>
        <w:trPr>
          <w:trHeight w:val="397" w:hRule="atLeast"/>
          <w:jc w:val="center"/>
        </w:trPr>
        <w:tc>
          <w:tcPr>
            <w:tcW w:w="765" w:type="dxa"/>
            <w:vMerge w:val="continue"/>
            <w:tcBorders>
              <w:left w:val="single" w:color="000000"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c>
          <w:tcPr>
            <w:tcW w:w="1560" w:type="dxa"/>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卷材生产</w:t>
            </w: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密闭生产线+旋风除尘+冷凝器+油烟净化器+UV光解+活性炭吸附+20m排气筒</w:t>
            </w:r>
          </w:p>
        </w:tc>
        <w:tc>
          <w:tcPr>
            <w:tcW w:w="108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rPr>
              <w:t>25</w:t>
            </w:r>
          </w:p>
        </w:tc>
        <w:tc>
          <w:tcPr>
            <w:tcW w:w="1080" w:type="dxa"/>
            <w:vMerge w:val="continue"/>
            <w:tcBorders>
              <w:left w:val="single" w:color="auto"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r>
      <w:tr>
        <w:tblPrEx>
          <w:tblCellMar>
            <w:top w:w="0" w:type="dxa"/>
            <w:left w:w="0" w:type="dxa"/>
            <w:bottom w:w="0" w:type="dxa"/>
            <w:right w:w="0" w:type="dxa"/>
          </w:tblCellMar>
        </w:tblPrEx>
        <w:trPr>
          <w:trHeight w:val="397" w:hRule="atLeast"/>
          <w:jc w:val="center"/>
        </w:trPr>
        <w:tc>
          <w:tcPr>
            <w:tcW w:w="765" w:type="dxa"/>
            <w:vMerge w:val="continue"/>
            <w:tcBorders>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c>
          <w:tcPr>
            <w:tcW w:w="1560" w:type="dxa"/>
            <w:vMerge w:val="continue"/>
            <w:tcBorders>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rPr>
                <w:color w:val="auto"/>
                <w:szCs w:val="21"/>
              </w:rPr>
            </w:pP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rFonts w:hint="eastAsia"/>
                <w:color w:val="auto"/>
                <w:szCs w:val="21"/>
                <w:lang w:eastAsia="zh-CN"/>
              </w:rPr>
              <w:t>导热油炉</w:t>
            </w:r>
            <w:r>
              <w:rPr>
                <w:color w:val="auto"/>
                <w:szCs w:val="21"/>
              </w:rPr>
              <w:t>管道收集+15m排气筒</w:t>
            </w:r>
          </w:p>
        </w:tc>
        <w:tc>
          <w:tcPr>
            <w:tcW w:w="108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rPr>
              <w:t>1</w:t>
            </w:r>
          </w:p>
        </w:tc>
        <w:tc>
          <w:tcPr>
            <w:tcW w:w="1080" w:type="dxa"/>
            <w:tcBorders>
              <w:left w:val="single" w:color="auto"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r>
      <w:tr>
        <w:tblPrEx>
          <w:tblCellMar>
            <w:top w:w="0" w:type="dxa"/>
            <w:left w:w="0" w:type="dxa"/>
            <w:bottom w:w="0" w:type="dxa"/>
            <w:right w:w="0" w:type="dxa"/>
          </w:tblCellMar>
        </w:tblPrEx>
        <w:trPr>
          <w:trHeight w:val="397" w:hRule="atLeast"/>
          <w:jc w:val="center"/>
        </w:trPr>
        <w:tc>
          <w:tcPr>
            <w:tcW w:w="765" w:type="dxa"/>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废水</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生活废水</w:t>
            </w: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三级化粪池</w:t>
            </w:r>
          </w:p>
        </w:tc>
        <w:tc>
          <w:tcPr>
            <w:tcW w:w="108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rPr>
              <w:t>0.8</w:t>
            </w:r>
          </w:p>
        </w:tc>
        <w:tc>
          <w:tcPr>
            <w:tcW w:w="1080" w:type="dxa"/>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新建</w:t>
            </w:r>
          </w:p>
        </w:tc>
      </w:tr>
      <w:tr>
        <w:tblPrEx>
          <w:tblCellMar>
            <w:top w:w="0" w:type="dxa"/>
            <w:left w:w="0" w:type="dxa"/>
            <w:bottom w:w="0" w:type="dxa"/>
            <w:right w:w="0" w:type="dxa"/>
          </w:tblCellMar>
        </w:tblPrEx>
        <w:trPr>
          <w:trHeight w:val="397" w:hRule="atLeast"/>
          <w:jc w:val="center"/>
        </w:trPr>
        <w:tc>
          <w:tcPr>
            <w:tcW w:w="765" w:type="dxa"/>
            <w:vMerge w:val="continue"/>
            <w:tcBorders>
              <w:left w:val="single" w:color="000000"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c>
          <w:tcPr>
            <w:tcW w:w="1560" w:type="dxa"/>
            <w:vMerge w:val="restart"/>
            <w:tcBorders>
              <w:left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生产废水</w:t>
            </w: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沉淀池</w:t>
            </w:r>
          </w:p>
        </w:tc>
        <w:tc>
          <w:tcPr>
            <w:tcW w:w="1086" w:type="dxa"/>
            <w:vMerge w:val="restart"/>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rPr>
              <w:t>2</w:t>
            </w:r>
          </w:p>
        </w:tc>
        <w:tc>
          <w:tcPr>
            <w:tcW w:w="1080" w:type="dxa"/>
            <w:vMerge w:val="restart"/>
            <w:tcBorders>
              <w:top w:val="single" w:color="000000" w:sz="4" w:space="0"/>
              <w:left w:val="single" w:color="auto"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新建</w:t>
            </w:r>
          </w:p>
        </w:tc>
      </w:tr>
      <w:tr>
        <w:tblPrEx>
          <w:tblCellMar>
            <w:top w:w="0" w:type="dxa"/>
            <w:left w:w="0" w:type="dxa"/>
            <w:bottom w:w="0" w:type="dxa"/>
            <w:right w:w="0" w:type="dxa"/>
          </w:tblCellMar>
        </w:tblPrEx>
        <w:trPr>
          <w:trHeight w:val="397" w:hRule="atLeast"/>
          <w:jc w:val="center"/>
        </w:trPr>
        <w:tc>
          <w:tcPr>
            <w:tcW w:w="765" w:type="dxa"/>
            <w:vMerge w:val="continue"/>
            <w:tcBorders>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c>
          <w:tcPr>
            <w:tcW w:w="1560" w:type="dxa"/>
            <w:vMerge w:val="continue"/>
            <w:tcBorders>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p>
        </w:tc>
        <w:tc>
          <w:tcPr>
            <w:tcW w:w="4271"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铺设排污管道</w:t>
            </w:r>
          </w:p>
        </w:tc>
        <w:tc>
          <w:tcPr>
            <w:tcW w:w="1086" w:type="dxa"/>
            <w:vMerge w:val="continue"/>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pPr>
              <w:spacing w:line="25" w:lineRule="atLeast"/>
              <w:jc w:val="center"/>
              <w:rPr>
                <w:color w:val="auto"/>
                <w:szCs w:val="21"/>
              </w:rPr>
            </w:pPr>
          </w:p>
        </w:tc>
        <w:tc>
          <w:tcPr>
            <w:tcW w:w="1080" w:type="dxa"/>
            <w:vMerge w:val="continue"/>
            <w:tcBorders>
              <w:left w:val="single" w:color="auto"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p>
        </w:tc>
      </w:tr>
      <w:tr>
        <w:tblPrEx>
          <w:tblCellMar>
            <w:top w:w="0" w:type="dxa"/>
            <w:left w:w="0" w:type="dxa"/>
            <w:bottom w:w="0" w:type="dxa"/>
            <w:right w:w="0" w:type="dxa"/>
          </w:tblCellMar>
        </w:tblPrEx>
        <w:trPr>
          <w:trHeight w:val="397" w:hRule="atLeast"/>
          <w:jc w:val="center"/>
        </w:trPr>
        <w:tc>
          <w:tcPr>
            <w:tcW w:w="765"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固体废物</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一般固废</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rFonts w:hint="eastAsia"/>
                <w:color w:val="auto"/>
                <w:szCs w:val="21"/>
              </w:rPr>
              <w:t>分类垃圾桶等措施</w:t>
            </w:r>
          </w:p>
        </w:tc>
        <w:tc>
          <w:tcPr>
            <w:tcW w:w="1086" w:type="dxa"/>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rPr>
              <w:t>0.2</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rFonts w:hint="eastAsia" w:eastAsia="宋体"/>
                <w:color w:val="auto"/>
                <w:szCs w:val="21"/>
                <w:lang w:eastAsia="zh-CN"/>
              </w:rPr>
            </w:pPr>
            <w:r>
              <w:rPr>
                <w:rFonts w:hint="eastAsia"/>
                <w:color w:val="auto"/>
                <w:szCs w:val="21"/>
                <w:lang w:val="en-US" w:eastAsia="zh-CN"/>
              </w:rPr>
              <w:t>需持续维护</w:t>
            </w:r>
          </w:p>
        </w:tc>
      </w:tr>
      <w:tr>
        <w:tblPrEx>
          <w:tblCellMar>
            <w:top w:w="0" w:type="dxa"/>
            <w:left w:w="0" w:type="dxa"/>
            <w:bottom w:w="0" w:type="dxa"/>
            <w:right w:w="0" w:type="dxa"/>
          </w:tblCellMar>
        </w:tblPrEx>
        <w:trPr>
          <w:trHeight w:val="397" w:hRule="atLeast"/>
          <w:jc w:val="center"/>
        </w:trPr>
        <w:tc>
          <w:tcPr>
            <w:tcW w:w="765"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ind w:firstLine="420"/>
              <w:jc w:val="center"/>
              <w:rPr>
                <w:color w:val="auto"/>
                <w:szCs w:val="21"/>
              </w:rPr>
            </w:pP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危险废物</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危废暂存间，定期交有资质单位处理处置，不排入外环境，执行危险废物转移联单管理办法</w:t>
            </w:r>
          </w:p>
        </w:tc>
        <w:tc>
          <w:tcPr>
            <w:tcW w:w="10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3</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lang w:val="en-US" w:eastAsia="zh-CN"/>
              </w:rPr>
              <w:t>需持续维护</w:t>
            </w:r>
          </w:p>
        </w:tc>
      </w:tr>
      <w:tr>
        <w:tblPrEx>
          <w:tblCellMar>
            <w:top w:w="0" w:type="dxa"/>
            <w:left w:w="0" w:type="dxa"/>
            <w:bottom w:w="0" w:type="dxa"/>
            <w:right w:w="0" w:type="dxa"/>
          </w:tblCellMar>
        </w:tblPrEx>
        <w:trPr>
          <w:trHeight w:val="397" w:hRule="atLeast"/>
          <w:jc w:val="center"/>
        </w:trPr>
        <w:tc>
          <w:tcPr>
            <w:tcW w:w="2325"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噪声</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ind w:firstLine="420"/>
              <w:jc w:val="center"/>
              <w:textAlignment w:val="center"/>
              <w:rPr>
                <w:color w:val="auto"/>
                <w:szCs w:val="21"/>
              </w:rPr>
            </w:pPr>
            <w:r>
              <w:rPr>
                <w:color w:val="auto"/>
                <w:szCs w:val="21"/>
              </w:rPr>
              <w:t>隔声、隔振、减振设备</w:t>
            </w:r>
          </w:p>
        </w:tc>
        <w:tc>
          <w:tcPr>
            <w:tcW w:w="10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2</w:t>
            </w:r>
            <w:r>
              <w:rPr>
                <w:rFonts w:hint="eastAsia"/>
                <w:color w:val="auto"/>
                <w:szCs w:val="21"/>
              </w:rPr>
              <w:t>.2</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新建</w:t>
            </w:r>
          </w:p>
        </w:tc>
      </w:tr>
      <w:tr>
        <w:tblPrEx>
          <w:tblCellMar>
            <w:top w:w="0" w:type="dxa"/>
            <w:left w:w="0" w:type="dxa"/>
            <w:bottom w:w="0" w:type="dxa"/>
            <w:right w:w="0" w:type="dxa"/>
          </w:tblCellMar>
        </w:tblPrEx>
        <w:trPr>
          <w:trHeight w:val="397" w:hRule="atLeast"/>
          <w:jc w:val="center"/>
        </w:trPr>
        <w:tc>
          <w:tcPr>
            <w:tcW w:w="2325"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地下水</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采取分区防渗措施</w:t>
            </w:r>
          </w:p>
        </w:tc>
        <w:tc>
          <w:tcPr>
            <w:tcW w:w="10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5</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color w:val="auto"/>
                <w:szCs w:val="21"/>
              </w:rPr>
              <w:t>新建</w:t>
            </w:r>
          </w:p>
        </w:tc>
      </w:tr>
      <w:tr>
        <w:tblPrEx>
          <w:tblCellMar>
            <w:top w:w="0" w:type="dxa"/>
            <w:left w:w="0" w:type="dxa"/>
            <w:bottom w:w="0" w:type="dxa"/>
            <w:right w:w="0" w:type="dxa"/>
          </w:tblCellMar>
        </w:tblPrEx>
        <w:trPr>
          <w:trHeight w:val="397" w:hRule="atLeast"/>
          <w:jc w:val="center"/>
        </w:trPr>
        <w:tc>
          <w:tcPr>
            <w:tcW w:w="2325"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rFonts w:hint="eastAsia"/>
                <w:color w:val="auto"/>
                <w:szCs w:val="21"/>
                <w:lang w:val="en-US" w:eastAsia="zh-CN"/>
              </w:rPr>
              <w:t>风险事故</w:t>
            </w:r>
          </w:p>
        </w:tc>
        <w:tc>
          <w:tcPr>
            <w:tcW w:w="42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rFonts w:hint="eastAsia"/>
                <w:color w:val="auto"/>
                <w:szCs w:val="21"/>
                <w:lang w:val="en-US" w:eastAsia="zh-CN"/>
              </w:rPr>
              <w:t>设置围堰、购置突发风险事故防治物质</w:t>
            </w:r>
          </w:p>
        </w:tc>
        <w:tc>
          <w:tcPr>
            <w:tcW w:w="10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rFonts w:hint="eastAsia" w:eastAsia="宋体"/>
                <w:color w:val="auto"/>
                <w:szCs w:val="21"/>
                <w:lang w:val="en-US" w:eastAsia="zh-CN"/>
              </w:rPr>
            </w:pPr>
            <w:r>
              <w:rPr>
                <w:rFonts w:hint="eastAsia"/>
                <w:color w:val="auto"/>
                <w:szCs w:val="21"/>
                <w:lang w:val="en-US" w:eastAsia="zh-CN"/>
              </w:rPr>
              <w:t>0.8</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5" w:lineRule="atLeast"/>
              <w:jc w:val="center"/>
              <w:rPr>
                <w:color w:val="auto"/>
                <w:szCs w:val="21"/>
              </w:rPr>
            </w:pPr>
            <w:r>
              <w:rPr>
                <w:rFonts w:hint="eastAsia"/>
                <w:color w:val="auto"/>
                <w:szCs w:val="21"/>
                <w:lang w:val="en-US" w:eastAsia="zh-CN"/>
              </w:rPr>
              <w:t>需持续维护</w:t>
            </w:r>
          </w:p>
        </w:tc>
      </w:tr>
      <w:tr>
        <w:tblPrEx>
          <w:tblCellMar>
            <w:top w:w="0" w:type="dxa"/>
            <w:left w:w="0" w:type="dxa"/>
            <w:bottom w:w="0" w:type="dxa"/>
            <w:right w:w="0" w:type="dxa"/>
          </w:tblCellMar>
        </w:tblPrEx>
        <w:trPr>
          <w:trHeight w:val="397" w:hRule="atLeast"/>
          <w:jc w:val="center"/>
        </w:trPr>
        <w:tc>
          <w:tcPr>
            <w:tcW w:w="6596"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ind w:firstLine="420"/>
              <w:jc w:val="center"/>
              <w:textAlignment w:val="center"/>
              <w:rPr>
                <w:color w:val="auto"/>
                <w:szCs w:val="21"/>
              </w:rPr>
            </w:pPr>
            <w:r>
              <w:rPr>
                <w:color w:val="auto"/>
                <w:szCs w:val="21"/>
              </w:rPr>
              <w:t>合计</w:t>
            </w:r>
          </w:p>
        </w:tc>
        <w:tc>
          <w:tcPr>
            <w:tcW w:w="10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color w:val="auto"/>
                <w:szCs w:val="21"/>
              </w:rPr>
            </w:pPr>
            <w:r>
              <w:rPr>
                <w:color w:val="auto"/>
                <w:szCs w:val="21"/>
              </w:rPr>
              <w:t>50</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5" w:lineRule="atLeast"/>
              <w:jc w:val="center"/>
              <w:textAlignment w:val="center"/>
              <w:rPr>
                <w:rFonts w:hint="eastAsia" w:eastAsia="宋体"/>
                <w:color w:val="auto"/>
                <w:szCs w:val="21"/>
                <w:lang w:val="en-US" w:eastAsia="zh-CN"/>
              </w:rPr>
            </w:pPr>
            <w:r>
              <w:rPr>
                <w:rFonts w:hint="eastAsia"/>
                <w:color w:val="auto"/>
                <w:szCs w:val="21"/>
                <w:lang w:val="en-US" w:eastAsia="zh-CN"/>
              </w:rPr>
              <w:t>/</w:t>
            </w:r>
          </w:p>
        </w:tc>
      </w:tr>
    </w:tbl>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28" w:name="_Toc32642"/>
      <w:r>
        <w:rPr>
          <w:rFonts w:hint="eastAsia"/>
          <w:color w:val="auto"/>
        </w:rPr>
        <w:t xml:space="preserve">9.2.2  </w:t>
      </w:r>
      <w:r>
        <w:rPr>
          <w:color w:val="auto"/>
        </w:rPr>
        <w:t>环境损益分析</w:t>
      </w:r>
      <w:bookmarkEnd w:id="3228"/>
    </w:p>
    <w:bookmarkEnd w:id="3222"/>
    <w:bookmarkEnd w:id="3223"/>
    <w:bookmarkEnd w:id="3224"/>
    <w:bookmarkEnd w:id="3225"/>
    <w:bookmarkEnd w:id="3226"/>
    <w:p>
      <w:pPr>
        <w:spacing w:line="360" w:lineRule="auto"/>
        <w:ind w:firstLine="480"/>
        <w:rPr>
          <w:color w:val="auto"/>
          <w:sz w:val="24"/>
        </w:rPr>
      </w:pPr>
      <w:r>
        <w:rPr>
          <w:color w:val="auto"/>
          <w:sz w:val="24"/>
        </w:rPr>
        <w:t>随着社会进步、科技和经济的发展，在生产和生活过程产生的大量固体废物，尤其是危险废物对环境的污染和对生态的破坏程度日益加剧。由于无组织排放造成的重大事故和环境的破坏也十分严重，对经济的发展和人民生活水平的提高形成负面影响。因此在各级政府的高度重视下，实施固体废物的集中管理和处置，从分散的面源的管理转变为集中的点源管理，从无组织排放转变为有组织排放，从污染环境的废物转变为再生利用的资源，是可持续发展的前提条件之一。</w:t>
      </w:r>
    </w:p>
    <w:p>
      <w:pPr>
        <w:spacing w:line="360" w:lineRule="auto"/>
        <w:ind w:firstLine="480"/>
        <w:rPr>
          <w:color w:val="auto"/>
          <w:sz w:val="24"/>
        </w:rPr>
      </w:pPr>
      <w:r>
        <w:rPr>
          <w:color w:val="auto"/>
          <w:sz w:val="24"/>
        </w:rPr>
        <w:t>从项目本身性质来说是一项固体废物资源化处理的环保工程，对削减清远市乃至广东省的危险废物排放量，改善环境质量和城市投资环境，促进广东省环保工作的顺利开展，具有很好的社会效益。</w:t>
      </w:r>
    </w:p>
    <w:p>
      <w:pPr>
        <w:spacing w:line="360" w:lineRule="auto"/>
        <w:ind w:firstLine="480"/>
        <w:rPr>
          <w:color w:val="auto"/>
          <w:sz w:val="24"/>
        </w:rPr>
      </w:pPr>
      <w:r>
        <w:rPr>
          <w:color w:val="auto"/>
          <w:sz w:val="24"/>
        </w:rPr>
        <w:t>本项目在运营期间将不可避免对大气环境、水环境、声环境等造成一定的影响，但采取合理的环保措施后，本项目的运行可以大大减轻附近区域危险废物对周围生态环境的污染和对人体健康的危害。</w:t>
      </w:r>
    </w:p>
    <w:p>
      <w:pPr>
        <w:spacing w:line="360" w:lineRule="auto"/>
        <w:ind w:firstLine="480"/>
        <w:rPr>
          <w:color w:val="auto"/>
          <w:sz w:val="24"/>
        </w:rPr>
      </w:pPr>
      <w:r>
        <w:rPr>
          <w:color w:val="auto"/>
          <w:sz w:val="24"/>
        </w:rPr>
        <w:t>本项目是危险废物综合利用工程，是环保项目，从总体上来说，污染物排放总量的削减明显改善了危险废物对环境的污染影响。</w:t>
      </w:r>
    </w:p>
    <w:p>
      <w:pPr>
        <w:spacing w:line="360" w:lineRule="auto"/>
        <w:ind w:firstLine="480"/>
        <w:rPr>
          <w:color w:val="auto"/>
          <w:sz w:val="24"/>
        </w:rPr>
      </w:pPr>
      <w:r>
        <w:rPr>
          <w:color w:val="auto"/>
          <w:sz w:val="24"/>
        </w:rPr>
        <w:t>但从原先的分散排放到现在的集中排放，可能对局部地区的环境产生不利影响，因此，应加强环境管理和二次污染防治工作，尽可能做到社会效益、环境效益和经济效益的统一。</w:t>
      </w:r>
    </w:p>
    <w:p>
      <w:pPr>
        <w:pStyle w:val="5"/>
        <w:numPr>
          <w:ilvl w:val="1"/>
          <w:numId w:val="0"/>
        </w:numPr>
        <w:tabs>
          <w:tab w:val="clear" w:pos="720"/>
        </w:tabs>
        <w:spacing w:before="159" w:after="159"/>
        <w:rPr>
          <w:color w:val="auto"/>
          <w:sz w:val="32"/>
          <w:szCs w:val="21"/>
        </w:rPr>
      </w:pPr>
      <w:bookmarkStart w:id="3229" w:name="_Toc1729022"/>
      <w:bookmarkStart w:id="3230" w:name="_Toc12959348"/>
      <w:bookmarkStart w:id="3231" w:name="_Toc441753675"/>
      <w:bookmarkStart w:id="3232" w:name="_Toc20639"/>
      <w:bookmarkStart w:id="3233" w:name="_Toc7381"/>
      <w:bookmarkStart w:id="3234" w:name="_Toc514067739"/>
      <w:r>
        <w:rPr>
          <w:rFonts w:hint="eastAsia"/>
          <w:color w:val="auto"/>
          <w:sz w:val="32"/>
          <w:szCs w:val="21"/>
        </w:rPr>
        <w:t xml:space="preserve">9.3  </w:t>
      </w:r>
      <w:r>
        <w:rPr>
          <w:color w:val="auto"/>
          <w:sz w:val="32"/>
          <w:szCs w:val="21"/>
        </w:rPr>
        <w:t>小结</w:t>
      </w:r>
      <w:bookmarkEnd w:id="3229"/>
      <w:bookmarkEnd w:id="3230"/>
      <w:bookmarkEnd w:id="3231"/>
      <w:bookmarkEnd w:id="3232"/>
      <w:bookmarkEnd w:id="3233"/>
      <w:bookmarkEnd w:id="3234"/>
    </w:p>
    <w:p>
      <w:pPr>
        <w:spacing w:line="360" w:lineRule="auto"/>
        <w:ind w:firstLine="480"/>
        <w:rPr>
          <w:color w:val="auto"/>
          <w:sz w:val="24"/>
        </w:rPr>
      </w:pPr>
      <w:r>
        <w:rPr>
          <w:color w:val="auto"/>
          <w:sz w:val="24"/>
        </w:rPr>
        <w:t>综上所述，本项目是危险废物综合利用工程，是环保项目，本项目实施了环保措施后，对周围环境的影响较小，所造成的环境经济损失较小。项目建成后的产品具有一定的经济效益，有利促进周边经济的发展。项目对危险废物的综合利用，有利于促进清远市及邻近区域危险废物综合利用，具有很好的经济效益和社会效益，项目直接或所带来的环境效益远大于环境损失。但项目建设仍给环境带来一定的不良影响，须切实落实污染防治措施，使环境得到最大程度的保护，把对环境的影响降至最低。根据上述环境影响经济损益分析，本项目的建设是可行的。</w:t>
      </w:r>
    </w:p>
    <w:p>
      <w:pPr>
        <w:rPr>
          <w:color w:val="auto"/>
          <w:sz w:val="24"/>
        </w:rPr>
      </w:pPr>
      <w:r>
        <w:rPr>
          <w:color w:val="auto"/>
          <w:sz w:val="24"/>
        </w:rPr>
        <w:br w:type="page"/>
      </w:r>
    </w:p>
    <w:p>
      <w:pPr>
        <w:pStyle w:val="43"/>
        <w:rPr>
          <w:rFonts w:ascii="Times New Roman" w:hAnsi="Times New Roman" w:cs="Times New Roman"/>
          <w:color w:val="auto"/>
        </w:rPr>
      </w:pPr>
    </w:p>
    <w:p>
      <w:pPr>
        <w:pStyle w:val="4"/>
        <w:numPr>
          <w:ilvl w:val="0"/>
          <w:numId w:val="0"/>
        </w:numPr>
        <w:spacing w:before="159" w:after="159"/>
        <w:ind w:left="568"/>
        <w:rPr>
          <w:color w:val="auto"/>
          <w:sz w:val="44"/>
          <w:szCs w:val="44"/>
        </w:rPr>
      </w:pPr>
      <w:bookmarkStart w:id="3235" w:name="_Toc487644151"/>
      <w:bookmarkStart w:id="3236" w:name="_Toc1729023"/>
      <w:bookmarkStart w:id="3237" w:name="_Toc514067740"/>
      <w:bookmarkStart w:id="3238" w:name="_Toc12959349"/>
      <w:bookmarkStart w:id="3239" w:name="_Toc485733817"/>
      <w:bookmarkStart w:id="3240" w:name="_Toc23451"/>
      <w:bookmarkStart w:id="3241" w:name="_Toc1182"/>
      <w:r>
        <w:rPr>
          <w:rFonts w:hint="eastAsia"/>
          <w:color w:val="auto"/>
          <w:sz w:val="44"/>
          <w:szCs w:val="44"/>
        </w:rPr>
        <w:t xml:space="preserve">10  </w:t>
      </w:r>
      <w:r>
        <w:rPr>
          <w:color w:val="auto"/>
          <w:sz w:val="44"/>
          <w:szCs w:val="44"/>
        </w:rPr>
        <w:t>环境管理与监测计划</w:t>
      </w:r>
      <w:bookmarkEnd w:id="3235"/>
      <w:bookmarkEnd w:id="3236"/>
      <w:bookmarkEnd w:id="3237"/>
      <w:bookmarkEnd w:id="3238"/>
      <w:bookmarkEnd w:id="3239"/>
      <w:bookmarkEnd w:id="3240"/>
      <w:bookmarkEnd w:id="3241"/>
      <w:bookmarkStart w:id="3242" w:name="_Toc487644153"/>
      <w:bookmarkStart w:id="3243" w:name="_Toc469014259"/>
      <w:bookmarkStart w:id="3244" w:name="_Toc485733819"/>
      <w:bookmarkStart w:id="3245" w:name="_Toc12959351"/>
      <w:bookmarkStart w:id="3246" w:name="_Toc1729025"/>
      <w:bookmarkStart w:id="3247" w:name="_Toc514067742"/>
    </w:p>
    <w:p>
      <w:pPr>
        <w:pStyle w:val="5"/>
        <w:numPr>
          <w:ilvl w:val="1"/>
          <w:numId w:val="0"/>
        </w:numPr>
        <w:tabs>
          <w:tab w:val="left" w:pos="360"/>
          <w:tab w:val="clear" w:pos="720"/>
        </w:tabs>
        <w:spacing w:before="159" w:after="159"/>
        <w:rPr>
          <w:color w:val="auto"/>
          <w:sz w:val="32"/>
          <w:szCs w:val="21"/>
        </w:rPr>
      </w:pPr>
      <w:bookmarkStart w:id="3248" w:name="_Toc15031"/>
      <w:bookmarkStart w:id="3249" w:name="_Toc11514"/>
      <w:r>
        <w:rPr>
          <w:rFonts w:hint="eastAsia"/>
          <w:color w:val="auto"/>
          <w:sz w:val="32"/>
          <w:szCs w:val="21"/>
        </w:rPr>
        <w:t xml:space="preserve">10.1  </w:t>
      </w:r>
      <w:r>
        <w:rPr>
          <w:color w:val="auto"/>
          <w:sz w:val="32"/>
          <w:szCs w:val="21"/>
        </w:rPr>
        <w:t>环境管理</w:t>
      </w:r>
      <w:bookmarkEnd w:id="3242"/>
      <w:bookmarkEnd w:id="3243"/>
      <w:bookmarkEnd w:id="3244"/>
      <w:bookmarkEnd w:id="3245"/>
      <w:bookmarkEnd w:id="3246"/>
      <w:bookmarkEnd w:id="3247"/>
      <w:r>
        <w:rPr>
          <w:color w:val="auto"/>
          <w:sz w:val="32"/>
          <w:szCs w:val="21"/>
        </w:rPr>
        <w:t>要求</w:t>
      </w:r>
      <w:bookmarkEnd w:id="3248"/>
      <w:bookmarkEnd w:id="3249"/>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50" w:name="_Toc487644154"/>
      <w:bookmarkStart w:id="3251" w:name="_Toc507657682"/>
      <w:bookmarkStart w:id="3252" w:name="_Toc485733820"/>
      <w:bookmarkStart w:id="3253" w:name="_Toc469014260"/>
      <w:bookmarkStart w:id="3254" w:name="_Toc509845808"/>
      <w:bookmarkStart w:id="3255" w:name="_Toc514067743"/>
      <w:bookmarkStart w:id="3256" w:name="_Toc990"/>
      <w:r>
        <w:rPr>
          <w:rFonts w:hint="eastAsia"/>
          <w:color w:val="auto"/>
        </w:rPr>
        <w:t xml:space="preserve">10.1.1  </w:t>
      </w:r>
      <w:r>
        <w:rPr>
          <w:color w:val="auto"/>
        </w:rPr>
        <w:t>环境管理机构设置</w:t>
      </w:r>
      <w:bookmarkEnd w:id="3250"/>
      <w:bookmarkEnd w:id="3251"/>
      <w:bookmarkEnd w:id="3252"/>
      <w:bookmarkEnd w:id="3253"/>
      <w:bookmarkEnd w:id="3254"/>
      <w:bookmarkEnd w:id="3255"/>
      <w:bookmarkEnd w:id="3256"/>
    </w:p>
    <w:p>
      <w:pPr>
        <w:spacing w:line="360" w:lineRule="auto"/>
        <w:ind w:firstLine="480"/>
        <w:rPr>
          <w:color w:val="auto"/>
          <w:sz w:val="24"/>
        </w:rPr>
      </w:pPr>
      <w:r>
        <w:rPr>
          <w:color w:val="auto"/>
          <w:sz w:val="24"/>
        </w:rPr>
        <w:t>根据我国有关环保法规的规定，企业内应设置环境保护管理机构，配备专职人员和必要的监测仪器。基本任务是负责企业的环境管理、环境监测和事故应急处理.并逐步完善环境管理制度，使环境管理工作走上正规化、科学化的轨道。</w:t>
      </w:r>
    </w:p>
    <w:p>
      <w:pPr>
        <w:spacing w:line="360" w:lineRule="auto"/>
        <w:ind w:firstLine="480"/>
        <w:rPr>
          <w:color w:val="auto"/>
          <w:sz w:val="24"/>
        </w:rPr>
      </w:pPr>
      <w:r>
        <w:rPr>
          <w:color w:val="auto"/>
          <w:sz w:val="24"/>
        </w:rPr>
        <w:t>目前，建设单位拟设置了安环部，并设置1名专职经理统一负责厂区的安全和环保工作，直接向司总经理负责，统一负责管理、组织、落实、监督企业的环境保护工作。各车间设置兼职环保人员，承担各级环境管理职责。安环部拟设置专职管理人员1名，负责厂区的安全与环保工作。</w:t>
      </w:r>
    </w:p>
    <w:p>
      <w:pPr>
        <w:spacing w:line="360" w:lineRule="auto"/>
        <w:ind w:firstLine="480"/>
        <w:rPr>
          <w:color w:val="auto"/>
          <w:sz w:val="24"/>
        </w:rPr>
      </w:pPr>
      <w:r>
        <w:rPr>
          <w:color w:val="auto"/>
          <w:sz w:val="24"/>
        </w:rPr>
        <w:t>安环部专职管理人员的主要职责是：</w:t>
      </w:r>
    </w:p>
    <w:p>
      <w:pPr>
        <w:numPr>
          <w:ilvl w:val="0"/>
          <w:numId w:val="11"/>
        </w:numPr>
        <w:spacing w:line="360" w:lineRule="auto"/>
        <w:ind w:firstLine="480"/>
        <w:rPr>
          <w:color w:val="auto"/>
          <w:sz w:val="24"/>
        </w:rPr>
      </w:pPr>
      <w:r>
        <w:rPr>
          <w:color w:val="auto"/>
          <w:sz w:val="24"/>
        </w:rPr>
        <w:t>贯彻执行环境保护法规和标准；</w:t>
      </w:r>
    </w:p>
    <w:p>
      <w:pPr>
        <w:numPr>
          <w:ilvl w:val="0"/>
          <w:numId w:val="11"/>
        </w:numPr>
        <w:spacing w:line="360" w:lineRule="auto"/>
        <w:ind w:firstLine="480"/>
        <w:rPr>
          <w:color w:val="auto"/>
          <w:sz w:val="24"/>
        </w:rPr>
      </w:pPr>
      <w:r>
        <w:rPr>
          <w:color w:val="auto"/>
          <w:sz w:val="24"/>
        </w:rPr>
        <w:t>组织制定和修改企业的环境保护理规章制度并负责监督执；</w:t>
      </w:r>
    </w:p>
    <w:p>
      <w:pPr>
        <w:numPr>
          <w:ilvl w:val="0"/>
          <w:numId w:val="11"/>
        </w:numPr>
        <w:spacing w:line="360" w:lineRule="auto"/>
        <w:ind w:firstLine="480"/>
        <w:rPr>
          <w:color w:val="auto"/>
          <w:sz w:val="24"/>
        </w:rPr>
      </w:pPr>
      <w:r>
        <w:rPr>
          <w:color w:val="auto"/>
          <w:sz w:val="24"/>
        </w:rPr>
        <w:t>制定并组织实施企业环境保护规划和计划；</w:t>
      </w:r>
    </w:p>
    <w:p>
      <w:pPr>
        <w:numPr>
          <w:ilvl w:val="0"/>
          <w:numId w:val="11"/>
        </w:numPr>
        <w:spacing w:line="360" w:lineRule="auto"/>
        <w:ind w:firstLine="480"/>
        <w:rPr>
          <w:color w:val="auto"/>
          <w:sz w:val="24"/>
        </w:rPr>
      </w:pPr>
      <w:r>
        <w:rPr>
          <w:color w:val="auto"/>
          <w:sz w:val="24"/>
        </w:rPr>
        <w:t>开展企业日常的环境监测工作、负责整理和统计企业污染源资料、日常监测资料，并及时上报地方环保部门；</w:t>
      </w:r>
    </w:p>
    <w:p>
      <w:pPr>
        <w:numPr>
          <w:ilvl w:val="0"/>
          <w:numId w:val="11"/>
        </w:numPr>
        <w:spacing w:line="360" w:lineRule="auto"/>
        <w:ind w:firstLine="480"/>
        <w:rPr>
          <w:color w:val="auto"/>
          <w:sz w:val="24"/>
        </w:rPr>
      </w:pPr>
      <w:r>
        <w:rPr>
          <w:color w:val="auto"/>
          <w:sz w:val="24"/>
        </w:rPr>
        <w:t>检查企业环境保护设施的运行情况；</w:t>
      </w:r>
    </w:p>
    <w:p>
      <w:pPr>
        <w:numPr>
          <w:ilvl w:val="0"/>
          <w:numId w:val="11"/>
        </w:numPr>
        <w:spacing w:line="360" w:lineRule="auto"/>
        <w:ind w:firstLine="480"/>
        <w:rPr>
          <w:color w:val="auto"/>
          <w:sz w:val="24"/>
        </w:rPr>
      </w:pPr>
      <w:r>
        <w:rPr>
          <w:color w:val="auto"/>
          <w:sz w:val="24"/>
        </w:rPr>
        <w:t>落实企业污染物排放许可。加强对污染治理设施、治理效果以及治理后的污染物排放状况的监测检查；</w:t>
      </w:r>
    </w:p>
    <w:p>
      <w:pPr>
        <w:spacing w:line="360" w:lineRule="auto"/>
        <w:ind w:firstLine="480" w:firstLineChars="200"/>
        <w:rPr>
          <w:color w:val="auto"/>
          <w:sz w:val="24"/>
        </w:rPr>
      </w:pPr>
      <w:r>
        <w:rPr>
          <w:color w:val="auto"/>
          <w:sz w:val="24"/>
        </w:rPr>
        <w:t>(7)组织开展企业的环保宣传工作及环保专业技术培训，用以提高全体员工环境保护意识及素质水平。</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57" w:name="_Toc10470"/>
      <w:r>
        <w:rPr>
          <w:rFonts w:hint="eastAsia"/>
          <w:color w:val="auto"/>
        </w:rPr>
        <w:t xml:space="preserve">10.1.2  </w:t>
      </w:r>
      <w:r>
        <w:rPr>
          <w:color w:val="auto"/>
        </w:rPr>
        <w:t>运行期环境管理</w:t>
      </w:r>
      <w:bookmarkEnd w:id="3257"/>
    </w:p>
    <w:p>
      <w:pPr>
        <w:spacing w:line="360" w:lineRule="auto"/>
        <w:ind w:firstLine="480"/>
        <w:rPr>
          <w:color w:val="auto"/>
          <w:sz w:val="24"/>
        </w:rPr>
      </w:pPr>
      <w:r>
        <w:rPr>
          <w:color w:val="auto"/>
          <w:sz w:val="24"/>
        </w:rPr>
        <w:t>建设项</w:t>
      </w:r>
      <w:r>
        <w:rPr>
          <w:rFonts w:hint="eastAsia"/>
          <w:color w:val="auto"/>
          <w:sz w:val="24"/>
        </w:rPr>
        <w:t>目</w:t>
      </w:r>
      <w:r>
        <w:rPr>
          <w:color w:val="auto"/>
          <w:sz w:val="24"/>
        </w:rPr>
        <w:t>建成后，将对周围环境产生一定的影响，因此建设单位应加强环境管理的同时，定期进行环境监测，以便及时了解拟建项日对环境造成影响的情况，并采取柑应措施，消除不利因素，减轻环境污染，使各项环保措施落到实处，以达到预定的目标。</w:t>
      </w:r>
    </w:p>
    <w:p>
      <w:pPr>
        <w:pStyle w:val="43"/>
        <w:ind w:firstLine="480" w:firstLineChars="200"/>
        <w:rPr>
          <w:rFonts w:ascii="Times New Roman" w:hAnsi="Times New Roman" w:cs="Times New Roman"/>
          <w:color w:val="auto"/>
          <w:sz w:val="24"/>
        </w:rPr>
      </w:pPr>
      <w:r>
        <w:rPr>
          <w:rFonts w:ascii="Times New Roman" w:hAnsi="Times New Roman" w:cs="Times New Roman"/>
          <w:color w:val="auto"/>
          <w:sz w:val="24"/>
        </w:rPr>
        <w:t>（1）环保制度</w:t>
      </w:r>
    </w:p>
    <w:p>
      <w:pPr>
        <w:pStyle w:val="43"/>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①报告制度</w:t>
      </w:r>
    </w:p>
    <w:p>
      <w:pPr>
        <w:pStyle w:val="43"/>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执行月报制度。月报内容主要为污染治理设施的运行情况、污染物排放情况以及污染事故或污染纠纷等，具体要求应按省环保厅制定的重要企业月报表实施</w:t>
      </w:r>
      <w:r>
        <w:rPr>
          <w:rFonts w:hint="eastAsia" w:ascii="Times New Roman" w:hAnsi="Times New Roman" w:cs="Times New Roman"/>
          <w:color w:val="auto"/>
          <w:sz w:val="24"/>
          <w:szCs w:val="24"/>
        </w:rPr>
        <w:t>。</w:t>
      </w:r>
      <w:r>
        <w:rPr>
          <w:rFonts w:ascii="Times New Roman" w:hAnsi="Times New Roman" w:cs="Times New Roman"/>
          <w:color w:val="auto"/>
          <w:sz w:val="24"/>
          <w:szCs w:val="24"/>
        </w:rPr>
        <w:t>厂内需进一步完善记录制度和档案保存制度，有利于环境管理质量的追踪和持续改进</w:t>
      </w:r>
      <w:r>
        <w:rPr>
          <w:rFonts w:hint="eastAsia" w:ascii="Times New Roman" w:hAnsi="Times New Roman" w:cs="Times New Roman"/>
          <w:color w:val="auto"/>
          <w:sz w:val="24"/>
          <w:szCs w:val="24"/>
        </w:rPr>
        <w:t>：</w:t>
      </w:r>
      <w:r>
        <w:rPr>
          <w:rFonts w:ascii="Times New Roman" w:hAnsi="Times New Roman" w:cs="Times New Roman"/>
          <w:color w:val="auto"/>
          <w:sz w:val="24"/>
          <w:szCs w:val="24"/>
        </w:rPr>
        <w:t>记录和台帐包括设施运行和维护记录、危险废物进出台帐、废水、废气污染物监测台帐、所有化学品使用台帐、突发性事件的处理、调查记录等，定期上报并妥善保存所有记录、台帐及污染物排放监测资料、环境理档案资料等；发现污染因子超标，要在监测数据出来后以书面形式上报公司管理层，快速果断采取应对措施。</w:t>
      </w:r>
    </w:p>
    <w:p>
      <w:pPr>
        <w:pStyle w:val="43"/>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②污染治理设施的管理、监控制度</w:t>
      </w:r>
    </w:p>
    <w:p>
      <w:pPr>
        <w:pStyle w:val="43"/>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建成后，必须确保污染治理设施长期、稳定、有效地运行，不得擅自拆除或者闲置污染处理设施，不得故意不正常使用污染处理设施.污染处理设施的管理必须与生产经营活动一起纳入单位日常管理工作的范畴，落实责任人、操作人员、维修人员、运行经费、设备的备品备件、化学药剂和其他原辅材料.同时要建立岗位责任制、制定操作规程、建立台帐。</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（2）环保奖惩条例</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各级管理人员都应树立保护环境的思想，企业也应置环境保护奖惩条例.对爱护环保设施、节能降耗、改善环境者实行奖励:对环保观念淡漠，不按环保要求管理，造成环境设施损坏、环境污染及资源和能源浪费者一律予以重罚。</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（3）坏境管理要求</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①加强岗体废物任厂内堆存期间的环境理:加强对危险古废的收集、储存、运输等措施的管理；</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②加强管道、设备的保养和维护。安装必要的用水监测仪表，减少跑、冒、滴、漏，最大限度地减少用水量；</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③加强拟建项目的环境管理和环境监测。设专职环境管理人员，按报告书的要求认真落实环境监测计划；</w:t>
      </w:r>
    </w:p>
    <w:p>
      <w:pPr>
        <w:pStyle w:val="43"/>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④落实、检查环保设施的运行状况，配合当地环保部门做好本厂的环境管理、验收、监督和检查工作。</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58" w:name="_Toc23692"/>
      <w:r>
        <w:rPr>
          <w:rFonts w:hint="eastAsia"/>
          <w:color w:val="auto"/>
        </w:rPr>
        <w:t xml:space="preserve">10.1.3  </w:t>
      </w:r>
      <w:r>
        <w:rPr>
          <w:color w:val="auto"/>
        </w:rPr>
        <w:t>环境管理制度</w:t>
      </w:r>
      <w:bookmarkEnd w:id="3258"/>
    </w:p>
    <w:p>
      <w:pPr>
        <w:spacing w:line="360" w:lineRule="auto"/>
        <w:ind w:firstLine="480"/>
        <w:rPr>
          <w:color w:val="auto"/>
          <w:sz w:val="24"/>
        </w:rPr>
      </w:pPr>
      <w:r>
        <w:rPr>
          <w:color w:val="auto"/>
          <w:sz w:val="24"/>
        </w:rPr>
        <w:t>为实现危险废物集中处置、科学管理、规范作业、保证安全运行，提高生产效率、降低运行成本、有效防止二次污染，达到废物无害化处置的目的，按照ISO</w:t>
      </w:r>
      <w:r>
        <w:rPr>
          <w:rFonts w:hint="eastAsia"/>
          <w:color w:val="auto"/>
          <w:sz w:val="24"/>
        </w:rPr>
        <w:t>30000</w:t>
      </w:r>
      <w:r>
        <w:rPr>
          <w:color w:val="auto"/>
          <w:sz w:val="24"/>
        </w:rPr>
        <w:t>的要求，建立完善的环境管理体系，健全内部环境管理制度，加强日常环境管理工作，对整个生产过程实施行全程环境管理，杜绝生产过程中环境污染事故的发生，保护环境。</w:t>
      </w:r>
    </w:p>
    <w:p>
      <w:pPr>
        <w:spacing w:line="360" w:lineRule="auto"/>
        <w:ind w:firstLine="480"/>
        <w:rPr>
          <w:color w:val="auto"/>
          <w:sz w:val="24"/>
        </w:rPr>
      </w:pPr>
      <w:r>
        <w:rPr>
          <w:color w:val="auto"/>
          <w:sz w:val="24"/>
        </w:rPr>
        <w:t>加强建设项目的环境管理，根据本报告提出的污染防治措施和对策，制定出切实可行的环境污染防治办法和措施；做好环境教育和宣传工作，提高各级管理人员和操作人员的环境保护意识，加强员工对环境污染防治的责任心，自觉遵守和执行各项环境保护的规章制度；定期对环境保护设施进行维护和保养，确保环境保护设施的正常运行，防止污染事故的发生；加强与环境保护管理部门的沟通和联系，主动接受环境主管部门的管理、监督和指导。</w:t>
      </w:r>
    </w:p>
    <w:p>
      <w:pPr>
        <w:spacing w:line="360" w:lineRule="auto"/>
        <w:ind w:firstLine="480"/>
        <w:rPr>
          <w:color w:val="auto"/>
          <w:sz w:val="24"/>
        </w:rPr>
      </w:pPr>
      <w:r>
        <w:rPr>
          <w:color w:val="auto"/>
          <w:sz w:val="24"/>
        </w:rPr>
        <w:t>①危险废物接收交接制度</w:t>
      </w:r>
    </w:p>
    <w:p>
      <w:pPr>
        <w:spacing w:line="360" w:lineRule="auto"/>
        <w:ind w:firstLine="480"/>
        <w:rPr>
          <w:color w:val="auto"/>
          <w:sz w:val="24"/>
        </w:rPr>
      </w:pPr>
      <w:r>
        <w:rPr>
          <w:color w:val="auto"/>
          <w:sz w:val="24"/>
        </w:rPr>
        <w:t>危险废物交接严格执行危险废物转移联单制度。危险废物应现场交接，核对其数量、种类、标识与危险废物核准经营范围是否相符，包装方式是否正确、包装有无密封；若现场实物与危险废物核准经营范围不相符，应拒绝收运并加以核实；若发现废物包装袋破裂、泄漏或其他事故时，按应急预案程序进行处理；交接双方必须根据交接情况认真填写险废物转移联单并签字确认；同时根据危险废物转移联单制度定期向主管部门报送；另外应对接收的危险废物及时登记，并将进厂废物的数量、重量等有关信息输入计算机管理系统。</w:t>
      </w:r>
    </w:p>
    <w:p>
      <w:pPr>
        <w:spacing w:line="360" w:lineRule="auto"/>
        <w:ind w:firstLine="480"/>
        <w:rPr>
          <w:color w:val="auto"/>
          <w:sz w:val="24"/>
        </w:rPr>
      </w:pPr>
      <w:r>
        <w:rPr>
          <w:color w:val="auto"/>
          <w:sz w:val="24"/>
        </w:rPr>
        <w:t>②运行记录制度</w:t>
      </w:r>
    </w:p>
    <w:p>
      <w:pPr>
        <w:spacing w:line="360" w:lineRule="auto"/>
        <w:ind w:firstLine="480"/>
        <w:rPr>
          <w:color w:val="auto"/>
          <w:sz w:val="24"/>
        </w:rPr>
      </w:pPr>
      <w:r>
        <w:rPr>
          <w:color w:val="auto"/>
          <w:sz w:val="24"/>
        </w:rPr>
        <w:t>本项目应建立生产设施运行状况、设施维护和废物燃烧处置生产活动等的登记制度，主要记录内容包括：危险废物转移联单的记录和妥善保存；危险废物进场运输车车牌号、来源、重量、进场日期及时间、离场时间等进行登记；包装介质、运输车辆清洗操作的登记；生产设施运行工艺控制参数记录；产生的危险废物处理处置情况的记录；生产设施维修情况的记录；环境监测数据的记录；生产事故及处置情况的记录；定期检测、评价及评估情况的记录。</w:t>
      </w:r>
    </w:p>
    <w:p>
      <w:pPr>
        <w:spacing w:line="360" w:lineRule="auto"/>
        <w:ind w:firstLine="480"/>
        <w:rPr>
          <w:color w:val="auto"/>
          <w:sz w:val="24"/>
        </w:rPr>
      </w:pPr>
      <w:r>
        <w:rPr>
          <w:color w:val="auto"/>
          <w:sz w:val="24"/>
        </w:rPr>
        <w:t>③交接班制度</w:t>
      </w:r>
    </w:p>
    <w:p>
      <w:pPr>
        <w:spacing w:line="360" w:lineRule="auto"/>
        <w:ind w:firstLine="480"/>
        <w:rPr>
          <w:color w:val="auto"/>
          <w:sz w:val="24"/>
        </w:rPr>
      </w:pPr>
      <w:r>
        <w:rPr>
          <w:color w:val="auto"/>
          <w:sz w:val="24"/>
        </w:rPr>
        <w:t>为保证本项目生产活动安全有序进行，必须建立严格的交接班制度，内容包括：生产设施、设备、工具及生产辅助材料的交接；废物的交接；运行记录的交接；上下班交接人员应在现场进行实物交接；运行记录交接前，交接班人员应共同巡视现场；交接班程序未能顺利完成时，应及时向生产管理负责人报告；交接班人员对实物及运行记录核实确定后，应签字确认。</w:t>
      </w:r>
    </w:p>
    <w:p>
      <w:pPr>
        <w:spacing w:line="360" w:lineRule="auto"/>
        <w:ind w:firstLine="480"/>
        <w:rPr>
          <w:color w:val="auto"/>
          <w:sz w:val="24"/>
        </w:rPr>
      </w:pPr>
      <w:r>
        <w:rPr>
          <w:color w:val="auto"/>
          <w:sz w:val="24"/>
        </w:rPr>
        <w:t>④人员培训</w:t>
      </w:r>
    </w:p>
    <w:p>
      <w:pPr>
        <w:spacing w:line="360" w:lineRule="auto"/>
        <w:ind w:firstLine="480"/>
        <w:rPr>
          <w:color w:val="auto"/>
          <w:sz w:val="24"/>
        </w:rPr>
      </w:pPr>
      <w:r>
        <w:rPr>
          <w:color w:val="auto"/>
          <w:sz w:val="24"/>
        </w:rPr>
        <w:t>本项目应对操作人员、技术人员及管理人员进行相关法律法规、专业技术、安全防护、紧急处理等理论知识和操作技能的培训，主要包括：熟悉有关危险废物管理的法律和规章制度，明确危险废物安全处理和环境保护的重要意义；了解危险废物危险性方面的知识，了解危险废物接收、转运、贮存和上料的具体操作，熟悉危险废物的分类和包装标识；熟悉危险废物运作的工艺流程，包括处置设备的正常运行、设备的启动和关闭；控制、报警和指示系统的运行和检查，以及必要时的纠正操作；锅炉最佳的运行温度、压力、燃烧空气量，以及保持设备良好运行的条件；危险废物三相分离产生的污染物应处理达到的相应的技术要求；设备运行故障的检查和排除；事故或紧急情况下人工操作和事故处理；设备日常和定期维护；掌握劳动安全防护设施、设备的使用知识和个人卫生措施；设备运行及维护记录，以及泄漏事故和其他事件的记录及报告。</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59" w:name="_Toc11471"/>
      <w:r>
        <w:rPr>
          <w:rFonts w:hint="eastAsia"/>
          <w:color w:val="auto"/>
        </w:rPr>
        <w:t xml:space="preserve">10.1.4  </w:t>
      </w:r>
      <w:r>
        <w:rPr>
          <w:color w:val="auto"/>
        </w:rPr>
        <w:t>项目信息公开方案</w:t>
      </w:r>
      <w:bookmarkEnd w:id="3259"/>
    </w:p>
    <w:p>
      <w:pPr>
        <w:pStyle w:val="13"/>
        <w:spacing w:line="360" w:lineRule="auto"/>
        <w:ind w:firstLine="480"/>
        <w:rPr>
          <w:rFonts w:ascii="Times New Roman" w:hAnsi="Times New Roman"/>
          <w:b/>
          <w:color w:val="auto"/>
          <w:sz w:val="24"/>
          <w:szCs w:val="24"/>
        </w:rPr>
      </w:pPr>
      <w:r>
        <w:rPr>
          <w:rFonts w:ascii="Times New Roman" w:hAnsi="Times New Roman"/>
          <w:b/>
          <w:color w:val="auto"/>
          <w:sz w:val="24"/>
          <w:szCs w:val="24"/>
        </w:rPr>
        <w:t>（1）公开建设项目开工前信息</w:t>
      </w:r>
    </w:p>
    <w:p>
      <w:pPr>
        <w:pStyle w:val="13"/>
        <w:spacing w:line="360" w:lineRule="auto"/>
        <w:ind w:firstLine="480"/>
        <w:rPr>
          <w:rFonts w:ascii="Times New Roman" w:hAnsi="Times New Roman"/>
          <w:color w:val="auto"/>
          <w:sz w:val="24"/>
          <w:szCs w:val="24"/>
        </w:rPr>
      </w:pPr>
      <w:r>
        <w:rPr>
          <w:rFonts w:ascii="Times New Roman" w:hAnsi="Times New Roman"/>
          <w:color w:val="auto"/>
          <w:sz w:val="24"/>
          <w:szCs w:val="24"/>
        </w:rPr>
        <w:t>建设项目开工建设前，建设单位应当向社会公开以下信息：</w:t>
      </w:r>
    </w:p>
    <w:p>
      <w:pPr>
        <w:pStyle w:val="13"/>
        <w:spacing w:line="360" w:lineRule="auto"/>
        <w:ind w:firstLine="480"/>
        <w:rPr>
          <w:rFonts w:ascii="Times New Roman" w:hAnsi="Times New Roman"/>
          <w:color w:val="auto"/>
          <w:sz w:val="24"/>
          <w:szCs w:val="24"/>
        </w:rPr>
      </w:pPr>
      <w:r>
        <w:rPr>
          <w:rFonts w:ascii="Times New Roman" w:hAnsi="Times New Roman"/>
          <w:color w:val="auto"/>
          <w:sz w:val="24"/>
          <w:szCs w:val="24"/>
        </w:rPr>
        <w:t>建设项目开工日期、设计单位、施工单位和环境监理单位，工程基本情况、实际选址、拟采取等环境保护措施清单和实施计划、由地方政府或相关部门负责配套等环境保护措施清单和实施计划等，并确保上述信息在整个施工期内处于公开状态。</w:t>
      </w:r>
    </w:p>
    <w:p>
      <w:pPr>
        <w:pStyle w:val="13"/>
        <w:spacing w:line="360" w:lineRule="auto"/>
        <w:ind w:firstLine="480"/>
        <w:rPr>
          <w:rFonts w:ascii="Times New Roman" w:hAnsi="Times New Roman"/>
          <w:b/>
          <w:bCs/>
          <w:color w:val="auto"/>
          <w:sz w:val="24"/>
          <w:szCs w:val="24"/>
        </w:rPr>
      </w:pPr>
      <w:r>
        <w:rPr>
          <w:rFonts w:ascii="Times New Roman" w:hAnsi="Times New Roman"/>
          <w:b/>
          <w:bCs/>
          <w:color w:val="auto"/>
          <w:sz w:val="24"/>
          <w:szCs w:val="24"/>
        </w:rPr>
        <w:t>（2）公开建设项目施工过程中的信息</w:t>
      </w:r>
    </w:p>
    <w:p>
      <w:pPr>
        <w:pStyle w:val="13"/>
        <w:spacing w:line="360" w:lineRule="auto"/>
        <w:ind w:firstLine="480"/>
        <w:rPr>
          <w:rFonts w:ascii="Times New Roman" w:hAnsi="Times New Roman"/>
          <w:color w:val="auto"/>
          <w:sz w:val="24"/>
          <w:szCs w:val="24"/>
        </w:rPr>
      </w:pPr>
      <w:r>
        <w:rPr>
          <w:rFonts w:ascii="Times New Roman" w:hAnsi="Times New Roman"/>
          <w:color w:val="auto"/>
          <w:sz w:val="24"/>
          <w:szCs w:val="24"/>
        </w:rPr>
        <w:t>项目建设过程中，建设单位应当在施工中期向社会公开建设项目环境保护措施进展情况、施工期的环境保护措施落实情况、施工期环境监理情况、施工期环境监测结果等。</w:t>
      </w:r>
    </w:p>
    <w:p>
      <w:pPr>
        <w:pStyle w:val="13"/>
        <w:spacing w:line="360" w:lineRule="auto"/>
        <w:ind w:firstLine="480"/>
        <w:rPr>
          <w:rFonts w:ascii="Times New Roman" w:hAnsi="Times New Roman"/>
          <w:b/>
          <w:bCs/>
          <w:color w:val="auto"/>
          <w:sz w:val="24"/>
          <w:szCs w:val="24"/>
        </w:rPr>
      </w:pPr>
      <w:r>
        <w:rPr>
          <w:rFonts w:ascii="Times New Roman" w:hAnsi="Times New Roman"/>
          <w:b/>
          <w:bCs/>
          <w:color w:val="auto"/>
          <w:sz w:val="24"/>
          <w:szCs w:val="24"/>
        </w:rPr>
        <w:t>（3）公开建设项目建成后的信息</w:t>
      </w:r>
    </w:p>
    <w:p>
      <w:pPr>
        <w:pStyle w:val="13"/>
        <w:spacing w:line="360" w:lineRule="auto"/>
        <w:ind w:firstLine="480"/>
        <w:rPr>
          <w:rFonts w:ascii="Times New Roman" w:hAnsi="Times New Roman"/>
          <w:color w:val="auto"/>
          <w:sz w:val="24"/>
          <w:szCs w:val="24"/>
        </w:rPr>
      </w:pPr>
      <w:r>
        <w:rPr>
          <w:rFonts w:ascii="Times New Roman" w:hAnsi="Times New Roman"/>
          <w:color w:val="auto"/>
          <w:sz w:val="24"/>
          <w:szCs w:val="24"/>
        </w:rPr>
        <w:t>建设项目建成后，建设单位应当向社会公开建设项目环评提出的各项环境保护措施执行情况、竣工环境保护监测和调查结果，对排放对污染物可能对环境产生影响对项目，投入生产或使用后，应当定期向社会特别是周边社区公开主要污染物排放情况。</w:t>
      </w:r>
    </w:p>
    <w:p>
      <w:pPr>
        <w:pStyle w:val="5"/>
        <w:numPr>
          <w:ilvl w:val="1"/>
          <w:numId w:val="0"/>
        </w:numPr>
        <w:tabs>
          <w:tab w:val="left" w:pos="360"/>
          <w:tab w:val="clear" w:pos="720"/>
        </w:tabs>
        <w:spacing w:before="159" w:after="159"/>
        <w:rPr>
          <w:color w:val="auto"/>
          <w:sz w:val="32"/>
          <w:szCs w:val="21"/>
        </w:rPr>
      </w:pPr>
      <w:bookmarkStart w:id="3260" w:name="_Toc12959352"/>
      <w:bookmarkStart w:id="3261" w:name="_Toc514067748"/>
      <w:bookmarkStart w:id="3262" w:name="_Toc1729026"/>
      <w:bookmarkStart w:id="3263" w:name="_Toc16404"/>
      <w:bookmarkStart w:id="3264" w:name="_Toc21515"/>
      <w:r>
        <w:rPr>
          <w:rFonts w:hint="eastAsia"/>
          <w:color w:val="auto"/>
          <w:sz w:val="32"/>
          <w:szCs w:val="21"/>
        </w:rPr>
        <w:t xml:space="preserve">10.2  </w:t>
      </w:r>
      <w:r>
        <w:rPr>
          <w:color w:val="auto"/>
          <w:sz w:val="32"/>
          <w:szCs w:val="21"/>
        </w:rPr>
        <w:t>监测计划</w:t>
      </w:r>
      <w:bookmarkEnd w:id="3260"/>
      <w:bookmarkEnd w:id="3261"/>
      <w:bookmarkEnd w:id="3262"/>
      <w:bookmarkEnd w:id="3263"/>
      <w:bookmarkEnd w:id="3264"/>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65" w:name="_Toc26888"/>
      <w:r>
        <w:rPr>
          <w:rFonts w:hint="eastAsia"/>
          <w:color w:val="auto"/>
        </w:rPr>
        <w:t xml:space="preserve">10.2.1  </w:t>
      </w:r>
      <w:r>
        <w:rPr>
          <w:color w:val="auto"/>
        </w:rPr>
        <w:t>环境监测目的</w:t>
      </w:r>
      <w:bookmarkEnd w:id="3265"/>
    </w:p>
    <w:p>
      <w:pPr>
        <w:spacing w:line="360" w:lineRule="auto"/>
        <w:ind w:firstLine="480"/>
        <w:rPr>
          <w:color w:val="auto"/>
          <w:sz w:val="24"/>
        </w:rPr>
      </w:pPr>
      <w:r>
        <w:rPr>
          <w:color w:val="auto"/>
          <w:sz w:val="24"/>
        </w:rPr>
        <w:t>环境监测的目的在于了解和掌握污染状况，一般包括以下几个方面：</w:t>
      </w:r>
    </w:p>
    <w:p>
      <w:pPr>
        <w:spacing w:line="360" w:lineRule="auto"/>
        <w:ind w:firstLine="480"/>
        <w:rPr>
          <w:color w:val="auto"/>
          <w:sz w:val="24"/>
        </w:rPr>
      </w:pPr>
      <w:r>
        <w:rPr>
          <w:color w:val="auto"/>
          <w:sz w:val="24"/>
        </w:rPr>
        <w:t>（1）定期监测污染物排放浓度和排放量是否符合国家、省、市和行业规定的排放标准，确保污染物排放总量控制在允许的环境容量内；</w:t>
      </w:r>
    </w:p>
    <w:p>
      <w:pPr>
        <w:spacing w:line="360" w:lineRule="auto"/>
        <w:ind w:firstLine="480"/>
        <w:rPr>
          <w:color w:val="auto"/>
          <w:sz w:val="24"/>
        </w:rPr>
      </w:pPr>
      <w:r>
        <w:rPr>
          <w:color w:val="auto"/>
          <w:sz w:val="24"/>
        </w:rPr>
        <w:t>（2）分析所排污染物的变化规律和环境影响程度，为控制污染提供依据，加强污染物处理装置的日常维护使用，提高科学管理水平；</w:t>
      </w:r>
    </w:p>
    <w:p>
      <w:pPr>
        <w:spacing w:line="360" w:lineRule="auto"/>
        <w:ind w:firstLine="480"/>
        <w:rPr>
          <w:color w:val="auto"/>
          <w:sz w:val="24"/>
        </w:rPr>
      </w:pPr>
      <w:r>
        <w:rPr>
          <w:color w:val="auto"/>
          <w:sz w:val="24"/>
        </w:rPr>
        <w:t>（3）协助环境保护行政主管部门对风险事故的监测、分析和报告。</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66" w:name="_Toc14610"/>
      <w:r>
        <w:rPr>
          <w:rFonts w:hint="eastAsia"/>
          <w:color w:val="auto"/>
        </w:rPr>
        <w:t xml:space="preserve">10.2.2  </w:t>
      </w:r>
      <w:r>
        <w:rPr>
          <w:color w:val="auto"/>
        </w:rPr>
        <w:t>监测机构的建立</w:t>
      </w:r>
      <w:bookmarkEnd w:id="3266"/>
    </w:p>
    <w:p>
      <w:pPr>
        <w:spacing w:line="360" w:lineRule="auto"/>
        <w:ind w:firstLine="480"/>
        <w:rPr>
          <w:color w:val="auto"/>
          <w:sz w:val="24"/>
        </w:rPr>
      </w:pPr>
      <w:r>
        <w:rPr>
          <w:color w:val="auto"/>
          <w:sz w:val="24"/>
        </w:rPr>
        <w:t>项目环境监理工作应由具备相应环境监理能力的单位进行，原则上应设置1 名总环境监理工程师，2名环境监理工程师。承担现场环境监理任务的工作人员，应具备必要的环保知识和环保意识，并具备项目环境管理经验。</w:t>
      </w: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67" w:name="_Toc20145"/>
      <w:r>
        <w:rPr>
          <w:rFonts w:hint="eastAsia"/>
          <w:color w:val="auto"/>
        </w:rPr>
        <w:t xml:space="preserve">10.2.3  </w:t>
      </w:r>
      <w:r>
        <w:rPr>
          <w:color w:val="auto"/>
        </w:rPr>
        <w:t>自行环境监测制度</w:t>
      </w:r>
      <w:bookmarkEnd w:id="3267"/>
    </w:p>
    <w:p>
      <w:pPr>
        <w:spacing w:line="360" w:lineRule="auto"/>
        <w:ind w:firstLine="480" w:firstLineChars="200"/>
        <w:rPr>
          <w:color w:val="auto"/>
          <w:sz w:val="24"/>
        </w:rPr>
      </w:pPr>
      <w:r>
        <w:rPr>
          <w:color w:val="auto"/>
          <w:sz w:val="24"/>
        </w:rPr>
        <w:t>日常环境监测主要包括厂区污染源监测与厂址所在区域环境质量监测两部分，目的在于了解和掌握环境质量现状及污染状况。污染源监测包括废气、废水和噪声的污染源监测，以及环保设施的运行情况监测，了解环保设施的运行状况，发现超标问题及时采取措施解决。此外，针对潜在的风险事故，制定相应的事故监测计划。</w:t>
      </w:r>
    </w:p>
    <w:p>
      <w:pPr>
        <w:spacing w:line="360" w:lineRule="auto"/>
        <w:ind w:firstLine="480"/>
        <w:rPr>
          <w:color w:val="auto"/>
          <w:sz w:val="24"/>
        </w:rPr>
      </w:pPr>
    </w:p>
    <w:p>
      <w:pPr>
        <w:pStyle w:val="7"/>
        <w:numPr>
          <w:ilvl w:val="2"/>
          <w:numId w:val="0"/>
        </w:numPr>
        <w:tabs>
          <w:tab w:val="left" w:pos="0"/>
          <w:tab w:val="clear" w:pos="720"/>
        </w:tabs>
        <w:adjustRightInd/>
        <w:spacing w:before="156" w:beforeLines="0" w:after="156" w:afterLines="0" w:line="416" w:lineRule="auto"/>
        <w:textAlignment w:val="auto"/>
        <w:rPr>
          <w:color w:val="auto"/>
        </w:rPr>
      </w:pPr>
      <w:bookmarkStart w:id="3268" w:name="_Toc2386"/>
      <w:bookmarkStart w:id="3269" w:name="_Toc12959353"/>
      <w:bookmarkStart w:id="3270" w:name="_Toc1729027"/>
      <w:bookmarkStart w:id="3271" w:name="_Toc514067751"/>
      <w:r>
        <w:rPr>
          <w:rFonts w:hint="eastAsia"/>
          <w:color w:val="auto"/>
        </w:rPr>
        <w:t xml:space="preserve">10.2.4  </w:t>
      </w:r>
      <w:r>
        <w:rPr>
          <w:color w:val="auto"/>
        </w:rPr>
        <w:t>营运期环境监测计划</w:t>
      </w:r>
      <w:bookmarkEnd w:id="3268"/>
    </w:p>
    <w:p>
      <w:pPr>
        <w:spacing w:line="360" w:lineRule="auto"/>
        <w:ind w:firstLine="480"/>
        <w:rPr>
          <w:color w:val="auto"/>
          <w:sz w:val="24"/>
        </w:rPr>
      </w:pPr>
      <w:r>
        <w:rPr>
          <w:color w:val="auto"/>
          <w:sz w:val="24"/>
        </w:rPr>
        <w:t>项目在营运期间应对污染源及周边环境质量定期进行监测。当发生事故排放时，应严格监控、及时监测。</w:t>
      </w:r>
    </w:p>
    <w:p>
      <w:pPr>
        <w:spacing w:line="360" w:lineRule="auto"/>
        <w:ind w:firstLine="480"/>
        <w:rPr>
          <w:color w:val="auto"/>
          <w:sz w:val="24"/>
        </w:rPr>
      </w:pPr>
      <w:r>
        <w:rPr>
          <w:color w:val="auto"/>
          <w:sz w:val="24"/>
        </w:rPr>
        <w:t>废气事故排放时，应重点做好对下风向受影响范围内的居民点污染物浓度进行连续监测工作，直到恢复正常的环境空气状况为止。</w:t>
      </w:r>
    </w:p>
    <w:p>
      <w:pPr>
        <w:spacing w:line="360" w:lineRule="auto"/>
        <w:ind w:firstLine="480"/>
        <w:rPr>
          <w:color w:val="auto"/>
          <w:sz w:val="24"/>
        </w:rPr>
      </w:pPr>
      <w:r>
        <w:rPr>
          <w:color w:val="auto"/>
          <w:sz w:val="24"/>
        </w:rPr>
        <w:t>废水事故排放时，应在受影响的水域增加监测断面，加密监测采样次数，做好连续监测工作，直至事故性排放消除、水质状况恢复正常为止。</w:t>
      </w:r>
    </w:p>
    <w:p>
      <w:pPr>
        <w:spacing w:line="360" w:lineRule="auto"/>
        <w:ind w:firstLine="480" w:firstLineChars="200"/>
        <w:rPr>
          <w:color w:val="auto"/>
          <w:sz w:val="24"/>
        </w:rPr>
      </w:pPr>
      <w:r>
        <w:rPr>
          <w:color w:val="auto"/>
          <w:kern w:val="0"/>
          <w:sz w:val="24"/>
        </w:rPr>
        <w:t>项目应对污染源及周边环境质量定期进行监测。</w:t>
      </w:r>
      <w:r>
        <w:rPr>
          <w:color w:val="auto"/>
          <w:sz w:val="24"/>
        </w:rPr>
        <w:t>根据《排污单位自行监测技术指南 总则》（HJ 819-2017）及《突发环境事件应急监测技术规范》（HJ 589-2010）等文件和行业标准的要求，提出本项目环境监测计划。</w:t>
      </w:r>
    </w:p>
    <w:p>
      <w:pPr>
        <w:spacing w:line="360" w:lineRule="auto"/>
        <w:jc w:val="center"/>
        <w:rPr>
          <w:b/>
          <w:bCs/>
          <w:color w:val="auto"/>
          <w:szCs w:val="21"/>
        </w:rPr>
      </w:pPr>
      <w:r>
        <w:rPr>
          <w:b/>
          <w:bCs/>
          <w:color w:val="auto"/>
          <w:szCs w:val="21"/>
        </w:rPr>
        <w:t>表</w:t>
      </w:r>
      <w:r>
        <w:rPr>
          <w:rFonts w:hint="eastAsia"/>
          <w:b/>
          <w:bCs/>
          <w:color w:val="auto"/>
          <w:szCs w:val="21"/>
        </w:rPr>
        <w:t>10.</w:t>
      </w:r>
      <w:r>
        <w:rPr>
          <w:b/>
          <w:bCs/>
          <w:color w:val="auto"/>
          <w:szCs w:val="21"/>
        </w:rPr>
        <w:t xml:space="preserve">2-1 </w:t>
      </w:r>
      <w:r>
        <w:rPr>
          <w:rFonts w:hint="eastAsia"/>
          <w:b/>
          <w:bCs/>
          <w:color w:val="auto"/>
          <w:szCs w:val="21"/>
        </w:rPr>
        <w:t xml:space="preserve"> </w:t>
      </w:r>
      <w:r>
        <w:rPr>
          <w:b/>
          <w:bCs/>
          <w:color w:val="auto"/>
          <w:szCs w:val="21"/>
        </w:rPr>
        <w:t>环境监测计划表</w:t>
      </w:r>
    </w:p>
    <w:tbl>
      <w:tblPr>
        <w:tblStyle w:val="23"/>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1"/>
        <w:gridCol w:w="823"/>
        <w:gridCol w:w="1520"/>
        <w:gridCol w:w="3092"/>
        <w:gridCol w:w="2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84" w:type="dxa"/>
            <w:gridSpan w:val="2"/>
            <w:vAlign w:val="center"/>
          </w:tcPr>
          <w:p>
            <w:pPr>
              <w:spacing w:line="300" w:lineRule="auto"/>
              <w:jc w:val="center"/>
              <w:rPr>
                <w:color w:val="auto"/>
                <w:szCs w:val="21"/>
              </w:rPr>
            </w:pPr>
            <w:r>
              <w:rPr>
                <w:color w:val="auto"/>
                <w:szCs w:val="21"/>
              </w:rPr>
              <w:t>监测类别</w:t>
            </w:r>
          </w:p>
        </w:tc>
        <w:tc>
          <w:tcPr>
            <w:tcW w:w="1520" w:type="dxa"/>
            <w:vAlign w:val="center"/>
          </w:tcPr>
          <w:p>
            <w:pPr>
              <w:spacing w:line="300" w:lineRule="auto"/>
              <w:jc w:val="center"/>
              <w:rPr>
                <w:color w:val="auto"/>
                <w:szCs w:val="21"/>
              </w:rPr>
            </w:pPr>
            <w:r>
              <w:rPr>
                <w:color w:val="auto"/>
                <w:szCs w:val="21"/>
              </w:rPr>
              <w:t>监测布点</w:t>
            </w:r>
          </w:p>
        </w:tc>
        <w:tc>
          <w:tcPr>
            <w:tcW w:w="3092" w:type="dxa"/>
            <w:vAlign w:val="center"/>
          </w:tcPr>
          <w:p>
            <w:pPr>
              <w:spacing w:line="300" w:lineRule="auto"/>
              <w:jc w:val="center"/>
              <w:rPr>
                <w:color w:val="auto"/>
                <w:szCs w:val="21"/>
              </w:rPr>
            </w:pPr>
            <w:r>
              <w:rPr>
                <w:color w:val="auto"/>
                <w:szCs w:val="21"/>
              </w:rPr>
              <w:t>监测项目</w:t>
            </w:r>
          </w:p>
        </w:tc>
        <w:tc>
          <w:tcPr>
            <w:tcW w:w="2952" w:type="dxa"/>
            <w:vAlign w:val="center"/>
          </w:tcPr>
          <w:p>
            <w:pPr>
              <w:spacing w:line="300" w:lineRule="auto"/>
              <w:jc w:val="center"/>
              <w:rPr>
                <w:color w:val="auto"/>
                <w:szCs w:val="21"/>
              </w:rPr>
            </w:pPr>
            <w:r>
              <w:rPr>
                <w:color w:val="auto"/>
                <w:szCs w:val="21"/>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restart"/>
            <w:vAlign w:val="center"/>
          </w:tcPr>
          <w:p>
            <w:pPr>
              <w:spacing w:line="300" w:lineRule="auto"/>
              <w:jc w:val="center"/>
              <w:rPr>
                <w:color w:val="auto"/>
                <w:szCs w:val="21"/>
              </w:rPr>
            </w:pPr>
            <w:r>
              <w:rPr>
                <w:color w:val="auto"/>
                <w:szCs w:val="21"/>
              </w:rPr>
              <w:t>污染源监测</w:t>
            </w:r>
          </w:p>
        </w:tc>
        <w:tc>
          <w:tcPr>
            <w:tcW w:w="823" w:type="dxa"/>
            <w:vAlign w:val="center"/>
          </w:tcPr>
          <w:p>
            <w:pPr>
              <w:spacing w:line="300" w:lineRule="auto"/>
              <w:jc w:val="center"/>
              <w:rPr>
                <w:color w:val="auto"/>
                <w:szCs w:val="21"/>
              </w:rPr>
            </w:pPr>
            <w:r>
              <w:rPr>
                <w:color w:val="auto"/>
                <w:szCs w:val="21"/>
              </w:rPr>
              <w:t>废水</w:t>
            </w:r>
          </w:p>
        </w:tc>
        <w:tc>
          <w:tcPr>
            <w:tcW w:w="1520" w:type="dxa"/>
            <w:vAlign w:val="center"/>
          </w:tcPr>
          <w:p>
            <w:pPr>
              <w:spacing w:line="300" w:lineRule="auto"/>
              <w:jc w:val="center"/>
              <w:rPr>
                <w:color w:val="auto"/>
              </w:rPr>
            </w:pPr>
            <w:r>
              <w:rPr>
                <w:color w:val="auto"/>
              </w:rPr>
              <w:t>水排放口</w:t>
            </w:r>
          </w:p>
          <w:p>
            <w:pPr>
              <w:spacing w:line="300" w:lineRule="auto"/>
              <w:jc w:val="center"/>
              <w:rPr>
                <w:color w:val="auto"/>
                <w:szCs w:val="21"/>
              </w:rPr>
            </w:pPr>
            <w:r>
              <w:rPr>
                <w:rFonts w:hint="eastAsia"/>
                <w:color w:val="auto"/>
                <w:lang w:val="en-US" w:eastAsia="zh-CN"/>
              </w:rPr>
              <w:t>DW001</w:t>
            </w:r>
          </w:p>
        </w:tc>
        <w:tc>
          <w:tcPr>
            <w:tcW w:w="3092" w:type="dxa"/>
            <w:vAlign w:val="center"/>
          </w:tcPr>
          <w:p>
            <w:pPr>
              <w:spacing w:line="300" w:lineRule="auto"/>
              <w:jc w:val="center"/>
              <w:rPr>
                <w:color w:val="auto"/>
                <w:szCs w:val="21"/>
              </w:rPr>
            </w:pPr>
            <w:r>
              <w:rPr>
                <w:color w:val="auto"/>
                <w:szCs w:val="21"/>
              </w:rPr>
              <w:t>/</w:t>
            </w:r>
          </w:p>
        </w:tc>
        <w:tc>
          <w:tcPr>
            <w:tcW w:w="2952" w:type="dxa"/>
            <w:vAlign w:val="center"/>
          </w:tcPr>
          <w:p>
            <w:pPr>
              <w:spacing w:line="300" w:lineRule="auto"/>
              <w:jc w:val="left"/>
              <w:rPr>
                <w:color w:val="auto"/>
                <w:szCs w:val="21"/>
              </w:rPr>
            </w:pPr>
            <w:r>
              <w:rPr>
                <w:color w:val="auto"/>
                <w:szCs w:val="21"/>
              </w:rPr>
              <w:t>排入城镇污水处理厂，仅说明去向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continue"/>
            <w:vAlign w:val="center"/>
          </w:tcPr>
          <w:p>
            <w:pPr>
              <w:spacing w:line="300" w:lineRule="auto"/>
              <w:jc w:val="center"/>
              <w:rPr>
                <w:color w:val="auto"/>
                <w:szCs w:val="21"/>
              </w:rPr>
            </w:pPr>
          </w:p>
        </w:tc>
        <w:tc>
          <w:tcPr>
            <w:tcW w:w="823" w:type="dxa"/>
            <w:vMerge w:val="restart"/>
            <w:vAlign w:val="center"/>
          </w:tcPr>
          <w:p>
            <w:pPr>
              <w:spacing w:line="300" w:lineRule="auto"/>
              <w:jc w:val="center"/>
              <w:rPr>
                <w:color w:val="auto"/>
                <w:szCs w:val="21"/>
              </w:rPr>
            </w:pPr>
            <w:r>
              <w:rPr>
                <w:color w:val="auto"/>
                <w:szCs w:val="21"/>
              </w:rPr>
              <w:t>废气</w:t>
            </w:r>
          </w:p>
        </w:tc>
        <w:tc>
          <w:tcPr>
            <w:tcW w:w="1520" w:type="dxa"/>
            <w:vAlign w:val="center"/>
          </w:tcPr>
          <w:p>
            <w:pPr>
              <w:spacing w:line="300" w:lineRule="auto"/>
              <w:jc w:val="center"/>
              <w:rPr>
                <w:color w:val="auto"/>
                <w:szCs w:val="21"/>
              </w:rPr>
            </w:pPr>
            <w:r>
              <w:rPr>
                <w:color w:val="auto"/>
                <w:szCs w:val="21"/>
              </w:rPr>
              <w:t>湿法破碎线排气筒G2</w:t>
            </w:r>
          </w:p>
        </w:tc>
        <w:tc>
          <w:tcPr>
            <w:tcW w:w="3092" w:type="dxa"/>
            <w:vAlign w:val="center"/>
          </w:tcPr>
          <w:p>
            <w:pPr>
              <w:spacing w:line="300" w:lineRule="auto"/>
              <w:jc w:val="center"/>
              <w:rPr>
                <w:color w:val="auto"/>
                <w:szCs w:val="21"/>
              </w:rPr>
            </w:pPr>
            <w:r>
              <w:rPr>
                <w:color w:val="auto"/>
                <w:szCs w:val="21"/>
              </w:rPr>
              <w:t>颗粒物</w:t>
            </w:r>
          </w:p>
        </w:tc>
        <w:tc>
          <w:tcPr>
            <w:tcW w:w="2952" w:type="dxa"/>
            <w:vAlign w:val="center"/>
          </w:tcPr>
          <w:p>
            <w:pPr>
              <w:spacing w:line="300" w:lineRule="auto"/>
              <w:jc w:val="center"/>
              <w:rPr>
                <w:color w:val="auto"/>
                <w:szCs w:val="21"/>
              </w:rPr>
            </w:pPr>
            <w:r>
              <w:rPr>
                <w:color w:val="auto"/>
                <w:szCs w:val="21"/>
              </w:rPr>
              <w:t>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continue"/>
            <w:vAlign w:val="center"/>
          </w:tcPr>
          <w:p>
            <w:pPr>
              <w:spacing w:line="300" w:lineRule="auto"/>
              <w:jc w:val="center"/>
              <w:rPr>
                <w:color w:val="auto"/>
                <w:szCs w:val="21"/>
              </w:rPr>
            </w:pPr>
          </w:p>
        </w:tc>
        <w:tc>
          <w:tcPr>
            <w:tcW w:w="823" w:type="dxa"/>
            <w:vMerge w:val="continue"/>
            <w:vAlign w:val="center"/>
          </w:tcPr>
          <w:p>
            <w:pPr>
              <w:spacing w:line="300" w:lineRule="auto"/>
              <w:jc w:val="center"/>
              <w:rPr>
                <w:color w:val="auto"/>
                <w:szCs w:val="21"/>
              </w:rPr>
            </w:pPr>
          </w:p>
        </w:tc>
        <w:tc>
          <w:tcPr>
            <w:tcW w:w="1520" w:type="dxa"/>
            <w:vAlign w:val="center"/>
          </w:tcPr>
          <w:p>
            <w:pPr>
              <w:spacing w:line="300" w:lineRule="auto"/>
              <w:jc w:val="center"/>
              <w:rPr>
                <w:color w:val="auto"/>
                <w:szCs w:val="21"/>
              </w:rPr>
            </w:pPr>
            <w:r>
              <w:rPr>
                <w:color w:val="auto"/>
                <w:szCs w:val="21"/>
              </w:rPr>
              <w:t>卷材生产线排气筒G1</w:t>
            </w:r>
          </w:p>
        </w:tc>
        <w:tc>
          <w:tcPr>
            <w:tcW w:w="3092" w:type="dxa"/>
            <w:vAlign w:val="center"/>
          </w:tcPr>
          <w:p>
            <w:pPr>
              <w:spacing w:line="300" w:lineRule="auto"/>
              <w:jc w:val="center"/>
              <w:rPr>
                <w:color w:val="auto"/>
                <w:szCs w:val="21"/>
              </w:rPr>
            </w:pPr>
            <w:r>
              <w:rPr>
                <w:color w:val="auto"/>
                <w:szCs w:val="21"/>
              </w:rPr>
              <w:t>颗粒物、沥青烟、苯并[a]芘、非甲烷总烃</w:t>
            </w:r>
          </w:p>
        </w:tc>
        <w:tc>
          <w:tcPr>
            <w:tcW w:w="2952" w:type="dxa"/>
            <w:vAlign w:val="center"/>
          </w:tcPr>
          <w:p>
            <w:pPr>
              <w:spacing w:line="300" w:lineRule="auto"/>
              <w:jc w:val="center"/>
              <w:rPr>
                <w:color w:val="auto"/>
                <w:szCs w:val="21"/>
              </w:rPr>
            </w:pPr>
            <w:r>
              <w:rPr>
                <w:color w:val="auto"/>
                <w:szCs w:val="21"/>
              </w:rPr>
              <w:t>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continue"/>
            <w:vAlign w:val="center"/>
          </w:tcPr>
          <w:p>
            <w:pPr>
              <w:spacing w:line="300" w:lineRule="auto"/>
              <w:jc w:val="center"/>
              <w:rPr>
                <w:color w:val="auto"/>
                <w:szCs w:val="21"/>
              </w:rPr>
            </w:pPr>
          </w:p>
        </w:tc>
        <w:tc>
          <w:tcPr>
            <w:tcW w:w="823" w:type="dxa"/>
            <w:vMerge w:val="continue"/>
            <w:vAlign w:val="center"/>
          </w:tcPr>
          <w:p>
            <w:pPr>
              <w:spacing w:line="300" w:lineRule="auto"/>
              <w:jc w:val="center"/>
              <w:rPr>
                <w:color w:val="auto"/>
                <w:szCs w:val="21"/>
              </w:rPr>
            </w:pPr>
          </w:p>
        </w:tc>
        <w:tc>
          <w:tcPr>
            <w:tcW w:w="1520" w:type="dxa"/>
            <w:vAlign w:val="center"/>
          </w:tcPr>
          <w:p>
            <w:pPr>
              <w:spacing w:line="300" w:lineRule="auto"/>
              <w:jc w:val="center"/>
              <w:rPr>
                <w:color w:val="auto"/>
                <w:szCs w:val="21"/>
              </w:rPr>
            </w:pPr>
            <w:r>
              <w:rPr>
                <w:color w:val="auto"/>
                <w:szCs w:val="21"/>
              </w:rPr>
              <w:t>锅炉排气筒G3</w:t>
            </w:r>
          </w:p>
        </w:tc>
        <w:tc>
          <w:tcPr>
            <w:tcW w:w="3092" w:type="dxa"/>
            <w:vAlign w:val="center"/>
          </w:tcPr>
          <w:p>
            <w:pPr>
              <w:spacing w:line="300" w:lineRule="auto"/>
              <w:jc w:val="center"/>
              <w:rPr>
                <w:color w:val="auto"/>
                <w:szCs w:val="21"/>
              </w:rPr>
            </w:pPr>
            <w:r>
              <w:rPr>
                <w:color w:val="auto"/>
                <w:szCs w:val="21"/>
              </w:rPr>
              <w:t>颗粒物、二氧化硫</w:t>
            </w:r>
          </w:p>
        </w:tc>
        <w:tc>
          <w:tcPr>
            <w:tcW w:w="2952" w:type="dxa"/>
            <w:vAlign w:val="center"/>
          </w:tcPr>
          <w:p>
            <w:pPr>
              <w:spacing w:line="300" w:lineRule="auto"/>
              <w:jc w:val="center"/>
              <w:rPr>
                <w:color w:val="auto"/>
                <w:szCs w:val="21"/>
              </w:rPr>
            </w:pPr>
            <w:r>
              <w:rPr>
                <w:color w:val="auto"/>
                <w:szCs w:val="21"/>
              </w:rPr>
              <w:t>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continue"/>
            <w:vAlign w:val="center"/>
          </w:tcPr>
          <w:p>
            <w:pPr>
              <w:spacing w:line="300" w:lineRule="auto"/>
              <w:jc w:val="center"/>
              <w:rPr>
                <w:color w:val="auto"/>
                <w:szCs w:val="21"/>
              </w:rPr>
            </w:pPr>
          </w:p>
        </w:tc>
        <w:tc>
          <w:tcPr>
            <w:tcW w:w="823" w:type="dxa"/>
            <w:vMerge w:val="continue"/>
            <w:vAlign w:val="center"/>
          </w:tcPr>
          <w:p>
            <w:pPr>
              <w:spacing w:line="300" w:lineRule="auto"/>
              <w:jc w:val="center"/>
              <w:rPr>
                <w:color w:val="auto"/>
                <w:szCs w:val="21"/>
              </w:rPr>
            </w:pPr>
          </w:p>
        </w:tc>
        <w:tc>
          <w:tcPr>
            <w:tcW w:w="1520" w:type="dxa"/>
            <w:vAlign w:val="center"/>
          </w:tcPr>
          <w:p>
            <w:pPr>
              <w:spacing w:line="300" w:lineRule="auto"/>
              <w:jc w:val="center"/>
              <w:rPr>
                <w:rFonts w:hint="eastAsia"/>
                <w:color w:val="auto"/>
                <w:szCs w:val="21"/>
                <w:lang w:val="en-US" w:eastAsia="zh-CN"/>
              </w:rPr>
            </w:pPr>
            <w:r>
              <w:rPr>
                <w:color w:val="auto"/>
                <w:szCs w:val="21"/>
              </w:rPr>
              <w:t>厂界</w:t>
            </w:r>
            <w:r>
              <w:rPr>
                <w:rFonts w:hint="eastAsia"/>
                <w:color w:val="auto"/>
                <w:szCs w:val="21"/>
                <w:lang w:val="en-US" w:eastAsia="zh-CN"/>
              </w:rPr>
              <w:t>四周</w:t>
            </w:r>
          </w:p>
          <w:p>
            <w:pPr>
              <w:spacing w:line="300" w:lineRule="auto"/>
              <w:jc w:val="center"/>
              <w:rPr>
                <w:color w:val="auto"/>
                <w:szCs w:val="21"/>
              </w:rPr>
            </w:pPr>
            <w:r>
              <w:rPr>
                <w:rFonts w:hint="eastAsia"/>
                <w:color w:val="auto"/>
                <w:szCs w:val="21"/>
                <w:lang w:val="en-US" w:eastAsia="zh-CN"/>
              </w:rPr>
              <w:t>（</w:t>
            </w:r>
            <w:r>
              <w:rPr>
                <w:color w:val="auto"/>
                <w:szCs w:val="21"/>
              </w:rPr>
              <w:t>无组织</w:t>
            </w:r>
            <w:r>
              <w:rPr>
                <w:rFonts w:hint="eastAsia"/>
                <w:color w:val="auto"/>
                <w:szCs w:val="21"/>
                <w:lang w:val="en-US" w:eastAsia="zh-CN"/>
              </w:rPr>
              <w:t>）</w:t>
            </w:r>
          </w:p>
        </w:tc>
        <w:tc>
          <w:tcPr>
            <w:tcW w:w="3092" w:type="dxa"/>
            <w:vAlign w:val="center"/>
          </w:tcPr>
          <w:p>
            <w:pPr>
              <w:spacing w:line="300" w:lineRule="auto"/>
              <w:jc w:val="center"/>
              <w:rPr>
                <w:color w:val="auto"/>
                <w:szCs w:val="21"/>
              </w:rPr>
            </w:pPr>
            <w:r>
              <w:rPr>
                <w:color w:val="auto"/>
                <w:szCs w:val="21"/>
              </w:rPr>
              <w:t>非甲烷总烃、VOCs、颗粒物、沥青烟、苯并[a]芘</w:t>
            </w:r>
          </w:p>
        </w:tc>
        <w:tc>
          <w:tcPr>
            <w:tcW w:w="2952" w:type="dxa"/>
            <w:vAlign w:val="center"/>
          </w:tcPr>
          <w:p>
            <w:pPr>
              <w:spacing w:line="300" w:lineRule="auto"/>
              <w:jc w:val="center"/>
              <w:rPr>
                <w:color w:val="auto"/>
                <w:szCs w:val="21"/>
              </w:rPr>
            </w:pPr>
            <w:r>
              <w:rPr>
                <w:color w:val="auto"/>
                <w:szCs w:val="21"/>
              </w:rPr>
              <w:t>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restart"/>
            <w:vAlign w:val="center"/>
          </w:tcPr>
          <w:p>
            <w:pPr>
              <w:spacing w:line="300" w:lineRule="auto"/>
              <w:jc w:val="center"/>
              <w:rPr>
                <w:color w:val="auto"/>
                <w:szCs w:val="21"/>
              </w:rPr>
            </w:pPr>
            <w:r>
              <w:rPr>
                <w:color w:val="auto"/>
                <w:szCs w:val="21"/>
              </w:rPr>
              <w:t>事故应急监测</w:t>
            </w:r>
          </w:p>
          <w:p>
            <w:pPr>
              <w:spacing w:line="300" w:lineRule="auto"/>
              <w:jc w:val="center"/>
              <w:rPr>
                <w:color w:val="auto"/>
                <w:szCs w:val="21"/>
              </w:rPr>
            </w:pPr>
          </w:p>
        </w:tc>
        <w:tc>
          <w:tcPr>
            <w:tcW w:w="823" w:type="dxa"/>
            <w:vAlign w:val="center"/>
          </w:tcPr>
          <w:p>
            <w:pPr>
              <w:spacing w:line="300" w:lineRule="auto"/>
              <w:jc w:val="center"/>
              <w:rPr>
                <w:color w:val="auto"/>
                <w:szCs w:val="21"/>
              </w:rPr>
            </w:pPr>
            <w:r>
              <w:rPr>
                <w:color w:val="auto"/>
                <w:szCs w:val="21"/>
              </w:rPr>
              <w:t>废水污染源</w:t>
            </w:r>
          </w:p>
        </w:tc>
        <w:tc>
          <w:tcPr>
            <w:tcW w:w="1520" w:type="dxa"/>
            <w:vAlign w:val="center"/>
          </w:tcPr>
          <w:p>
            <w:pPr>
              <w:spacing w:line="300" w:lineRule="auto"/>
              <w:jc w:val="center"/>
              <w:rPr>
                <w:color w:val="auto"/>
                <w:szCs w:val="21"/>
              </w:rPr>
            </w:pPr>
            <w:r>
              <w:rPr>
                <w:color w:val="auto"/>
                <w:szCs w:val="21"/>
              </w:rPr>
              <w:t>污水处理站总排口</w:t>
            </w:r>
          </w:p>
        </w:tc>
        <w:tc>
          <w:tcPr>
            <w:tcW w:w="3092" w:type="dxa"/>
            <w:vAlign w:val="center"/>
          </w:tcPr>
          <w:p>
            <w:pPr>
              <w:spacing w:line="300" w:lineRule="auto"/>
              <w:jc w:val="center"/>
              <w:rPr>
                <w:color w:val="auto"/>
                <w:szCs w:val="21"/>
              </w:rPr>
            </w:pPr>
            <w:r>
              <w:rPr>
                <w:color w:val="auto"/>
                <w:szCs w:val="21"/>
              </w:rPr>
              <w:t>化学需氧量、氨氮、pH值、悬浮物、总氮、总磷、五日生化需氧量、废水量</w:t>
            </w:r>
          </w:p>
        </w:tc>
        <w:tc>
          <w:tcPr>
            <w:tcW w:w="2952" w:type="dxa"/>
            <w:vAlign w:val="center"/>
          </w:tcPr>
          <w:p>
            <w:pPr>
              <w:spacing w:line="300" w:lineRule="auto"/>
              <w:jc w:val="center"/>
              <w:rPr>
                <w:color w:val="auto"/>
                <w:szCs w:val="21"/>
              </w:rPr>
            </w:pPr>
            <w:r>
              <w:rPr>
                <w:color w:val="auto"/>
                <w:szCs w:val="21"/>
              </w:rPr>
              <w:t>每4h一次，直至解除事故应急状态，地表水体中污染物浓度回复正常水平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dxa"/>
            <w:vMerge w:val="continue"/>
            <w:vAlign w:val="center"/>
          </w:tcPr>
          <w:p>
            <w:pPr>
              <w:spacing w:line="300" w:lineRule="auto"/>
              <w:jc w:val="center"/>
              <w:rPr>
                <w:color w:val="auto"/>
                <w:szCs w:val="21"/>
              </w:rPr>
            </w:pPr>
          </w:p>
        </w:tc>
        <w:tc>
          <w:tcPr>
            <w:tcW w:w="823" w:type="dxa"/>
            <w:vAlign w:val="center"/>
          </w:tcPr>
          <w:p>
            <w:pPr>
              <w:spacing w:line="300" w:lineRule="auto"/>
              <w:jc w:val="center"/>
              <w:rPr>
                <w:color w:val="auto"/>
                <w:szCs w:val="21"/>
              </w:rPr>
            </w:pPr>
            <w:r>
              <w:rPr>
                <w:color w:val="auto"/>
                <w:szCs w:val="21"/>
              </w:rPr>
              <w:t>废气污染源</w:t>
            </w:r>
          </w:p>
        </w:tc>
        <w:tc>
          <w:tcPr>
            <w:tcW w:w="1520" w:type="dxa"/>
            <w:vAlign w:val="center"/>
          </w:tcPr>
          <w:p>
            <w:pPr>
              <w:spacing w:line="300" w:lineRule="auto"/>
              <w:jc w:val="center"/>
              <w:rPr>
                <w:color w:val="auto"/>
                <w:szCs w:val="21"/>
              </w:rPr>
            </w:pPr>
            <w:r>
              <w:rPr>
                <w:color w:val="auto"/>
                <w:szCs w:val="21"/>
              </w:rPr>
              <w:t>废气排放口、厂界</w:t>
            </w:r>
          </w:p>
        </w:tc>
        <w:tc>
          <w:tcPr>
            <w:tcW w:w="3092" w:type="dxa"/>
            <w:vAlign w:val="center"/>
          </w:tcPr>
          <w:p>
            <w:pPr>
              <w:spacing w:line="300" w:lineRule="auto"/>
              <w:jc w:val="center"/>
              <w:rPr>
                <w:color w:val="auto"/>
                <w:szCs w:val="21"/>
              </w:rPr>
            </w:pPr>
            <w:r>
              <w:rPr>
                <w:color w:val="auto"/>
                <w:szCs w:val="21"/>
              </w:rPr>
              <w:t>PM</w:t>
            </w:r>
            <w:r>
              <w:rPr>
                <w:color w:val="auto"/>
                <w:szCs w:val="21"/>
                <w:vertAlign w:val="subscript"/>
              </w:rPr>
              <w:t>10</w:t>
            </w:r>
            <w:r>
              <w:rPr>
                <w:color w:val="auto"/>
                <w:szCs w:val="21"/>
              </w:rPr>
              <w:t>、</w:t>
            </w:r>
            <w:r>
              <w:rPr>
                <w:rFonts w:hint="eastAsia"/>
                <w:color w:val="auto"/>
                <w:szCs w:val="21"/>
              </w:rPr>
              <w:t>颗粒物</w:t>
            </w:r>
            <w:r>
              <w:rPr>
                <w:color w:val="auto"/>
                <w:szCs w:val="21"/>
              </w:rPr>
              <w:t>、非甲烷总烃、VOC</w:t>
            </w:r>
            <w:r>
              <w:rPr>
                <w:rFonts w:hint="eastAsia"/>
                <w:color w:val="auto"/>
                <w:szCs w:val="21"/>
              </w:rPr>
              <w:t>s</w:t>
            </w:r>
            <w:r>
              <w:rPr>
                <w:color w:val="auto"/>
                <w:szCs w:val="21"/>
              </w:rPr>
              <w:t>、沥青烟、</w:t>
            </w:r>
            <w:r>
              <w:rPr>
                <w:rFonts w:hint="eastAsia"/>
                <w:color w:val="auto"/>
                <w:szCs w:val="21"/>
              </w:rPr>
              <w:t>苯并[a]芘</w:t>
            </w:r>
            <w:r>
              <w:rPr>
                <w:color w:val="auto"/>
                <w:szCs w:val="21"/>
              </w:rPr>
              <w:t>。</w:t>
            </w:r>
          </w:p>
        </w:tc>
        <w:tc>
          <w:tcPr>
            <w:tcW w:w="2952" w:type="dxa"/>
            <w:vAlign w:val="center"/>
          </w:tcPr>
          <w:p>
            <w:pPr>
              <w:spacing w:line="300" w:lineRule="auto"/>
              <w:jc w:val="center"/>
              <w:rPr>
                <w:color w:val="auto"/>
                <w:szCs w:val="21"/>
              </w:rPr>
            </w:pPr>
            <w:r>
              <w:rPr>
                <w:color w:val="auto"/>
                <w:szCs w:val="21"/>
              </w:rPr>
              <w:t>小时值每天采样监测4次，日均值每天采样1次，直至解除事故应急状态，大气中污染物浓度值回复正常水平</w:t>
            </w:r>
          </w:p>
        </w:tc>
      </w:tr>
    </w:tbl>
    <w:p>
      <w:pPr>
        <w:pStyle w:val="5"/>
        <w:numPr>
          <w:ilvl w:val="1"/>
          <w:numId w:val="0"/>
        </w:numPr>
        <w:tabs>
          <w:tab w:val="left" w:pos="360"/>
          <w:tab w:val="clear" w:pos="720"/>
        </w:tabs>
        <w:spacing w:before="159" w:after="159"/>
        <w:rPr>
          <w:color w:val="auto"/>
          <w:sz w:val="32"/>
          <w:szCs w:val="21"/>
        </w:rPr>
      </w:pPr>
      <w:bookmarkStart w:id="3272" w:name="_Toc230"/>
      <w:bookmarkStart w:id="3273" w:name="_Toc30431"/>
      <w:r>
        <w:rPr>
          <w:rFonts w:hint="eastAsia"/>
          <w:color w:val="auto"/>
          <w:sz w:val="32"/>
          <w:szCs w:val="21"/>
        </w:rPr>
        <w:t xml:space="preserve">10.3  </w:t>
      </w:r>
      <w:r>
        <w:rPr>
          <w:color w:val="auto"/>
          <w:sz w:val="32"/>
          <w:szCs w:val="21"/>
        </w:rPr>
        <w:t>规范化排污口</w:t>
      </w:r>
      <w:bookmarkEnd w:id="3269"/>
      <w:bookmarkEnd w:id="3272"/>
      <w:bookmarkEnd w:id="3273"/>
    </w:p>
    <w:p>
      <w:pPr>
        <w:spacing w:line="360" w:lineRule="auto"/>
        <w:ind w:firstLine="480"/>
        <w:rPr>
          <w:color w:val="auto"/>
          <w:sz w:val="24"/>
        </w:rPr>
      </w:pPr>
      <w:r>
        <w:rPr>
          <w:color w:val="auto"/>
          <w:sz w:val="24"/>
        </w:rPr>
        <w:t>根据国家标准《环境保护图形标志--排放口(源)》、国家环保总局《排污口规范化整治要求(试行)》的技术要求及《广东省污染源排污口规范化设置导则》（粤环[2008]42号），企业所有排放口，包括水、气、声、固体废物，必须按照“便于计量监测、便于日常现场监督检查”的原则和规范化要求，设置与之相适应的环境保护图形标志牌，绘制企业排污口分布图，同时对污水排放口安装流量计，对治理设施安装运行监控装置。综合上述规定的要求，排污口的规范化及标志牌</w:t>
      </w:r>
    </w:p>
    <w:p>
      <w:pPr>
        <w:spacing w:line="360" w:lineRule="auto"/>
        <w:rPr>
          <w:color w:val="auto"/>
          <w:sz w:val="24"/>
        </w:rPr>
      </w:pPr>
      <w:r>
        <w:rPr>
          <w:color w:val="auto"/>
          <w:sz w:val="24"/>
        </w:rPr>
        <w:t>的设置如下：</w:t>
      </w:r>
    </w:p>
    <w:p>
      <w:pPr>
        <w:spacing w:line="360" w:lineRule="auto"/>
        <w:ind w:firstLine="480"/>
        <w:rPr>
          <w:color w:val="auto"/>
          <w:sz w:val="24"/>
        </w:rPr>
      </w:pPr>
      <w:r>
        <w:rPr>
          <w:color w:val="auto"/>
          <w:sz w:val="24"/>
        </w:rPr>
        <w:t>（1）污水排放口规范化设置</w:t>
      </w:r>
    </w:p>
    <w:p>
      <w:pPr>
        <w:spacing w:line="360" w:lineRule="auto"/>
        <w:ind w:firstLine="480"/>
        <w:rPr>
          <w:color w:val="auto"/>
          <w:sz w:val="24"/>
        </w:rPr>
      </w:pPr>
      <w:r>
        <w:rPr>
          <w:color w:val="auto"/>
          <w:sz w:val="24"/>
        </w:rPr>
        <w:t>厂区在总排污口设置一段与排放污水有明显色差的测流渠(管)，以满足测量流量及监控的要求：</w:t>
      </w:r>
    </w:p>
    <w:p>
      <w:pPr>
        <w:spacing w:line="360" w:lineRule="auto"/>
        <w:ind w:firstLine="480"/>
        <w:rPr>
          <w:color w:val="auto"/>
          <w:sz w:val="24"/>
        </w:rPr>
      </w:pPr>
      <w:r>
        <w:rPr>
          <w:color w:val="auto"/>
          <w:sz w:val="24"/>
        </w:rPr>
        <w:t>如果利用排污渠道排放污水，污水流量宜采用堰槽法进行测量，测量方法应符合《堰槽测流规范》(SL24-1991)。使用其它方法测流时，可按测流仪器说明进行测量，测流仪器前应设置调节池和平稳过水段，确保水流为稳定流状态，以保证测量精度。</w:t>
      </w:r>
    </w:p>
    <w:p>
      <w:pPr>
        <w:spacing w:line="360" w:lineRule="auto"/>
        <w:ind w:firstLine="480"/>
        <w:rPr>
          <w:color w:val="auto"/>
          <w:sz w:val="24"/>
        </w:rPr>
      </w:pPr>
      <w:r>
        <w:rPr>
          <w:color w:val="auto"/>
          <w:sz w:val="24"/>
        </w:rPr>
        <w:t>（2）废气排放口规范化设置</w:t>
      </w:r>
    </w:p>
    <w:p>
      <w:pPr>
        <w:spacing w:line="360" w:lineRule="auto"/>
        <w:ind w:firstLine="480"/>
        <w:rPr>
          <w:color w:val="auto"/>
          <w:sz w:val="24"/>
        </w:rPr>
      </w:pPr>
      <w:r>
        <w:rPr>
          <w:color w:val="auto"/>
          <w:sz w:val="24"/>
        </w:rPr>
        <w:t>有组织排放废气的排气筒高度应符合国家和省大气污染物排放标准的有关</w:t>
      </w:r>
    </w:p>
    <w:p>
      <w:pPr>
        <w:spacing w:line="360" w:lineRule="auto"/>
        <w:rPr>
          <w:color w:val="auto"/>
          <w:sz w:val="24"/>
        </w:rPr>
      </w:pPr>
      <w:r>
        <w:rPr>
          <w:color w:val="auto"/>
          <w:sz w:val="24"/>
        </w:rPr>
        <w:t>规定，还应设置便于采样、监测的采样口。废气的采样孔、点数目和位置应按《固</w:t>
      </w:r>
    </w:p>
    <w:p>
      <w:pPr>
        <w:spacing w:line="360" w:lineRule="auto"/>
        <w:rPr>
          <w:color w:val="auto"/>
          <w:sz w:val="24"/>
        </w:rPr>
      </w:pPr>
      <w:r>
        <w:rPr>
          <w:color w:val="auto"/>
          <w:sz w:val="24"/>
        </w:rPr>
        <w:t>定污染源排气中颗粒物测定与气态污染物采样方法》(GB／T16157—1996)和《污染源监测技术规范》的规定设置。</w:t>
      </w:r>
    </w:p>
    <w:p>
      <w:pPr>
        <w:spacing w:line="360" w:lineRule="auto"/>
        <w:ind w:firstLine="480"/>
        <w:rPr>
          <w:color w:val="auto"/>
          <w:sz w:val="24"/>
        </w:rPr>
      </w:pPr>
      <w:r>
        <w:rPr>
          <w:color w:val="auto"/>
          <w:sz w:val="24"/>
        </w:rPr>
        <w:t>（3）固体废物贮存场所规范化设置</w:t>
      </w:r>
    </w:p>
    <w:p>
      <w:pPr>
        <w:spacing w:line="360" w:lineRule="auto"/>
        <w:ind w:firstLine="480"/>
        <w:rPr>
          <w:color w:val="auto"/>
          <w:sz w:val="24"/>
        </w:rPr>
      </w:pPr>
      <w:r>
        <w:rPr>
          <w:color w:val="auto"/>
          <w:sz w:val="24"/>
        </w:rPr>
        <w:t>本项目产生的危险废物和生活垃圾应设置专用堆放场所，采取防止二次扬尘、地面硬化防渗等措施。</w:t>
      </w:r>
    </w:p>
    <w:p>
      <w:pPr>
        <w:spacing w:line="360" w:lineRule="auto"/>
        <w:ind w:firstLine="480"/>
        <w:rPr>
          <w:color w:val="auto"/>
          <w:sz w:val="24"/>
        </w:rPr>
      </w:pPr>
      <w:r>
        <w:rPr>
          <w:color w:val="auto"/>
          <w:sz w:val="24"/>
        </w:rPr>
        <w:t>（4）固定噪声源标志牌设置</w:t>
      </w:r>
    </w:p>
    <w:p>
      <w:pPr>
        <w:spacing w:line="360" w:lineRule="auto"/>
        <w:ind w:firstLine="480"/>
        <w:rPr>
          <w:color w:val="auto"/>
          <w:sz w:val="24"/>
        </w:rPr>
      </w:pPr>
      <w:r>
        <w:rPr>
          <w:color w:val="auto"/>
          <w:sz w:val="24"/>
        </w:rPr>
        <w:t>按规定对固定噪声源进行治理，并在对外界影响最大处设置标志牌。</w:t>
      </w:r>
    </w:p>
    <w:p>
      <w:pPr>
        <w:spacing w:line="360" w:lineRule="auto"/>
        <w:ind w:firstLine="480"/>
        <w:rPr>
          <w:color w:val="auto"/>
          <w:sz w:val="24"/>
        </w:rPr>
      </w:pPr>
      <w:r>
        <w:rPr>
          <w:color w:val="auto"/>
          <w:sz w:val="24"/>
        </w:rPr>
        <w:t>（5）环境保护图形标志牌要求</w:t>
      </w:r>
    </w:p>
    <w:p>
      <w:pPr>
        <w:spacing w:line="360" w:lineRule="auto"/>
        <w:ind w:firstLine="480"/>
        <w:rPr>
          <w:color w:val="auto"/>
          <w:sz w:val="24"/>
        </w:rPr>
      </w:pPr>
      <w:r>
        <w:rPr>
          <w:color w:val="auto"/>
          <w:sz w:val="24"/>
        </w:rPr>
        <w:t>厂区内的排污口（源）和固体废物贮存场所，必须按照国家标准《环境保护图形标志》（GB15562.1-1995、GB15562.2-1995）的规定，设置与之相适应的环境保护图形标志牌。标志牌按标准制作，各地可按管理需求设置辅助内容，辅助内容由当地环保部门规定。环境保护图形标志牌应设置在距排污口（源）及固体废物贮存场所或采样点较近且醒目处，并能长久保留。设置高度一般为环境保护图形标志牌上缘距离地面2 米。</w:t>
      </w:r>
    </w:p>
    <w:p>
      <w:pPr>
        <w:spacing w:line="360" w:lineRule="auto"/>
        <w:ind w:firstLine="480"/>
        <w:rPr>
          <w:color w:val="auto"/>
          <w:sz w:val="24"/>
        </w:rPr>
      </w:pPr>
      <w:r>
        <w:rPr>
          <w:color w:val="auto"/>
          <w:sz w:val="24"/>
        </w:rPr>
        <w:t>规范化排污口的有关设置(如图形标志牌、计量装置、监控装置等)属环保设施，排污单位必须负责日常的维护保养，任何单位和个人不得擅自拆除，如需变更的须报环境监理部门同意并办理变更手续。</w:t>
      </w:r>
    </w:p>
    <w:p>
      <w:pPr>
        <w:pStyle w:val="5"/>
        <w:numPr>
          <w:ilvl w:val="1"/>
          <w:numId w:val="0"/>
        </w:numPr>
        <w:tabs>
          <w:tab w:val="left" w:pos="360"/>
          <w:tab w:val="clear" w:pos="720"/>
        </w:tabs>
        <w:spacing w:before="159" w:after="159"/>
        <w:rPr>
          <w:color w:val="auto"/>
          <w:sz w:val="32"/>
          <w:szCs w:val="21"/>
        </w:rPr>
      </w:pPr>
      <w:bookmarkStart w:id="3274" w:name="_Toc514067752"/>
      <w:bookmarkStart w:id="3275" w:name="_Toc7424"/>
      <w:bookmarkStart w:id="3276" w:name="_Toc5622"/>
      <w:bookmarkStart w:id="3277" w:name="_Toc1729028"/>
      <w:bookmarkStart w:id="3278" w:name="_Toc12959354"/>
      <w:r>
        <w:rPr>
          <w:rFonts w:hint="eastAsia"/>
          <w:color w:val="auto"/>
          <w:sz w:val="32"/>
          <w:szCs w:val="21"/>
        </w:rPr>
        <w:t xml:space="preserve">10.4  </w:t>
      </w:r>
      <w:r>
        <w:rPr>
          <w:color w:val="auto"/>
          <w:sz w:val="32"/>
          <w:szCs w:val="21"/>
        </w:rPr>
        <w:t>污染物排放清单及环境保护验收</w:t>
      </w:r>
      <w:bookmarkEnd w:id="3274"/>
      <w:bookmarkEnd w:id="3275"/>
      <w:bookmarkEnd w:id="3276"/>
      <w:bookmarkEnd w:id="3277"/>
      <w:bookmarkEnd w:id="3278"/>
    </w:p>
    <w:p>
      <w:pPr>
        <w:spacing w:line="360" w:lineRule="auto"/>
        <w:ind w:firstLine="480"/>
        <w:rPr>
          <w:color w:val="auto"/>
          <w:sz w:val="24"/>
        </w:rPr>
      </w:pPr>
      <w:r>
        <w:rPr>
          <w:color w:val="auto"/>
          <w:sz w:val="24"/>
        </w:rPr>
        <w:t>项目污染物排放清单及环境保护验收要求见</w:t>
      </w:r>
      <w:r>
        <w:rPr>
          <w:rFonts w:hint="eastAsia"/>
          <w:color w:val="auto"/>
          <w:sz w:val="24"/>
        </w:rPr>
        <w:t>下表</w:t>
      </w:r>
      <w:r>
        <w:rPr>
          <w:color w:val="auto"/>
          <w:sz w:val="24"/>
        </w:rPr>
        <w:t>。</w:t>
      </w:r>
    </w:p>
    <w:p>
      <w:pPr>
        <w:spacing w:line="360" w:lineRule="auto"/>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2"/>
        <w:ind w:left="0" w:leftChars="0" w:firstLine="0" w:firstLineChars="0"/>
        <w:jc w:val="center"/>
        <w:rPr>
          <w:rFonts w:ascii="Times New Roman"/>
          <w:color w:val="auto"/>
          <w:sz w:val="21"/>
          <w:szCs w:val="21"/>
        </w:rPr>
      </w:pPr>
      <w:r>
        <w:rPr>
          <w:rFonts w:ascii="Times New Roman"/>
          <w:b/>
          <w:color w:val="auto"/>
          <w:sz w:val="21"/>
          <w:szCs w:val="21"/>
        </w:rPr>
        <w:t>表</w:t>
      </w:r>
      <w:r>
        <w:rPr>
          <w:rFonts w:hint="eastAsia" w:ascii="Times New Roman"/>
          <w:b/>
          <w:color w:val="auto"/>
          <w:sz w:val="21"/>
          <w:szCs w:val="21"/>
        </w:rPr>
        <w:t>10</w:t>
      </w:r>
      <w:r>
        <w:rPr>
          <w:rFonts w:ascii="Times New Roman"/>
          <w:b/>
          <w:color w:val="auto"/>
          <w:sz w:val="21"/>
          <w:szCs w:val="21"/>
        </w:rPr>
        <w:t xml:space="preserve">.4-1 </w:t>
      </w:r>
      <w:r>
        <w:rPr>
          <w:rFonts w:hint="eastAsia" w:ascii="Times New Roman"/>
          <w:b/>
          <w:color w:val="auto"/>
          <w:sz w:val="21"/>
          <w:szCs w:val="21"/>
        </w:rPr>
        <w:t xml:space="preserve"> </w:t>
      </w:r>
      <w:r>
        <w:rPr>
          <w:rFonts w:ascii="Times New Roman"/>
          <w:b/>
          <w:color w:val="auto"/>
          <w:sz w:val="21"/>
          <w:szCs w:val="21"/>
        </w:rPr>
        <w:t>项目污染物排放清单及环保措施“三同时”一览表</w:t>
      </w:r>
    </w:p>
    <w:tbl>
      <w:tblPr>
        <w:tblStyle w:val="23"/>
        <w:tblW w:w="14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
        <w:gridCol w:w="853"/>
        <w:gridCol w:w="1317"/>
        <w:gridCol w:w="3903"/>
        <w:gridCol w:w="1330"/>
        <w:gridCol w:w="2277"/>
        <w:gridCol w:w="2114"/>
        <w:gridCol w:w="1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5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序号</w:t>
            </w:r>
          </w:p>
        </w:tc>
        <w:tc>
          <w:tcPr>
            <w:tcW w:w="853"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类别</w:t>
            </w:r>
          </w:p>
        </w:tc>
        <w:tc>
          <w:tcPr>
            <w:tcW w:w="131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排污口信息</w:t>
            </w:r>
          </w:p>
        </w:tc>
        <w:tc>
          <w:tcPr>
            <w:tcW w:w="3903"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拟采取的环保设施</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排放的污染物种类</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标准限值</w:t>
            </w:r>
          </w:p>
        </w:tc>
        <w:tc>
          <w:tcPr>
            <w:tcW w:w="2114"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执行标准</w:t>
            </w: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1</w:t>
            </w:r>
          </w:p>
        </w:tc>
        <w:tc>
          <w:tcPr>
            <w:tcW w:w="853"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废气</w:t>
            </w:r>
          </w:p>
        </w:tc>
        <w:tc>
          <w:tcPr>
            <w:tcW w:w="131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G</w:t>
            </w:r>
            <w:r>
              <w:rPr>
                <w:rFonts w:hint="eastAsia"/>
                <w:color w:val="auto"/>
                <w:szCs w:val="21"/>
                <w:lang w:val="en-US" w:eastAsia="zh-CN"/>
              </w:rPr>
              <w:t>2</w:t>
            </w:r>
            <w:r>
              <w:rPr>
                <w:color w:val="auto"/>
                <w:szCs w:val="21"/>
              </w:rPr>
              <w:t>排气筒</w:t>
            </w:r>
          </w:p>
        </w:tc>
        <w:tc>
          <w:tcPr>
            <w:tcW w:w="3903" w:type="dxa"/>
            <w:vAlign w:val="center"/>
          </w:tcPr>
          <w:p>
            <w:pPr>
              <w:keepNext w:val="0"/>
              <w:keepLines w:val="0"/>
              <w:pageBreakBefore w:val="0"/>
              <w:widowControl/>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集气罩+旋风布袋除尘器+15m排气筒</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颗粒物</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120</w:t>
            </w:r>
            <w:r>
              <w:rPr>
                <w:bCs/>
                <w:color w:val="auto"/>
                <w:szCs w:val="21"/>
              </w:rPr>
              <w:t>mg/m³</w:t>
            </w:r>
          </w:p>
        </w:tc>
        <w:tc>
          <w:tcPr>
            <w:tcW w:w="2114"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DB44/27-2001</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第二时段二级标准</w:t>
            </w:r>
          </w:p>
        </w:tc>
        <w:tc>
          <w:tcPr>
            <w:tcW w:w="1838"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厂界外有组织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G</w:t>
            </w:r>
            <w:r>
              <w:rPr>
                <w:rFonts w:hint="eastAsia"/>
                <w:color w:val="auto"/>
                <w:szCs w:val="21"/>
                <w:lang w:val="en-US" w:eastAsia="zh-CN"/>
              </w:rPr>
              <w:t>1</w:t>
            </w:r>
            <w:r>
              <w:rPr>
                <w:color w:val="auto"/>
                <w:szCs w:val="21"/>
              </w:rPr>
              <w:t>排气筒</w:t>
            </w:r>
          </w:p>
        </w:tc>
        <w:tc>
          <w:tcPr>
            <w:tcW w:w="3903" w:type="dxa"/>
            <w:vMerge w:val="restart"/>
            <w:vAlign w:val="center"/>
          </w:tcPr>
          <w:p>
            <w:pPr>
              <w:keepNext w:val="0"/>
              <w:keepLines w:val="0"/>
              <w:pageBreakBefore w:val="0"/>
              <w:widowControl/>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lang w:val="en-US" w:eastAsia="zh-CN"/>
              </w:rPr>
              <w:t>整室收集</w:t>
            </w:r>
            <w:r>
              <w:rPr>
                <w:color w:val="auto"/>
                <w:szCs w:val="21"/>
              </w:rPr>
              <w:t>+旋风除尘+冷凝器+UV光解+活性炭吸附+</w:t>
            </w:r>
            <w:r>
              <w:rPr>
                <w:rFonts w:hint="eastAsia"/>
                <w:color w:val="auto"/>
                <w:szCs w:val="21"/>
              </w:rPr>
              <w:t>15</w:t>
            </w:r>
            <w:r>
              <w:rPr>
                <w:color w:val="auto"/>
                <w:szCs w:val="21"/>
              </w:rPr>
              <w:t>m排气筒</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颗粒物</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120</w:t>
            </w:r>
            <w:r>
              <w:rPr>
                <w:bCs/>
                <w:color w:val="auto"/>
                <w:szCs w:val="21"/>
              </w:rPr>
              <w:t>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widowControl/>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苯并[a]芘</w:t>
            </w:r>
          </w:p>
        </w:tc>
        <w:tc>
          <w:tcPr>
            <w:tcW w:w="2277" w:type="dxa"/>
            <w:vAlign w:val="center"/>
          </w:tcPr>
          <w:p>
            <w:pPr>
              <w:pStyle w:val="6"/>
              <w:keepNext w:val="0"/>
              <w:keepLines w:val="0"/>
              <w:pageBreakBefore w:val="0"/>
              <w:tabs>
                <w:tab w:val="left" w:pos="425"/>
                <w:tab w:val="left" w:pos="850"/>
                <w:tab w:val="left" w:pos="1275"/>
                <w:tab w:val="left" w:pos="1700"/>
                <w:tab w:val="left" w:pos="2125"/>
                <w:tab w:val="left" w:pos="2550"/>
                <w:tab w:val="left" w:pos="5085"/>
              </w:tabs>
              <w:kinsoku/>
              <w:wordWrap/>
              <w:overflowPunct/>
              <w:topLinePunct w:val="0"/>
              <w:autoSpaceDE/>
              <w:autoSpaceDN/>
              <w:bidi w:val="0"/>
              <w:adjustRightInd w:val="0"/>
              <w:spacing w:line="20" w:lineRule="atLeast"/>
              <w:ind w:left="0" w:leftChars="0" w:right="0" w:rightChars="0" w:firstLine="0" w:firstLineChars="0"/>
              <w:jc w:val="center"/>
              <w:textAlignment w:val="baseline"/>
              <w:outlineLvl w:val="9"/>
              <w:rPr>
                <w:bCs/>
                <w:color w:val="auto"/>
                <w:kern w:val="2"/>
                <w:sz w:val="21"/>
                <w:szCs w:val="21"/>
              </w:rPr>
            </w:pPr>
            <w:r>
              <w:rPr>
                <w:bCs/>
                <w:color w:val="auto"/>
                <w:kern w:val="2"/>
                <w:sz w:val="21"/>
                <w:szCs w:val="21"/>
              </w:rPr>
              <w:t>0.0003mg/m³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widowControl/>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沥青烟</w:t>
            </w:r>
          </w:p>
        </w:tc>
        <w:tc>
          <w:tcPr>
            <w:tcW w:w="2277" w:type="dxa"/>
            <w:vAlign w:val="center"/>
          </w:tcPr>
          <w:p>
            <w:pPr>
              <w:pStyle w:val="6"/>
              <w:keepNext w:val="0"/>
              <w:keepLines w:val="0"/>
              <w:pageBreakBefore w:val="0"/>
              <w:tabs>
                <w:tab w:val="left" w:pos="425"/>
                <w:tab w:val="left" w:pos="850"/>
                <w:tab w:val="left" w:pos="1275"/>
                <w:tab w:val="left" w:pos="1700"/>
                <w:tab w:val="left" w:pos="2125"/>
                <w:tab w:val="left" w:pos="2550"/>
                <w:tab w:val="left" w:pos="5085"/>
              </w:tabs>
              <w:kinsoku/>
              <w:wordWrap/>
              <w:overflowPunct/>
              <w:topLinePunct w:val="0"/>
              <w:autoSpaceDE/>
              <w:autoSpaceDN/>
              <w:bidi w:val="0"/>
              <w:adjustRightInd w:val="0"/>
              <w:spacing w:line="20" w:lineRule="atLeast"/>
              <w:ind w:left="0" w:leftChars="0" w:right="0" w:rightChars="0" w:firstLine="0" w:firstLineChars="0"/>
              <w:jc w:val="center"/>
              <w:textAlignment w:val="baseline"/>
              <w:outlineLvl w:val="9"/>
              <w:rPr>
                <w:bCs/>
                <w:color w:val="auto"/>
                <w:kern w:val="2"/>
                <w:sz w:val="21"/>
                <w:szCs w:val="21"/>
              </w:rPr>
            </w:pPr>
            <w:r>
              <w:rPr>
                <w:bCs/>
                <w:color w:val="auto"/>
                <w:kern w:val="2"/>
                <w:sz w:val="21"/>
                <w:szCs w:val="21"/>
              </w:rPr>
              <w:t>30mg/m³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非甲烷总烃</w:t>
            </w:r>
          </w:p>
        </w:tc>
        <w:tc>
          <w:tcPr>
            <w:tcW w:w="2277" w:type="dxa"/>
            <w:vAlign w:val="center"/>
          </w:tcPr>
          <w:p>
            <w:pPr>
              <w:pStyle w:val="6"/>
              <w:keepNext w:val="0"/>
              <w:keepLines w:val="0"/>
              <w:pageBreakBefore w:val="0"/>
              <w:tabs>
                <w:tab w:val="left" w:pos="425"/>
                <w:tab w:val="left" w:pos="850"/>
                <w:tab w:val="left" w:pos="1275"/>
                <w:tab w:val="left" w:pos="1700"/>
                <w:tab w:val="left" w:pos="2125"/>
                <w:tab w:val="left" w:pos="2550"/>
                <w:tab w:val="left" w:pos="5085"/>
              </w:tabs>
              <w:kinsoku/>
              <w:wordWrap/>
              <w:overflowPunct/>
              <w:topLinePunct w:val="0"/>
              <w:autoSpaceDE/>
              <w:autoSpaceDN/>
              <w:bidi w:val="0"/>
              <w:adjustRightInd w:val="0"/>
              <w:spacing w:line="20" w:lineRule="atLeast"/>
              <w:ind w:left="0" w:leftChars="0" w:right="0" w:rightChars="0" w:firstLine="0" w:firstLineChars="0"/>
              <w:jc w:val="center"/>
              <w:textAlignment w:val="baseline"/>
              <w:outlineLvl w:val="9"/>
              <w:rPr>
                <w:bCs/>
                <w:color w:val="auto"/>
                <w:kern w:val="2"/>
                <w:sz w:val="21"/>
                <w:szCs w:val="21"/>
              </w:rPr>
            </w:pPr>
            <w:r>
              <w:rPr>
                <w:bCs/>
                <w:color w:val="auto"/>
                <w:kern w:val="2"/>
                <w:sz w:val="21"/>
                <w:szCs w:val="21"/>
              </w:rPr>
              <w:t>120mg/m³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G3排气筒</w:t>
            </w:r>
          </w:p>
        </w:tc>
        <w:tc>
          <w:tcPr>
            <w:tcW w:w="3903" w:type="dxa"/>
            <w:vMerge w:val="restart"/>
            <w:vAlign w:val="center"/>
          </w:tcPr>
          <w:p>
            <w:pPr>
              <w:keepNext w:val="0"/>
              <w:keepLines w:val="0"/>
              <w:pageBreakBefore w:val="0"/>
              <w:widowControl/>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lang w:val="en-US" w:eastAsia="zh-CN"/>
              </w:rPr>
              <w:t>导热油锅炉内</w:t>
            </w:r>
            <w:r>
              <w:rPr>
                <w:color w:val="auto"/>
                <w:szCs w:val="21"/>
              </w:rPr>
              <w:t>管道收集+15m排气筒</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rFonts w:hint="eastAsia"/>
                <w:color w:val="auto"/>
                <w:szCs w:val="21"/>
              </w:rPr>
              <w:t>颗粒物</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20</w:t>
            </w:r>
            <w:r>
              <w:rPr>
                <w:bCs/>
                <w:color w:val="auto"/>
                <w:szCs w:val="21"/>
              </w:rPr>
              <w:t>mg/m³</w:t>
            </w:r>
          </w:p>
        </w:tc>
        <w:tc>
          <w:tcPr>
            <w:tcW w:w="2114"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DB 44/765-2019</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表2新建锅炉大气污染物排放限值</w:t>
            </w: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kern w:val="0"/>
                <w:szCs w:val="21"/>
              </w:rPr>
              <w:t>SO</w:t>
            </w:r>
            <w:r>
              <w:rPr>
                <w:color w:val="auto"/>
                <w:kern w:val="0"/>
                <w:szCs w:val="21"/>
                <w:vertAlign w:val="subscript"/>
              </w:rPr>
              <w:t>2</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50</w:t>
            </w:r>
            <w:r>
              <w:rPr>
                <w:bCs/>
                <w:color w:val="auto"/>
                <w:szCs w:val="21"/>
              </w:rPr>
              <w:t>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bCs/>
                <w:color w:val="auto"/>
                <w:kern w:val="0"/>
                <w:szCs w:val="21"/>
              </w:rPr>
              <w:t>NO</w:t>
            </w:r>
            <w:r>
              <w:rPr>
                <w:bCs/>
                <w:color w:val="auto"/>
                <w:kern w:val="0"/>
                <w:szCs w:val="21"/>
                <w:vertAlign w:val="subscript"/>
              </w:rPr>
              <w:t>x</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150</w:t>
            </w:r>
            <w:r>
              <w:rPr>
                <w:bCs/>
                <w:color w:val="auto"/>
                <w:szCs w:val="21"/>
              </w:rPr>
              <w:t>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restart"/>
            <w:vAlign w:val="center"/>
          </w:tcPr>
          <w:p>
            <w:pPr>
              <w:keepNext w:val="0"/>
              <w:keepLines w:val="0"/>
              <w:pageBreakBefore w:val="0"/>
              <w:kinsoku/>
              <w:wordWrap/>
              <w:overflowPunct/>
              <w:topLinePunct w:val="0"/>
              <w:autoSpaceDE/>
              <w:autoSpaceDN/>
              <w:bidi w:val="0"/>
              <w:snapToGrid w:val="0"/>
              <w:spacing w:line="20" w:lineRule="atLeast"/>
              <w:ind w:left="0" w:leftChars="0" w:right="0" w:rightChars="0" w:firstLine="0" w:firstLineChars="0"/>
              <w:jc w:val="center"/>
              <w:outlineLvl w:val="9"/>
              <w:rPr>
                <w:color w:val="auto"/>
                <w:szCs w:val="21"/>
                <w:highlight w:val="yellow"/>
              </w:rPr>
            </w:pPr>
            <w:r>
              <w:rPr>
                <w:rFonts w:hint="eastAsia"/>
                <w:color w:val="auto"/>
                <w:szCs w:val="21"/>
              </w:rPr>
              <w:t>各生产车间</w:t>
            </w:r>
          </w:p>
        </w:tc>
        <w:tc>
          <w:tcPr>
            <w:tcW w:w="3903"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粉尘</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1</w:t>
            </w:r>
            <w:r>
              <w:rPr>
                <w:bCs/>
                <w:color w:val="auto"/>
                <w:szCs w:val="21"/>
              </w:rPr>
              <w:t>mg/m³</w:t>
            </w:r>
          </w:p>
        </w:tc>
        <w:tc>
          <w:tcPr>
            <w:tcW w:w="2114"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rPr>
            </w:pPr>
            <w:r>
              <w:rPr>
                <w:color w:val="auto"/>
              </w:rPr>
              <w:t>DB44/27-2001</w:t>
            </w:r>
          </w:p>
          <w:p>
            <w:pPr>
              <w:pStyle w:val="2"/>
              <w:keepNext w:val="0"/>
              <w:keepLines w:val="0"/>
              <w:pageBreakBefore w:val="0"/>
              <w:kinsoku/>
              <w:wordWrap/>
              <w:overflowPunct/>
              <w:topLinePunct w:val="0"/>
              <w:autoSpaceDE/>
              <w:autoSpaceDN/>
              <w:bidi w:val="0"/>
              <w:spacing w:after="0" w:line="20" w:lineRule="atLeast"/>
              <w:ind w:left="0" w:leftChars="0" w:right="0" w:rightChars="0" w:firstLine="0" w:firstLineChars="0"/>
              <w:jc w:val="center"/>
              <w:rPr>
                <w:rFonts w:hint="eastAsia" w:eastAsia="宋体"/>
                <w:color w:val="auto"/>
                <w:lang w:val="en-US" w:eastAsia="zh-CN"/>
              </w:rPr>
            </w:pPr>
            <w:r>
              <w:rPr>
                <w:rFonts w:hint="eastAsia"/>
                <w:color w:val="auto"/>
                <w:szCs w:val="21"/>
                <w:lang w:val="en-US" w:eastAsia="zh-CN"/>
              </w:rPr>
              <w:t>第二时段无组织排放监控浓度限值</w:t>
            </w:r>
          </w:p>
        </w:tc>
        <w:tc>
          <w:tcPr>
            <w:tcW w:w="1838"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厂界外无组织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napToGrid w:val="0"/>
              <w:spacing w:line="20" w:lineRule="atLeast"/>
              <w:ind w:left="0" w:leftChars="0" w:right="0" w:rightChars="0" w:firstLine="0" w:firstLineChars="0"/>
              <w:jc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非甲烷总烃</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4</w:t>
            </w:r>
            <w:r>
              <w:rPr>
                <w:bCs/>
                <w:color w:val="auto"/>
                <w:szCs w:val="21"/>
              </w:rPr>
              <w:t>mg/m³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napToGrid w:val="0"/>
              <w:spacing w:line="20" w:lineRule="atLeast"/>
              <w:ind w:left="0" w:leftChars="0" w:right="0" w:rightChars="0" w:firstLine="0" w:firstLineChars="0"/>
              <w:jc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color w:val="auto"/>
                <w:szCs w:val="21"/>
              </w:rPr>
            </w:pPr>
            <w:r>
              <w:rPr>
                <w:color w:val="auto"/>
                <w:szCs w:val="21"/>
              </w:rPr>
              <w:t>苯并[a]芘</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0.008</w:t>
            </w:r>
            <w:r>
              <w:rPr>
                <w:bCs/>
                <w:color w:val="auto"/>
                <w:szCs w:val="21"/>
              </w:rPr>
              <w:t>μg/m³</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napToGrid w:val="0"/>
              <w:spacing w:line="20" w:lineRule="atLeast"/>
              <w:ind w:left="0" w:leftChars="0" w:right="0" w:rightChars="0" w:firstLine="0" w:firstLineChars="0"/>
              <w:jc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rFonts w:hint="eastAsia" w:eastAsia="宋体"/>
                <w:color w:val="auto"/>
                <w:szCs w:val="21"/>
                <w:lang w:eastAsia="zh-CN"/>
              </w:rPr>
            </w:pPr>
            <w:r>
              <w:rPr>
                <w:rFonts w:hint="eastAsia"/>
                <w:color w:val="auto"/>
                <w:szCs w:val="21"/>
                <w:lang w:val="en-US" w:eastAsia="zh-CN"/>
              </w:rPr>
              <w:t>NMHC</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10</w:t>
            </w:r>
            <w:r>
              <w:rPr>
                <w:bCs/>
                <w:color w:val="auto"/>
                <w:szCs w:val="21"/>
              </w:rPr>
              <w:t>mg/m³</w:t>
            </w:r>
            <w:r>
              <w:rPr>
                <w:rFonts w:hint="eastAsia"/>
                <w:color w:val="auto"/>
                <w:szCs w:val="21"/>
              </w:rPr>
              <w:t>；30</w:t>
            </w:r>
            <w:r>
              <w:rPr>
                <w:bCs/>
                <w:color w:val="auto"/>
                <w:szCs w:val="21"/>
              </w:rPr>
              <w:t>mg/m³</w:t>
            </w:r>
          </w:p>
        </w:tc>
        <w:tc>
          <w:tcPr>
            <w:tcW w:w="2114"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rFonts w:hint="eastAsia"/>
                <w:color w:val="auto"/>
                <w:szCs w:val="21"/>
                <w:lang w:val="en-US" w:eastAsia="zh-CN"/>
              </w:rPr>
            </w:pPr>
            <w:r>
              <w:rPr>
                <w:color w:val="auto"/>
                <w:szCs w:val="21"/>
              </w:rPr>
              <w:t>GB37822-2019</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lang w:val="en-US" w:eastAsia="zh-CN"/>
              </w:rPr>
              <w:t>表A.1厂区内VOCs无组织排放限值</w:t>
            </w: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监控点处1h平均浓度值</w:t>
            </w:r>
            <w:r>
              <w:rPr>
                <w:rFonts w:hint="eastAsia"/>
                <w:color w:val="auto"/>
                <w:szCs w:val="21"/>
                <w:lang w:eastAsia="zh-CN"/>
              </w:rPr>
              <w:t>；</w:t>
            </w:r>
            <w:r>
              <w:rPr>
                <w:rFonts w:hint="eastAsia"/>
                <w:color w:val="auto"/>
                <w:szCs w:val="21"/>
              </w:rPr>
              <w:t>监控点处任意一次浓度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2</w:t>
            </w:r>
          </w:p>
        </w:tc>
        <w:tc>
          <w:tcPr>
            <w:tcW w:w="853"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废水</w:t>
            </w:r>
          </w:p>
        </w:tc>
        <w:tc>
          <w:tcPr>
            <w:tcW w:w="131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rPr>
            </w:pPr>
            <w:r>
              <w:rPr>
                <w:rFonts w:hint="eastAsia"/>
                <w:color w:val="auto"/>
              </w:rPr>
              <w:t>DW001</w:t>
            </w:r>
          </w:p>
          <w:p>
            <w:pPr>
              <w:pStyle w:val="2"/>
              <w:keepNext w:val="0"/>
              <w:keepLines w:val="0"/>
              <w:pageBreakBefore w:val="0"/>
              <w:kinsoku/>
              <w:wordWrap/>
              <w:overflowPunct/>
              <w:topLinePunct w:val="0"/>
              <w:autoSpaceDE/>
              <w:autoSpaceDN/>
              <w:bidi w:val="0"/>
              <w:spacing w:after="0" w:line="20" w:lineRule="atLeast"/>
              <w:ind w:left="0" w:leftChars="0" w:right="0" w:rightChars="0" w:firstLine="0" w:firstLineChars="0"/>
              <w:jc w:val="center"/>
              <w:outlineLvl w:val="9"/>
              <w:rPr>
                <w:color w:val="auto"/>
              </w:rPr>
            </w:pPr>
            <w:r>
              <w:rPr>
                <w:rFonts w:hint="eastAsia"/>
                <w:color w:val="auto"/>
                <w:szCs w:val="21"/>
              </w:rPr>
              <w:t>生活污水</w:t>
            </w:r>
          </w:p>
        </w:tc>
        <w:tc>
          <w:tcPr>
            <w:tcW w:w="3903"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经化粪池</w:t>
            </w:r>
            <w:r>
              <w:rPr>
                <w:rFonts w:hint="eastAsia"/>
                <w:color w:val="auto"/>
                <w:szCs w:val="21"/>
                <w:lang w:val="en-US" w:eastAsia="zh-CN"/>
              </w:rPr>
              <w:t>预</w:t>
            </w:r>
            <w:r>
              <w:rPr>
                <w:color w:val="auto"/>
                <w:szCs w:val="21"/>
              </w:rPr>
              <w:t>处理后</w:t>
            </w:r>
            <w:r>
              <w:rPr>
                <w:rFonts w:hint="eastAsia"/>
                <w:color w:val="auto"/>
                <w:szCs w:val="21"/>
                <w:lang w:val="en-US" w:eastAsia="zh-CN"/>
              </w:rPr>
              <w:t>经市政管网</w:t>
            </w:r>
            <w:r>
              <w:rPr>
                <w:color w:val="auto"/>
                <w:szCs w:val="21"/>
              </w:rPr>
              <w:t>纳入城镇污水处理厂进一步处理</w:t>
            </w:r>
          </w:p>
        </w:tc>
        <w:tc>
          <w:tcPr>
            <w:tcW w:w="1330" w:type="dxa"/>
            <w:vAlign w:val="center"/>
          </w:tcPr>
          <w:p>
            <w:pPr>
              <w:keepNext w:val="0"/>
              <w:keepLines w:val="0"/>
              <w:pageBreakBefore w:val="0"/>
              <w:kinsoku/>
              <w:wordWrap/>
              <w:overflowPunct/>
              <w:topLinePunct w:val="0"/>
              <w:autoSpaceDE/>
              <w:autoSpaceDN/>
              <w:bidi w:val="0"/>
              <w:adjustRightInd w:val="0"/>
              <w:snapToGrid w:val="0"/>
              <w:spacing w:line="20" w:lineRule="atLeast"/>
              <w:ind w:left="0" w:leftChars="0" w:right="0" w:rightChars="0" w:firstLine="0" w:firstLineChars="0"/>
              <w:jc w:val="center"/>
              <w:outlineLvl w:val="9"/>
              <w:rPr>
                <w:color w:val="auto"/>
                <w:szCs w:val="21"/>
              </w:rPr>
            </w:pPr>
            <w:r>
              <w:rPr>
                <w:color w:val="auto"/>
                <w:szCs w:val="21"/>
              </w:rPr>
              <w:t>COD</w:t>
            </w:r>
            <w:r>
              <w:rPr>
                <w:color w:val="auto"/>
                <w:szCs w:val="21"/>
                <w:vertAlign w:val="subscript"/>
              </w:rPr>
              <w:t>cr</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bCs/>
                <w:color w:val="auto"/>
                <w:szCs w:val="21"/>
              </w:rPr>
            </w:pPr>
            <w:r>
              <w:rPr>
                <w:bCs/>
                <w:color w:val="auto"/>
                <w:szCs w:val="21"/>
              </w:rPr>
              <w:t>375</w:t>
            </w:r>
            <w:r>
              <w:rPr>
                <w:bCs/>
                <w:color w:val="auto"/>
                <w:szCs w:val="28"/>
              </w:rPr>
              <w:t>mg/L</w:t>
            </w:r>
          </w:p>
        </w:tc>
        <w:tc>
          <w:tcPr>
            <w:tcW w:w="2114"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污水处理厂进水水质要求</w:t>
            </w: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adjustRightInd w:val="0"/>
              <w:snapToGrid w:val="0"/>
              <w:spacing w:line="20" w:lineRule="atLeast"/>
              <w:ind w:left="0" w:leftChars="0" w:right="0" w:rightChars="0" w:firstLine="0" w:firstLineChars="0"/>
              <w:jc w:val="center"/>
              <w:outlineLvl w:val="9"/>
              <w:rPr>
                <w:color w:val="auto"/>
                <w:szCs w:val="21"/>
              </w:rPr>
            </w:pPr>
            <w:r>
              <w:rPr>
                <w:color w:val="auto"/>
                <w:szCs w:val="21"/>
              </w:rPr>
              <w:t>BOD</w:t>
            </w:r>
            <w:r>
              <w:rPr>
                <w:color w:val="auto"/>
                <w:szCs w:val="21"/>
                <w:vertAlign w:val="subscript"/>
              </w:rPr>
              <w:t>5</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bCs/>
                <w:color w:val="auto"/>
                <w:szCs w:val="21"/>
              </w:rPr>
            </w:pPr>
            <w:r>
              <w:rPr>
                <w:bCs/>
                <w:color w:val="auto"/>
                <w:szCs w:val="21"/>
              </w:rPr>
              <w:t>196</w:t>
            </w:r>
            <w:r>
              <w:rPr>
                <w:bCs/>
                <w:color w:val="auto"/>
                <w:szCs w:val="28"/>
              </w:rPr>
              <w:t>mg/L</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adjustRightInd w:val="0"/>
              <w:snapToGrid w:val="0"/>
              <w:spacing w:line="20" w:lineRule="atLeast"/>
              <w:ind w:left="0" w:leftChars="0" w:right="0" w:rightChars="0" w:firstLine="0" w:firstLineChars="0"/>
              <w:jc w:val="center"/>
              <w:outlineLvl w:val="9"/>
              <w:rPr>
                <w:color w:val="auto"/>
                <w:szCs w:val="21"/>
              </w:rPr>
            </w:pPr>
            <w:r>
              <w:rPr>
                <w:color w:val="auto"/>
                <w:szCs w:val="21"/>
              </w:rPr>
              <w:t>SS</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bCs/>
                <w:color w:val="auto"/>
                <w:szCs w:val="21"/>
              </w:rPr>
            </w:pPr>
            <w:r>
              <w:rPr>
                <w:bCs/>
                <w:color w:val="auto"/>
                <w:szCs w:val="21"/>
              </w:rPr>
              <w:t>400</w:t>
            </w:r>
            <w:r>
              <w:rPr>
                <w:bCs/>
                <w:color w:val="auto"/>
                <w:szCs w:val="28"/>
              </w:rPr>
              <w:t>mg/L</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390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30" w:type="dxa"/>
            <w:vAlign w:val="center"/>
          </w:tcPr>
          <w:p>
            <w:pPr>
              <w:keepNext w:val="0"/>
              <w:keepLines w:val="0"/>
              <w:pageBreakBefore w:val="0"/>
              <w:kinsoku/>
              <w:wordWrap/>
              <w:overflowPunct/>
              <w:topLinePunct w:val="0"/>
              <w:autoSpaceDE/>
              <w:autoSpaceDN/>
              <w:bidi w:val="0"/>
              <w:adjustRightInd w:val="0"/>
              <w:snapToGrid w:val="0"/>
              <w:spacing w:line="20" w:lineRule="atLeast"/>
              <w:ind w:left="0" w:leftChars="0" w:right="0" w:rightChars="0" w:firstLine="0" w:firstLineChars="0"/>
              <w:jc w:val="center"/>
              <w:outlineLvl w:val="9"/>
              <w:rPr>
                <w:color w:val="auto"/>
                <w:szCs w:val="21"/>
              </w:rPr>
            </w:pPr>
            <w:r>
              <w:rPr>
                <w:color w:val="auto"/>
                <w:szCs w:val="21"/>
              </w:rPr>
              <w:t>氨氮</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outlineLvl w:val="9"/>
              <w:rPr>
                <w:bCs/>
                <w:color w:val="auto"/>
                <w:szCs w:val="21"/>
              </w:rPr>
            </w:pPr>
            <w:r>
              <w:rPr>
                <w:bCs/>
                <w:color w:val="auto"/>
                <w:szCs w:val="21"/>
              </w:rPr>
              <w:t>41</w:t>
            </w:r>
            <w:r>
              <w:rPr>
                <w:bCs/>
                <w:color w:val="auto"/>
                <w:szCs w:val="28"/>
              </w:rPr>
              <w:t>mg/L</w:t>
            </w:r>
          </w:p>
        </w:tc>
        <w:tc>
          <w:tcPr>
            <w:tcW w:w="2114"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3</w:t>
            </w:r>
          </w:p>
        </w:tc>
        <w:tc>
          <w:tcPr>
            <w:tcW w:w="853"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噪声</w:t>
            </w:r>
          </w:p>
        </w:tc>
        <w:tc>
          <w:tcPr>
            <w:tcW w:w="131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厂界</w:t>
            </w:r>
          </w:p>
        </w:tc>
        <w:tc>
          <w:tcPr>
            <w:tcW w:w="3903"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隔声、减振</w:t>
            </w:r>
            <w:r>
              <w:rPr>
                <w:rFonts w:hint="eastAsia"/>
                <w:color w:val="auto"/>
                <w:szCs w:val="21"/>
                <w:lang w:val="en-US" w:eastAsia="zh-CN"/>
              </w:rPr>
              <w:t>措施</w:t>
            </w:r>
          </w:p>
        </w:tc>
        <w:tc>
          <w:tcPr>
            <w:tcW w:w="1330"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LeqdB（A）</w:t>
            </w:r>
          </w:p>
        </w:tc>
        <w:tc>
          <w:tcPr>
            <w:tcW w:w="2277"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昼间：≤65dB（A）；</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夜间≤55 dB（A）</w:t>
            </w:r>
          </w:p>
        </w:tc>
        <w:tc>
          <w:tcPr>
            <w:tcW w:w="2114"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GB12348-2008</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3类标准</w:t>
            </w: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4</w:t>
            </w:r>
          </w:p>
        </w:tc>
        <w:tc>
          <w:tcPr>
            <w:tcW w:w="853" w:type="dxa"/>
            <w:vMerge w:val="restart"/>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固体</w:t>
            </w:r>
          </w:p>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废物</w:t>
            </w:r>
          </w:p>
        </w:tc>
        <w:tc>
          <w:tcPr>
            <w:tcW w:w="1317" w:type="dxa"/>
            <w:vAlign w:val="center"/>
          </w:tcPr>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color w:val="auto"/>
                <w:kern w:val="0"/>
                <w:szCs w:val="21"/>
              </w:rPr>
              <w:t>危险废物</w:t>
            </w:r>
          </w:p>
        </w:tc>
        <w:tc>
          <w:tcPr>
            <w:tcW w:w="3903" w:type="dxa"/>
            <w:vAlign w:val="center"/>
          </w:tcPr>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rFonts w:hint="eastAsia"/>
                <w:color w:val="auto"/>
                <w:kern w:val="0"/>
                <w:szCs w:val="21"/>
              </w:rPr>
              <w:t>设置35m</w:t>
            </w:r>
            <w:r>
              <w:rPr>
                <w:rFonts w:hint="eastAsia"/>
                <w:color w:val="auto"/>
                <w:kern w:val="0"/>
                <w:szCs w:val="21"/>
                <w:vertAlign w:val="superscript"/>
              </w:rPr>
              <w:t>2</w:t>
            </w:r>
            <w:r>
              <w:rPr>
                <w:rFonts w:hint="eastAsia"/>
                <w:color w:val="auto"/>
                <w:kern w:val="0"/>
                <w:szCs w:val="21"/>
              </w:rPr>
              <w:t>的危废暂存间；</w:t>
            </w:r>
          </w:p>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rFonts w:hint="eastAsia"/>
                <w:color w:val="auto"/>
                <w:kern w:val="0"/>
                <w:szCs w:val="21"/>
              </w:rPr>
              <w:t>危险废物定期</w:t>
            </w:r>
            <w:r>
              <w:rPr>
                <w:color w:val="auto"/>
                <w:kern w:val="0"/>
                <w:szCs w:val="21"/>
              </w:rPr>
              <w:t>交由有资质单位回收处理</w:t>
            </w:r>
          </w:p>
        </w:tc>
        <w:tc>
          <w:tcPr>
            <w:tcW w:w="1330" w:type="dxa"/>
            <w:vAlign w:val="center"/>
          </w:tcPr>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rFonts w:hint="eastAsia"/>
                <w:color w:val="auto"/>
                <w:kern w:val="0"/>
                <w:szCs w:val="21"/>
              </w:rPr>
              <w:t>/</w:t>
            </w:r>
          </w:p>
        </w:tc>
        <w:tc>
          <w:tcPr>
            <w:tcW w:w="4391" w:type="dxa"/>
            <w:gridSpan w:val="2"/>
            <w:vMerge w:val="restart"/>
            <w:vAlign w:val="center"/>
          </w:tcPr>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color w:val="auto"/>
                <w:kern w:val="0"/>
                <w:szCs w:val="21"/>
              </w:rPr>
              <w:t>（1）厂区临时堆放场所规范化建设和管理情况；</w:t>
            </w:r>
            <w:r>
              <w:rPr>
                <w:color w:val="auto"/>
                <w:szCs w:val="21"/>
              </w:rPr>
              <w:t>（2）固体废物转移文件和转移去向是否符合环保要求</w:t>
            </w: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853" w:type="dxa"/>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317" w:type="dxa"/>
            <w:vAlign w:val="center"/>
          </w:tcPr>
          <w:p>
            <w:pPr>
              <w:keepNext w:val="0"/>
              <w:keepLines w:val="0"/>
              <w:pageBreakBefore w:val="0"/>
              <w:tabs>
                <w:tab w:val="left" w:pos="0"/>
              </w:tabs>
              <w:kinsoku/>
              <w:wordWrap/>
              <w:overflowPunct/>
              <w:topLinePunct w:val="0"/>
              <w:autoSpaceDE/>
              <w:autoSpaceDN/>
              <w:bidi w:val="0"/>
              <w:spacing w:line="20" w:lineRule="atLeast"/>
              <w:ind w:left="0" w:leftChars="0" w:right="0" w:rightChars="0" w:firstLine="0" w:firstLineChars="0"/>
              <w:jc w:val="center"/>
              <w:textAlignment w:val="baseline"/>
              <w:outlineLvl w:val="9"/>
              <w:rPr>
                <w:color w:val="auto"/>
                <w:kern w:val="0"/>
                <w:szCs w:val="21"/>
              </w:rPr>
            </w:pPr>
            <w:r>
              <w:rPr>
                <w:color w:val="auto"/>
                <w:kern w:val="0"/>
                <w:szCs w:val="21"/>
              </w:rPr>
              <w:t>生活垃圾</w:t>
            </w:r>
          </w:p>
        </w:tc>
        <w:tc>
          <w:tcPr>
            <w:tcW w:w="3903"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color w:val="auto"/>
                <w:szCs w:val="21"/>
              </w:rPr>
              <w:t>交由环卫部门处理</w:t>
            </w:r>
          </w:p>
        </w:tc>
        <w:tc>
          <w:tcPr>
            <w:tcW w:w="1330" w:type="dxa"/>
            <w:vAlign w:val="center"/>
          </w:tcPr>
          <w:p>
            <w:pPr>
              <w:pStyle w:val="2"/>
              <w:keepNext w:val="0"/>
              <w:keepLines w:val="0"/>
              <w:pageBreakBefore w:val="0"/>
              <w:kinsoku/>
              <w:wordWrap/>
              <w:overflowPunct/>
              <w:topLinePunct w:val="0"/>
              <w:autoSpaceDE/>
              <w:autoSpaceDN/>
              <w:bidi w:val="0"/>
              <w:spacing w:after="0" w:line="20" w:lineRule="atLeast"/>
              <w:ind w:left="0" w:leftChars="0" w:right="0" w:rightChars="0" w:firstLine="0" w:firstLineChars="0"/>
              <w:jc w:val="center"/>
              <w:outlineLvl w:val="9"/>
              <w:rPr>
                <w:color w:val="auto"/>
              </w:rPr>
            </w:pPr>
            <w:r>
              <w:rPr>
                <w:rFonts w:hint="eastAsia" w:ascii="Times New Roman"/>
                <w:color w:val="auto"/>
                <w:szCs w:val="21"/>
              </w:rPr>
              <w:t>/</w:t>
            </w:r>
          </w:p>
        </w:tc>
        <w:tc>
          <w:tcPr>
            <w:tcW w:w="4391" w:type="dxa"/>
            <w:gridSpan w:val="2"/>
            <w:vMerge w:val="continue"/>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p>
        </w:tc>
        <w:tc>
          <w:tcPr>
            <w:tcW w:w="1838" w:type="dxa"/>
            <w:vAlign w:val="center"/>
          </w:tcPr>
          <w:p>
            <w:pPr>
              <w:keepNext w:val="0"/>
              <w:keepLines w:val="0"/>
              <w:pageBreakBefore w:val="0"/>
              <w:kinsoku/>
              <w:wordWrap/>
              <w:overflowPunct/>
              <w:topLinePunct w:val="0"/>
              <w:autoSpaceDE/>
              <w:autoSpaceDN/>
              <w:bidi w:val="0"/>
              <w:spacing w:line="20" w:lineRule="atLeast"/>
              <w:ind w:left="0" w:leftChars="0" w:right="0" w:rightChars="0" w:firstLine="0" w:firstLineChars="0"/>
              <w:jc w:val="center"/>
              <w:textAlignment w:val="center"/>
              <w:outlineLvl w:val="9"/>
              <w:rPr>
                <w:color w:val="auto"/>
                <w:szCs w:val="21"/>
              </w:rPr>
            </w:pPr>
            <w:r>
              <w:rPr>
                <w:rFonts w:hint="eastAsia"/>
                <w:color w:val="auto"/>
                <w:szCs w:val="21"/>
              </w:rPr>
              <w:t>/</w:t>
            </w:r>
          </w:p>
        </w:tc>
      </w:tr>
    </w:tbl>
    <w:p>
      <w:pPr>
        <w:pStyle w:val="13"/>
        <w:rPr>
          <w:color w:val="auto"/>
        </w:rPr>
        <w:sectPr>
          <w:pgSz w:w="16838" w:h="11906" w:orient="landscape"/>
          <w:pgMar w:top="1167" w:right="1417" w:bottom="1079" w:left="1417" w:header="850" w:footer="992" w:gutter="0"/>
          <w:pgBorders>
            <w:top w:val="none" w:sz="0" w:space="0"/>
            <w:left w:val="none" w:sz="0" w:space="0"/>
            <w:bottom w:val="none" w:sz="0" w:space="0"/>
            <w:right w:val="none" w:sz="0" w:space="0"/>
          </w:pgBorders>
          <w:cols w:space="0" w:num="1"/>
          <w:docGrid w:type="lines" w:linePitch="318" w:charSpace="0"/>
        </w:sectPr>
      </w:pPr>
    </w:p>
    <w:bookmarkEnd w:id="3270"/>
    <w:bookmarkEnd w:id="3271"/>
    <w:p>
      <w:pPr>
        <w:pStyle w:val="4"/>
        <w:numPr>
          <w:ilvl w:val="0"/>
          <w:numId w:val="0"/>
        </w:numPr>
        <w:spacing w:before="159" w:after="159"/>
        <w:ind w:left="568"/>
        <w:rPr>
          <w:color w:val="auto"/>
          <w:sz w:val="44"/>
          <w:szCs w:val="44"/>
        </w:rPr>
      </w:pPr>
      <w:bookmarkStart w:id="3279" w:name="_Toc15025"/>
      <w:bookmarkStart w:id="3280" w:name="_Toc19667"/>
      <w:bookmarkStart w:id="3281" w:name="_Toc12959355"/>
      <w:r>
        <w:rPr>
          <w:rFonts w:hint="eastAsia"/>
          <w:color w:val="auto"/>
          <w:sz w:val="44"/>
          <w:szCs w:val="44"/>
        </w:rPr>
        <w:t xml:space="preserve">11  </w:t>
      </w:r>
      <w:r>
        <w:rPr>
          <w:color w:val="auto"/>
          <w:sz w:val="44"/>
          <w:szCs w:val="44"/>
        </w:rPr>
        <w:t>项目合理合法性分析</w:t>
      </w:r>
      <w:bookmarkEnd w:id="3279"/>
      <w:bookmarkEnd w:id="3280"/>
      <w:bookmarkEnd w:id="3281"/>
    </w:p>
    <w:p>
      <w:pPr>
        <w:pStyle w:val="5"/>
        <w:numPr>
          <w:ilvl w:val="1"/>
          <w:numId w:val="0"/>
        </w:numPr>
        <w:tabs>
          <w:tab w:val="clear" w:pos="720"/>
        </w:tabs>
        <w:spacing w:before="159" w:after="159"/>
        <w:rPr>
          <w:color w:val="auto"/>
          <w:sz w:val="32"/>
          <w:szCs w:val="21"/>
        </w:rPr>
      </w:pPr>
      <w:bookmarkStart w:id="3282" w:name="_Toc18883"/>
      <w:bookmarkStart w:id="3283" w:name="_Toc15759"/>
      <w:bookmarkStart w:id="3284" w:name="_Toc12959356"/>
      <w:r>
        <w:rPr>
          <w:rFonts w:hint="eastAsia"/>
          <w:color w:val="auto"/>
          <w:sz w:val="32"/>
          <w:szCs w:val="21"/>
        </w:rPr>
        <w:t xml:space="preserve">11.1  </w:t>
      </w:r>
      <w:r>
        <w:rPr>
          <w:color w:val="auto"/>
          <w:sz w:val="32"/>
          <w:szCs w:val="21"/>
        </w:rPr>
        <w:t>政策相符性分析</w:t>
      </w:r>
      <w:bookmarkEnd w:id="3282"/>
      <w:bookmarkEnd w:id="3283"/>
      <w:bookmarkEnd w:id="3284"/>
    </w:p>
    <w:p>
      <w:pPr>
        <w:autoSpaceDE w:val="0"/>
        <w:autoSpaceDN w:val="0"/>
        <w:adjustRightInd w:val="0"/>
        <w:spacing w:line="360" w:lineRule="auto"/>
        <w:ind w:firstLine="482" w:firstLineChars="200"/>
        <w:jc w:val="left"/>
        <w:rPr>
          <w:b/>
          <w:bCs/>
          <w:color w:val="auto"/>
          <w:sz w:val="24"/>
        </w:rPr>
      </w:pPr>
      <w:r>
        <w:rPr>
          <w:b/>
          <w:bCs/>
          <w:color w:val="auto"/>
          <w:sz w:val="24"/>
        </w:rPr>
        <w:t xml:space="preserve">1、与产业政策的相符性分析 </w:t>
      </w:r>
    </w:p>
    <w:p>
      <w:pPr>
        <w:autoSpaceDE w:val="0"/>
        <w:autoSpaceDN w:val="0"/>
        <w:adjustRightInd w:val="0"/>
        <w:spacing w:line="360" w:lineRule="auto"/>
        <w:ind w:firstLine="480" w:firstLineChars="200"/>
        <w:jc w:val="left"/>
        <w:rPr>
          <w:color w:val="auto"/>
          <w:sz w:val="24"/>
        </w:rPr>
      </w:pPr>
      <w:r>
        <w:rPr>
          <w:color w:val="auto"/>
          <w:sz w:val="24"/>
        </w:rPr>
        <w:t>本</w:t>
      </w:r>
      <w:r>
        <w:rPr>
          <w:rFonts w:hint="eastAsia"/>
          <w:color w:val="auto"/>
          <w:sz w:val="24"/>
        </w:rPr>
        <w:t>迁改扩建</w:t>
      </w:r>
      <w:r>
        <w:rPr>
          <w:color w:val="auto"/>
          <w:sz w:val="24"/>
        </w:rPr>
        <w:t>项目为</w:t>
      </w:r>
      <w:r>
        <w:rPr>
          <w:rFonts w:hint="eastAsia"/>
          <w:color w:val="auto"/>
          <w:sz w:val="24"/>
        </w:rPr>
        <w:t>综合利用废覆铜板制造防水卷材项目</w:t>
      </w:r>
      <w:r>
        <w:rPr>
          <w:color w:val="auto"/>
          <w:sz w:val="24"/>
        </w:rPr>
        <w:t>，本项目与各类产业政策的相符性见下表。</w:t>
      </w:r>
    </w:p>
    <w:p>
      <w:pPr>
        <w:pStyle w:val="2"/>
        <w:ind w:firstLine="422"/>
        <w:jc w:val="center"/>
        <w:rPr>
          <w:rFonts w:ascii="Times New Roman"/>
          <w:b/>
          <w:bCs/>
          <w:color w:val="auto"/>
          <w:sz w:val="21"/>
          <w:szCs w:val="21"/>
        </w:rPr>
      </w:pPr>
      <w:r>
        <w:rPr>
          <w:rFonts w:ascii="Times New Roman"/>
          <w:b/>
          <w:bCs/>
          <w:color w:val="auto"/>
          <w:sz w:val="21"/>
          <w:szCs w:val="21"/>
        </w:rPr>
        <w:t>表</w:t>
      </w:r>
      <w:r>
        <w:rPr>
          <w:rFonts w:hint="eastAsia" w:ascii="Times New Roman"/>
          <w:b/>
          <w:bCs/>
          <w:color w:val="auto"/>
          <w:sz w:val="21"/>
          <w:szCs w:val="21"/>
        </w:rPr>
        <w:t>11</w:t>
      </w:r>
      <w:r>
        <w:rPr>
          <w:rFonts w:ascii="Times New Roman"/>
          <w:b/>
          <w:bCs/>
          <w:color w:val="auto"/>
          <w:sz w:val="21"/>
          <w:szCs w:val="21"/>
        </w:rPr>
        <w:t>.1-1</w:t>
      </w:r>
      <w:r>
        <w:rPr>
          <w:rFonts w:hint="eastAsia" w:ascii="Times New Roman"/>
          <w:b/>
          <w:bCs/>
          <w:color w:val="auto"/>
          <w:sz w:val="21"/>
          <w:szCs w:val="21"/>
        </w:rPr>
        <w:t xml:space="preserve">  </w:t>
      </w:r>
      <w:r>
        <w:rPr>
          <w:rFonts w:ascii="Times New Roman"/>
          <w:b/>
          <w:bCs/>
          <w:color w:val="auto"/>
          <w:sz w:val="21"/>
          <w:szCs w:val="21"/>
        </w:rPr>
        <w:t>本项目与各类产业政策相符性分析一览表</w:t>
      </w:r>
    </w:p>
    <w:tbl>
      <w:tblPr>
        <w:tblStyle w:val="24"/>
        <w:tblW w:w="89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3346"/>
        <w:gridCol w:w="4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pPr>
              <w:autoSpaceDE w:val="0"/>
              <w:autoSpaceDN w:val="0"/>
              <w:adjustRightInd w:val="0"/>
              <w:spacing w:line="300" w:lineRule="auto"/>
              <w:jc w:val="center"/>
              <w:rPr>
                <w:color w:val="auto"/>
                <w:szCs w:val="21"/>
              </w:rPr>
            </w:pPr>
            <w:r>
              <w:rPr>
                <w:color w:val="auto"/>
                <w:szCs w:val="21"/>
              </w:rPr>
              <w:t>序号</w:t>
            </w:r>
          </w:p>
        </w:tc>
        <w:tc>
          <w:tcPr>
            <w:tcW w:w="3346" w:type="dxa"/>
            <w:vAlign w:val="center"/>
          </w:tcPr>
          <w:p>
            <w:pPr>
              <w:autoSpaceDE w:val="0"/>
              <w:autoSpaceDN w:val="0"/>
              <w:adjustRightInd w:val="0"/>
              <w:spacing w:line="300" w:lineRule="auto"/>
              <w:jc w:val="center"/>
              <w:rPr>
                <w:color w:val="auto"/>
                <w:szCs w:val="21"/>
              </w:rPr>
            </w:pPr>
            <w:r>
              <w:rPr>
                <w:color w:val="auto"/>
                <w:szCs w:val="21"/>
              </w:rPr>
              <w:t>产业政策</w:t>
            </w:r>
          </w:p>
        </w:tc>
        <w:tc>
          <w:tcPr>
            <w:tcW w:w="4720" w:type="dxa"/>
            <w:vAlign w:val="center"/>
          </w:tcPr>
          <w:p>
            <w:pPr>
              <w:autoSpaceDE w:val="0"/>
              <w:autoSpaceDN w:val="0"/>
              <w:adjustRightInd w:val="0"/>
              <w:spacing w:line="300" w:lineRule="auto"/>
              <w:jc w:val="center"/>
              <w:rPr>
                <w:color w:val="auto"/>
                <w:szCs w:val="21"/>
              </w:rPr>
            </w:pPr>
            <w:r>
              <w:rPr>
                <w:color w:val="auto"/>
                <w:szCs w:val="21"/>
              </w:rPr>
              <w:t>本项目与其相符性分析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pPr>
              <w:autoSpaceDE w:val="0"/>
              <w:autoSpaceDN w:val="0"/>
              <w:adjustRightInd w:val="0"/>
              <w:spacing w:line="300" w:lineRule="auto"/>
              <w:jc w:val="center"/>
              <w:rPr>
                <w:color w:val="auto"/>
                <w:szCs w:val="21"/>
              </w:rPr>
            </w:pPr>
            <w:r>
              <w:rPr>
                <w:color w:val="auto"/>
                <w:szCs w:val="21"/>
              </w:rPr>
              <w:t>1</w:t>
            </w:r>
          </w:p>
        </w:tc>
        <w:tc>
          <w:tcPr>
            <w:tcW w:w="3346" w:type="dxa"/>
            <w:vAlign w:val="center"/>
          </w:tcPr>
          <w:p>
            <w:pPr>
              <w:autoSpaceDE w:val="0"/>
              <w:autoSpaceDN w:val="0"/>
              <w:adjustRightInd w:val="0"/>
              <w:spacing w:line="300" w:lineRule="auto"/>
              <w:jc w:val="center"/>
              <w:rPr>
                <w:color w:val="auto"/>
                <w:szCs w:val="21"/>
              </w:rPr>
            </w:pPr>
            <w:r>
              <w:rPr>
                <w:color w:val="auto"/>
                <w:szCs w:val="21"/>
              </w:rPr>
              <w:t>《产业结构调整指导目录（2019年本）》</w:t>
            </w:r>
            <w:r>
              <w:rPr>
                <w:rFonts w:hint="eastAsia"/>
                <w:color w:val="auto"/>
                <w:szCs w:val="21"/>
              </w:rPr>
              <w:t>（中华人民共和国国家发展和改革委员会令第29号）</w:t>
            </w:r>
          </w:p>
        </w:tc>
        <w:tc>
          <w:tcPr>
            <w:tcW w:w="4720" w:type="dxa"/>
            <w:vAlign w:val="center"/>
          </w:tcPr>
          <w:p>
            <w:pPr>
              <w:autoSpaceDE w:val="0"/>
              <w:autoSpaceDN w:val="0"/>
              <w:adjustRightInd w:val="0"/>
              <w:spacing w:line="300" w:lineRule="auto"/>
              <w:jc w:val="center"/>
              <w:rPr>
                <w:color w:val="auto"/>
                <w:szCs w:val="21"/>
              </w:rPr>
            </w:pPr>
            <w:r>
              <w:rPr>
                <w:rFonts w:hint="eastAsia"/>
                <w:color w:val="auto"/>
                <w:szCs w:val="21"/>
              </w:rPr>
              <w:t>本</w:t>
            </w:r>
            <w:r>
              <w:rPr>
                <w:color w:val="auto"/>
                <w:szCs w:val="21"/>
              </w:rPr>
              <w:t>项目属于指导目录中的“四十三、环境保护与资源节约综合利用——15、“三废”综合利用与治理技术、装备和工程。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pPr>
              <w:autoSpaceDE w:val="0"/>
              <w:autoSpaceDN w:val="0"/>
              <w:adjustRightInd w:val="0"/>
              <w:spacing w:line="300" w:lineRule="auto"/>
              <w:jc w:val="center"/>
              <w:rPr>
                <w:color w:val="auto"/>
                <w:szCs w:val="21"/>
              </w:rPr>
            </w:pPr>
            <w:r>
              <w:rPr>
                <w:color w:val="auto"/>
                <w:szCs w:val="21"/>
              </w:rPr>
              <w:t>2</w:t>
            </w:r>
          </w:p>
        </w:tc>
        <w:tc>
          <w:tcPr>
            <w:tcW w:w="3346" w:type="dxa"/>
            <w:vAlign w:val="center"/>
          </w:tcPr>
          <w:p>
            <w:pPr>
              <w:autoSpaceDE w:val="0"/>
              <w:autoSpaceDN w:val="0"/>
              <w:adjustRightInd w:val="0"/>
              <w:spacing w:line="300" w:lineRule="auto"/>
              <w:jc w:val="center"/>
              <w:rPr>
                <w:color w:val="auto"/>
                <w:szCs w:val="21"/>
              </w:rPr>
            </w:pPr>
            <w:r>
              <w:rPr>
                <w:color w:val="auto"/>
                <w:szCs w:val="21"/>
              </w:rPr>
              <w:t>《绿色产业指导目录（2019年版）》</w:t>
            </w:r>
            <w:r>
              <w:rPr>
                <w:rFonts w:hint="eastAsia"/>
                <w:color w:val="auto"/>
                <w:szCs w:val="21"/>
              </w:rPr>
              <w:t>（发改环资〔</w:t>
            </w:r>
            <w:r>
              <w:rPr>
                <w:color w:val="auto"/>
                <w:szCs w:val="21"/>
              </w:rPr>
              <w:t>2019</w:t>
            </w:r>
            <w:r>
              <w:rPr>
                <w:rFonts w:hint="eastAsia"/>
                <w:color w:val="auto"/>
                <w:szCs w:val="21"/>
              </w:rPr>
              <w:t>〕</w:t>
            </w:r>
            <w:r>
              <w:rPr>
                <w:color w:val="auto"/>
                <w:szCs w:val="21"/>
              </w:rPr>
              <w:t>293</w:t>
            </w:r>
            <w:r>
              <w:rPr>
                <w:rFonts w:hint="eastAsia"/>
                <w:color w:val="auto"/>
                <w:szCs w:val="21"/>
              </w:rPr>
              <w:t>号）</w:t>
            </w:r>
          </w:p>
        </w:tc>
        <w:tc>
          <w:tcPr>
            <w:tcW w:w="4720" w:type="dxa"/>
            <w:vAlign w:val="center"/>
          </w:tcPr>
          <w:p>
            <w:pPr>
              <w:autoSpaceDE w:val="0"/>
              <w:autoSpaceDN w:val="0"/>
              <w:adjustRightInd w:val="0"/>
              <w:spacing w:line="300" w:lineRule="auto"/>
              <w:jc w:val="center"/>
              <w:rPr>
                <w:color w:val="auto"/>
                <w:szCs w:val="21"/>
              </w:rPr>
            </w:pPr>
            <w:r>
              <w:rPr>
                <w:color w:val="auto"/>
                <w:szCs w:val="21"/>
              </w:rPr>
              <w:t>本项目属于“1.7 资源循环利用—1.7.2 废旧资源再生利用”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pPr>
              <w:autoSpaceDE w:val="0"/>
              <w:autoSpaceDN w:val="0"/>
              <w:adjustRightInd w:val="0"/>
              <w:spacing w:line="300" w:lineRule="auto"/>
              <w:jc w:val="center"/>
              <w:rPr>
                <w:color w:val="auto"/>
                <w:szCs w:val="21"/>
              </w:rPr>
            </w:pPr>
            <w:r>
              <w:rPr>
                <w:rFonts w:hint="eastAsia"/>
                <w:color w:val="auto"/>
                <w:szCs w:val="21"/>
              </w:rPr>
              <w:t>3</w:t>
            </w:r>
          </w:p>
        </w:tc>
        <w:tc>
          <w:tcPr>
            <w:tcW w:w="3346" w:type="dxa"/>
            <w:vAlign w:val="center"/>
          </w:tcPr>
          <w:p>
            <w:pPr>
              <w:autoSpaceDE w:val="0"/>
              <w:autoSpaceDN w:val="0"/>
              <w:adjustRightInd w:val="0"/>
              <w:spacing w:line="300" w:lineRule="auto"/>
              <w:jc w:val="center"/>
              <w:rPr>
                <w:color w:val="auto"/>
                <w:szCs w:val="21"/>
              </w:rPr>
            </w:pPr>
            <w:r>
              <w:rPr>
                <w:color w:val="auto"/>
                <w:szCs w:val="21"/>
              </w:rPr>
              <w:t>《清远市生态发展区产业发展指引（试行）》</w:t>
            </w:r>
          </w:p>
        </w:tc>
        <w:tc>
          <w:tcPr>
            <w:tcW w:w="4720" w:type="dxa"/>
            <w:vAlign w:val="center"/>
          </w:tcPr>
          <w:p>
            <w:pPr>
              <w:autoSpaceDE w:val="0"/>
              <w:autoSpaceDN w:val="0"/>
              <w:adjustRightInd w:val="0"/>
              <w:spacing w:line="300" w:lineRule="auto"/>
              <w:jc w:val="center"/>
              <w:rPr>
                <w:color w:val="auto"/>
                <w:szCs w:val="21"/>
              </w:rPr>
            </w:pPr>
            <w:r>
              <w:rPr>
                <w:color w:val="auto"/>
                <w:szCs w:val="21"/>
              </w:rPr>
              <w:t xml:space="preserve"> </w:t>
            </w:r>
            <w:r>
              <w:rPr>
                <w:rFonts w:hint="eastAsia"/>
                <w:color w:val="auto"/>
                <w:szCs w:val="21"/>
              </w:rPr>
              <w:t>本项目属于“与生态发展区不相适应的产业</w:t>
            </w:r>
            <w:r>
              <w:rPr>
                <w:color w:val="auto"/>
                <w:szCs w:val="21"/>
              </w:rPr>
              <w:t>10、废旧资源综合利用及处置</w:t>
            </w:r>
            <w:r>
              <w:rPr>
                <w:rFonts w:hint="eastAsia"/>
                <w:color w:val="auto"/>
                <w:szCs w:val="21"/>
              </w:rPr>
              <w:t>—</w:t>
            </w:r>
            <w:r>
              <w:rPr>
                <w:color w:val="auto"/>
                <w:szCs w:val="21"/>
              </w:rPr>
              <w:t>废轮胎、废电子电器产品、废电（线）路板、废覆铜板拆解综合利用及处置项目</w:t>
            </w:r>
            <w:r>
              <w:rPr>
                <w:rFonts w:hint="eastAsia"/>
                <w:color w:val="auto"/>
                <w:szCs w:val="21"/>
              </w:rPr>
              <w:t>”指引中提到“以上提及为我市禁止引进产业，未注明新建、迁改扩建、改建的，仅包括新建”，本项目不属于新建项目，故符合该指引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pPr>
              <w:autoSpaceDE w:val="0"/>
              <w:autoSpaceDN w:val="0"/>
              <w:adjustRightInd w:val="0"/>
              <w:spacing w:line="300" w:lineRule="auto"/>
              <w:jc w:val="center"/>
              <w:rPr>
                <w:color w:val="auto"/>
                <w:szCs w:val="21"/>
              </w:rPr>
            </w:pPr>
            <w:r>
              <w:rPr>
                <w:rFonts w:hint="eastAsia"/>
                <w:color w:val="auto"/>
                <w:szCs w:val="21"/>
              </w:rPr>
              <w:t>4</w:t>
            </w:r>
          </w:p>
        </w:tc>
        <w:tc>
          <w:tcPr>
            <w:tcW w:w="3346" w:type="dxa"/>
            <w:vAlign w:val="center"/>
          </w:tcPr>
          <w:p>
            <w:pPr>
              <w:autoSpaceDE w:val="0"/>
              <w:autoSpaceDN w:val="0"/>
              <w:adjustRightInd w:val="0"/>
              <w:spacing w:line="300" w:lineRule="auto"/>
              <w:jc w:val="center"/>
              <w:rPr>
                <w:color w:val="auto"/>
                <w:szCs w:val="21"/>
              </w:rPr>
            </w:pPr>
            <w:r>
              <w:rPr>
                <w:color w:val="auto"/>
                <w:szCs w:val="21"/>
              </w:rPr>
              <w:t>《市场准入负面清单（2019年版）》</w:t>
            </w:r>
            <w:r>
              <w:rPr>
                <w:rFonts w:hint="eastAsia"/>
                <w:color w:val="auto"/>
                <w:szCs w:val="21"/>
              </w:rPr>
              <w:t>（</w:t>
            </w:r>
            <w:r>
              <w:rPr>
                <w:color w:val="auto"/>
                <w:szCs w:val="21"/>
              </w:rPr>
              <w:t>发改体改〔2019〕1685号</w:t>
            </w:r>
            <w:r>
              <w:rPr>
                <w:rFonts w:hint="eastAsia"/>
                <w:color w:val="auto"/>
                <w:szCs w:val="21"/>
              </w:rPr>
              <w:t>）</w:t>
            </w:r>
          </w:p>
        </w:tc>
        <w:tc>
          <w:tcPr>
            <w:tcW w:w="4720" w:type="dxa"/>
            <w:vAlign w:val="center"/>
          </w:tcPr>
          <w:p>
            <w:pPr>
              <w:autoSpaceDE w:val="0"/>
              <w:autoSpaceDN w:val="0"/>
              <w:adjustRightInd w:val="0"/>
              <w:spacing w:line="300" w:lineRule="auto"/>
              <w:jc w:val="center"/>
              <w:rPr>
                <w:color w:val="auto"/>
                <w:szCs w:val="21"/>
              </w:rPr>
            </w:pPr>
            <w:r>
              <w:rPr>
                <w:rFonts w:hint="eastAsia"/>
                <w:color w:val="auto"/>
                <w:szCs w:val="21"/>
              </w:rPr>
              <w:t>不属于《市场准入负面清单（2019年版）》所列明的禁止准入类项目，不列入环境准入负面清单中，符合要求</w:t>
            </w:r>
          </w:p>
        </w:tc>
      </w:tr>
    </w:tbl>
    <w:p>
      <w:pPr>
        <w:autoSpaceDE w:val="0"/>
        <w:autoSpaceDN w:val="0"/>
        <w:adjustRightInd w:val="0"/>
        <w:spacing w:line="360" w:lineRule="auto"/>
        <w:ind w:firstLine="480" w:firstLineChars="200"/>
        <w:jc w:val="left"/>
        <w:rPr>
          <w:color w:val="auto"/>
          <w:sz w:val="24"/>
        </w:rPr>
      </w:pPr>
    </w:p>
    <w:p>
      <w:pPr>
        <w:autoSpaceDE w:val="0"/>
        <w:autoSpaceDN w:val="0"/>
        <w:adjustRightInd w:val="0"/>
        <w:spacing w:line="360" w:lineRule="auto"/>
        <w:ind w:firstLine="480" w:firstLineChars="200"/>
        <w:jc w:val="left"/>
        <w:rPr>
          <w:color w:val="auto"/>
          <w:sz w:val="24"/>
        </w:rPr>
      </w:pPr>
      <w:r>
        <w:rPr>
          <w:color w:val="auto"/>
          <w:sz w:val="24"/>
        </w:rPr>
        <w:t>根据上表可以看出，本项目属于鼓励类产业项目，因此可以判定，本项目的建设与上述各类产业政策的要求相符。</w:t>
      </w:r>
    </w:p>
    <w:p>
      <w:pPr>
        <w:autoSpaceDE w:val="0"/>
        <w:autoSpaceDN w:val="0"/>
        <w:adjustRightInd w:val="0"/>
        <w:spacing w:line="360" w:lineRule="auto"/>
        <w:ind w:firstLine="482" w:firstLineChars="200"/>
        <w:jc w:val="left"/>
        <w:rPr>
          <w:b/>
          <w:bCs/>
          <w:color w:val="auto"/>
          <w:sz w:val="24"/>
        </w:rPr>
      </w:pPr>
      <w:r>
        <w:rPr>
          <w:b/>
          <w:bCs/>
          <w:color w:val="auto"/>
          <w:sz w:val="24"/>
        </w:rPr>
        <w:t xml:space="preserve">2、与技术政策和环保政策的相符性分析 </w:t>
      </w:r>
    </w:p>
    <w:p>
      <w:pPr>
        <w:autoSpaceDE w:val="0"/>
        <w:autoSpaceDN w:val="0"/>
        <w:adjustRightInd w:val="0"/>
        <w:spacing w:line="360" w:lineRule="auto"/>
        <w:ind w:firstLine="480" w:firstLineChars="200"/>
        <w:jc w:val="left"/>
        <w:rPr>
          <w:color w:val="auto"/>
          <w:sz w:val="24"/>
        </w:rPr>
      </w:pPr>
      <w:r>
        <w:rPr>
          <w:color w:val="auto"/>
          <w:sz w:val="24"/>
        </w:rPr>
        <w:t>本</w:t>
      </w:r>
      <w:r>
        <w:rPr>
          <w:rFonts w:hint="eastAsia"/>
          <w:color w:val="auto"/>
          <w:sz w:val="24"/>
        </w:rPr>
        <w:t>迁改扩建</w:t>
      </w:r>
      <w:r>
        <w:rPr>
          <w:color w:val="auto"/>
          <w:sz w:val="24"/>
        </w:rPr>
        <w:t>项目为一般工业固废及综合利用项目，本项目与各类技术政策和环保政策的相符性见下表。</w:t>
      </w:r>
    </w:p>
    <w:p>
      <w:pPr>
        <w:pStyle w:val="2"/>
        <w:rPr>
          <w:color w:val="auto"/>
        </w:rPr>
      </w:pPr>
    </w:p>
    <w:p>
      <w:pPr>
        <w:rPr>
          <w:color w:val="auto"/>
        </w:rPr>
      </w:pPr>
    </w:p>
    <w:p>
      <w:pPr>
        <w:pStyle w:val="2"/>
        <w:ind w:firstLine="400"/>
        <w:rPr>
          <w:color w:val="auto"/>
        </w:rPr>
      </w:pPr>
    </w:p>
    <w:p>
      <w:pPr>
        <w:pStyle w:val="2"/>
        <w:ind w:firstLine="422"/>
        <w:jc w:val="center"/>
        <w:rPr>
          <w:rFonts w:ascii="Times New Roman"/>
          <w:b/>
          <w:bCs/>
          <w:color w:val="auto"/>
          <w:sz w:val="21"/>
          <w:szCs w:val="21"/>
        </w:rPr>
      </w:pPr>
      <w:r>
        <w:rPr>
          <w:rFonts w:ascii="Times New Roman"/>
          <w:b/>
          <w:bCs/>
          <w:color w:val="auto"/>
          <w:sz w:val="21"/>
          <w:szCs w:val="21"/>
        </w:rPr>
        <w:t>表</w:t>
      </w:r>
      <w:r>
        <w:rPr>
          <w:rFonts w:hint="eastAsia" w:ascii="Times New Roman"/>
          <w:b/>
          <w:bCs/>
          <w:color w:val="auto"/>
          <w:sz w:val="21"/>
          <w:szCs w:val="21"/>
        </w:rPr>
        <w:t>11.1</w:t>
      </w:r>
      <w:r>
        <w:rPr>
          <w:rFonts w:ascii="Times New Roman"/>
          <w:b/>
          <w:bCs/>
          <w:color w:val="auto"/>
          <w:sz w:val="21"/>
          <w:szCs w:val="21"/>
        </w:rPr>
        <w:t>-2</w:t>
      </w:r>
      <w:r>
        <w:rPr>
          <w:rFonts w:hint="eastAsia" w:ascii="Times New Roman"/>
          <w:b/>
          <w:bCs/>
          <w:color w:val="auto"/>
          <w:sz w:val="21"/>
          <w:szCs w:val="21"/>
        </w:rPr>
        <w:t xml:space="preserve">  </w:t>
      </w:r>
      <w:r>
        <w:rPr>
          <w:rFonts w:ascii="Times New Roman"/>
          <w:b/>
          <w:bCs/>
          <w:color w:val="auto"/>
          <w:sz w:val="21"/>
          <w:szCs w:val="21"/>
        </w:rPr>
        <w:t>本项目与各类技术政策与环保政策的相符性分析一览表</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524"/>
        <w:gridCol w:w="4214"/>
        <w:gridCol w:w="2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序号</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政策文件名称</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内容摘要</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本项目与其相符性分析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1</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《大气污染防治行动计划》（国发〔2013〕37号）</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一）加强工业企业大气污染综合治理。全面整治燃煤小锅炉。加快推进集中供热、“煤改气”、“煤改电”工程建设，到2017年，除必要保留的以外，地级及以上城市建成区基本淘汰每小时10蒸吨及以下的燃煤锅炉，禁止新建每小时20蒸吨以下的燃煤锅炉；其他地区原则上不再新建每小时10蒸吨以下的燃煤锅炉。在供热供气管网不能覆盖的地区，改用电、新能源或洁净煤，推广应用高效节能环保型锅炉。</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本项目锅炉使用清洁能源天然气作为燃料，不属于燃煤锅炉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2</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《打赢蓝天保卫战三年行动计划》（国发〔2018〕22号）</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十一）开展燃煤锅炉综合整治。加大燃煤小锅炉淘汰力度。县级及以上城市建成区基本淘汰每小时10蒸吨及以下燃煤锅炉及茶水炉、经营性炉灶、储粮烘干设备等燃煤设施，原则上不再新建每小时35蒸吨以下的燃煤锅炉，其他地区原则上不再新建每小时10蒸吨以下的燃煤锅炉。</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本项目锅炉使用清洁能源天然气作为燃料，不属于燃煤锅炉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3</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《地下水污染防治实施方案》（环土壤〔2019〕25号）</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2020年年底前，各省（区、市）对高风险的化学品生产企业等区域开展必要的防渗处理</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本项目虽不属于高风险的化学品生产企业，但仍拟对厂区进行分区防渗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4</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《关于印发&lt;“十三五”挥发性有机物污染防治工作方案&gt;的通知》（环大气[2017]121 号）</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加快推进化工行业 VOCs 综合治理：参照石化行业 VOCs治理任务要求，全面推进化工企业设备动静密封点、储存、装卸、废水系统、有组织工艺废气和非正常工况等源项整治。加强无组织废气排放控制，含 VOCs 物料的储存、输送、投料、卸料，涉及 VOCs物料的生产及含VOCs产品分装等过程应密闭操作。反应尾气、蒸馏装置不凝尾气等工艺排气，工艺容器的置换气、吹扫气、抽真空排气等应进行收集治理。</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本项目在含VOCs物料储存、运输、投料等过程中均密闭操作，且防水卷材生产线为密闭生产线，废气经收集后通过一套“旋风除尘+冷凝器+油烟净化器+UV光解+活性炭吸附系统”达标处理后排放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5</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广东省大气污染防治</w:t>
            </w:r>
            <w:r>
              <w:rPr>
                <w:rFonts w:hint="eastAsia"/>
                <w:color w:val="auto"/>
                <w:szCs w:val="21"/>
              </w:rPr>
              <w:t>条例</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第二十一条 禁止安装国家和省明令淘汰、强制报废、禁止制造和使用的锅炉等燃烧设备。</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本项目锅炉使用清洁能源天然气作为燃料，不属于燃煤锅炉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635"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6</w:t>
            </w:r>
          </w:p>
        </w:tc>
        <w:tc>
          <w:tcPr>
            <w:tcW w:w="1524"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r>
              <w:rPr>
                <w:color w:val="auto"/>
                <w:szCs w:val="21"/>
              </w:rPr>
              <w:t>《广东省主体功能区规划的配套环保政策》（粤环[2014]7号）</w:t>
            </w:r>
          </w:p>
        </w:tc>
        <w:tc>
          <w:tcPr>
            <w:tcW w:w="421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szCs w:val="21"/>
              </w:rPr>
            </w:pPr>
            <w:r>
              <w:rPr>
                <w:color w:val="auto"/>
                <w:kern w:val="0"/>
                <w:szCs w:val="21"/>
                <w:lang w:val="zh-CN"/>
              </w:rPr>
              <w:t>（四）加强项目环境准入管理。完善重污染行业环境准入管理，禁止新建污染物产生和排放强度超过行业平均水平的项目。重点开发区要按照“产业向园区集中”的原则，以园区为载体推动产业集聚发展。</w:t>
            </w:r>
          </w:p>
        </w:tc>
        <w:tc>
          <w:tcPr>
            <w:tcW w:w="2575"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szCs w:val="21"/>
              </w:rPr>
            </w:pPr>
            <w:r>
              <w:rPr>
                <w:color w:val="auto"/>
                <w:kern w:val="0"/>
                <w:szCs w:val="21"/>
                <w:lang w:val="zh-CN"/>
              </w:rPr>
              <w:t>本项目采取严格的污染防治措施，生产废水处理达标后循环使用，排污量低于行业平均水平。另外本项目位于石角工业园区内。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635"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p>
        </w:tc>
        <w:tc>
          <w:tcPr>
            <w:tcW w:w="1524"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p>
        </w:tc>
        <w:tc>
          <w:tcPr>
            <w:tcW w:w="421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szCs w:val="21"/>
              </w:rPr>
            </w:pPr>
            <w:r>
              <w:rPr>
                <w:color w:val="auto"/>
                <w:kern w:val="0"/>
                <w:szCs w:val="21"/>
                <w:lang w:val="zh-CN"/>
              </w:rPr>
              <w:t>（六）严格实施污染物削减替代。重点开发区严格控制城镇化和工业化产生的污染物新增量，大力实施污染物减排重点工程，省对区域内的国家和省重点建设项目所需总量指标给予适当倾斜。</w:t>
            </w:r>
          </w:p>
        </w:tc>
        <w:tc>
          <w:tcPr>
            <w:tcW w:w="2575"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szCs w:val="21"/>
              </w:rPr>
            </w:pPr>
            <w:r>
              <w:rPr>
                <w:color w:val="auto"/>
                <w:kern w:val="0"/>
                <w:szCs w:val="21"/>
                <w:lang w:val="zh-CN"/>
              </w:rPr>
              <w:t>本项目位于重点开发区，本项目污染物总量指标由清远市生态环境局分配。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r>
              <w:rPr>
                <w:color w:val="auto"/>
              </w:rPr>
              <w:t>7</w:t>
            </w:r>
          </w:p>
        </w:tc>
        <w:tc>
          <w:tcPr>
            <w:tcW w:w="152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rPr>
            </w:pPr>
            <w:r>
              <w:rPr>
                <w:color w:val="auto"/>
                <w:kern w:val="0"/>
                <w:szCs w:val="21"/>
              </w:rPr>
              <w:t>《清远市打赢蓝天保卫战实施方案（2019-2020）》</w:t>
            </w:r>
            <w:r>
              <w:rPr>
                <w:rFonts w:hint="eastAsia"/>
                <w:color w:val="auto"/>
                <w:kern w:val="0"/>
                <w:szCs w:val="21"/>
              </w:rPr>
              <w:t>（清</w:t>
            </w:r>
            <w:r>
              <w:rPr>
                <w:color w:val="auto"/>
                <w:szCs w:val="21"/>
              </w:rPr>
              <w:t>环[201</w:t>
            </w:r>
            <w:r>
              <w:rPr>
                <w:rFonts w:hint="eastAsia"/>
                <w:color w:val="auto"/>
                <w:szCs w:val="21"/>
              </w:rPr>
              <w:t>9</w:t>
            </w:r>
            <w:r>
              <w:rPr>
                <w:color w:val="auto"/>
                <w:szCs w:val="21"/>
              </w:rPr>
              <w:t>]</w:t>
            </w:r>
            <w:r>
              <w:rPr>
                <w:rFonts w:hint="eastAsia"/>
                <w:color w:val="auto"/>
                <w:szCs w:val="21"/>
              </w:rPr>
              <w:t>194</w:t>
            </w:r>
            <w:r>
              <w:rPr>
                <w:color w:val="auto"/>
                <w:szCs w:val="21"/>
              </w:rPr>
              <w:t>号</w:t>
            </w:r>
            <w:r>
              <w:rPr>
                <w:rFonts w:hint="eastAsia"/>
                <w:color w:val="auto"/>
                <w:kern w:val="0"/>
                <w:szCs w:val="21"/>
              </w:rPr>
              <w:t>）</w:t>
            </w:r>
          </w:p>
        </w:tc>
        <w:tc>
          <w:tcPr>
            <w:tcW w:w="421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rPr>
            </w:pPr>
            <w:r>
              <w:rPr>
                <w:color w:val="auto"/>
                <w:kern w:val="0"/>
                <w:szCs w:val="21"/>
              </w:rPr>
              <w:t>19. 强化工业企业无组织排放管控</w:t>
            </w:r>
          </w:p>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lang w:val="zh-CN"/>
              </w:rPr>
            </w:pPr>
            <w:r>
              <w:rPr>
                <w:color w:val="auto"/>
                <w:kern w:val="0"/>
                <w:szCs w:val="21"/>
              </w:rPr>
              <w:t>开展钢铁、建材、有色、火电、焦化、铸造等重点行业及燃煤锅炉、混凝土搅拌站等无组织排放排查，建立企业无组织排放治理管控清单，对物料（含废渣）运输、装卸、储存、转移和工艺过程等无组织排放实施封闭、遮盖、洒水等治理。2020年年底前全市基本完成治理任务。</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lang w:val="zh-CN"/>
              </w:rPr>
            </w:pPr>
            <w:r>
              <w:rPr>
                <w:color w:val="auto"/>
                <w:szCs w:val="21"/>
              </w:rPr>
              <w:t>本项目已明确针对物料（含废渣）运输、装卸、储存、转移和工艺过程等无组织排放实施封闭、遮盖、洒水等治理。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635"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r>
              <w:rPr>
                <w:color w:val="auto"/>
              </w:rPr>
              <w:t>8</w:t>
            </w:r>
          </w:p>
        </w:tc>
        <w:tc>
          <w:tcPr>
            <w:tcW w:w="1524" w:type="dxa"/>
            <w:vMerge w:val="restart"/>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rPr>
            </w:pPr>
            <w:r>
              <w:rPr>
                <w:color w:val="auto"/>
                <w:kern w:val="0"/>
                <w:szCs w:val="21"/>
                <w:lang w:val="zh-CN"/>
              </w:rPr>
              <w:t>《清远市水污染防治行动计划工作方案》</w:t>
            </w:r>
          </w:p>
        </w:tc>
        <w:tc>
          <w:tcPr>
            <w:tcW w:w="421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rPr>
            </w:pPr>
            <w:r>
              <w:rPr>
                <w:color w:val="auto"/>
                <w:kern w:val="0"/>
                <w:szCs w:val="21"/>
                <w:lang w:val="zh-CN"/>
              </w:rPr>
              <w:t>强化节水减排的刚性约束，积极引导低消耗、低排放和高效率的先进制造业和现代服务业发展，培育工业企业实施智能化改造。</w:t>
            </w:r>
          </w:p>
        </w:tc>
        <w:tc>
          <w:tcPr>
            <w:tcW w:w="2575"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rPr>
            </w:pPr>
            <w:r>
              <w:rPr>
                <w:color w:val="auto"/>
                <w:kern w:val="0"/>
                <w:szCs w:val="21"/>
                <w:lang w:val="zh-CN"/>
              </w:rPr>
              <w:t>本项目的生产废水经处理后循环使用，不外排；</w:t>
            </w:r>
            <w:r>
              <w:rPr>
                <w:color w:val="auto"/>
                <w:kern w:val="0"/>
                <w:szCs w:val="21"/>
              </w:rPr>
              <w:t>生活污水经</w:t>
            </w:r>
            <w:r>
              <w:rPr>
                <w:color w:val="auto"/>
                <w:szCs w:val="21"/>
              </w:rPr>
              <w:t>厂内化粪池预处理后排至石角污水处理厂深度处理至达标后排入沙埗溪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635"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p>
        </w:tc>
        <w:tc>
          <w:tcPr>
            <w:tcW w:w="1524" w:type="dxa"/>
            <w:vMerge w:val="continue"/>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lang w:val="zh-CN"/>
              </w:rPr>
            </w:pPr>
          </w:p>
        </w:tc>
        <w:tc>
          <w:tcPr>
            <w:tcW w:w="4214" w:type="dxa"/>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rPr>
            </w:pPr>
            <w:r>
              <w:rPr>
                <w:color w:val="auto"/>
                <w:kern w:val="0"/>
                <w:szCs w:val="21"/>
                <w:lang w:val="zh-CN"/>
              </w:rPr>
              <w:t>抓好工业节水。定期开展节水诊断、水平衡测试、用水效率评估，严格用水定额管理和计划用水管理。逐步推进建设项目节水设施“三同时”管理制度，新建、改建、</w:t>
            </w:r>
            <w:r>
              <w:rPr>
                <w:rFonts w:hint="eastAsia"/>
                <w:color w:val="auto"/>
                <w:kern w:val="0"/>
                <w:szCs w:val="21"/>
                <w:lang w:val="zh-CN"/>
              </w:rPr>
              <w:t>迁改扩建</w:t>
            </w:r>
            <w:r>
              <w:rPr>
                <w:color w:val="auto"/>
                <w:kern w:val="0"/>
                <w:szCs w:val="21"/>
                <w:lang w:val="zh-CN"/>
              </w:rPr>
              <w:t>项目均必须进行节水评估，制订节水措施，配套建设节水设施，水资源不足地区要严格限制高耗水型工业项目建设。</w:t>
            </w:r>
          </w:p>
        </w:tc>
        <w:tc>
          <w:tcPr>
            <w:tcW w:w="2575"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35"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r>
              <w:rPr>
                <w:color w:val="auto"/>
              </w:rPr>
              <w:t>9</w:t>
            </w:r>
          </w:p>
        </w:tc>
        <w:tc>
          <w:tcPr>
            <w:tcW w:w="1524" w:type="dxa"/>
            <w:vMerge w:val="restart"/>
            <w:vAlign w:val="center"/>
          </w:tcPr>
          <w:p>
            <w:pPr>
              <w:pageBreakBefore w:val="0"/>
              <w:widowControl w:val="0"/>
              <w:kinsoku/>
              <w:wordWrap/>
              <w:overflowPunct/>
              <w:topLinePunct w:val="0"/>
              <w:bidi w:val="0"/>
              <w:snapToGrid/>
              <w:spacing w:line="25" w:lineRule="atLeast"/>
              <w:ind w:left="0" w:leftChars="0" w:right="0" w:rightChars="0" w:firstLine="0" w:firstLineChars="0"/>
              <w:jc w:val="center"/>
              <w:rPr>
                <w:color w:val="auto"/>
                <w:kern w:val="0"/>
                <w:szCs w:val="21"/>
                <w:lang w:val="zh-CN"/>
              </w:rPr>
            </w:pPr>
            <w:r>
              <w:rPr>
                <w:color w:val="auto"/>
                <w:kern w:val="0"/>
                <w:szCs w:val="21"/>
                <w:lang w:val="zh-CN"/>
              </w:rPr>
              <w:t>《清远市土壤污染防治行动计划工作方案》</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根据区域功能定位、周边居民区等敏感对象的分布以及土壤污染防治需要，科学布局生活垃圾处理、危险废物处理处置、废旧资源再生利用等设施和场所，参照《生活垃圾填埋场污染控制标准》（GB16889-2008）、《关于印发〈危险废物和医疗废物处置设施建设项目环境影响评价技术原则（试行）〉的通知》（环发〔2004〕58号）、《危险废物集中焚烧处置工程建设技术规范》（HJ/T176-2005）和《关于进一步加强生物质发电项目环境影响评价管理工作的通知》（环发〔2008〕82号）等有关标准和规范要求，确定合理的防护距离。</w:t>
            </w:r>
          </w:p>
        </w:tc>
        <w:tc>
          <w:tcPr>
            <w:tcW w:w="2575" w:type="dxa"/>
            <w:vAlign w:val="center"/>
          </w:tcPr>
          <w:p>
            <w:pPr>
              <w:pStyle w:val="8"/>
              <w:pageBreakBefore w:val="0"/>
              <w:widowControl w:val="0"/>
              <w:numPr>
                <w:ilvl w:val="0"/>
                <w:numId w:val="0"/>
              </w:numPr>
              <w:tabs>
                <w:tab w:val="left" w:pos="864"/>
              </w:tabs>
              <w:kinsoku/>
              <w:wordWrap/>
              <w:overflowPunct/>
              <w:topLinePunct w:val="0"/>
              <w:bidi w:val="0"/>
              <w:snapToGrid/>
              <w:spacing w:line="25" w:lineRule="atLeast"/>
              <w:ind w:left="0" w:leftChars="0" w:right="0" w:rightChars="0" w:firstLine="0" w:firstLineChars="0"/>
              <w:outlineLvl w:val="3"/>
              <w:rPr>
                <w:bCs/>
                <w:color w:val="auto"/>
              </w:rPr>
            </w:pPr>
            <w:r>
              <w:rPr>
                <w:b w:val="0"/>
                <w:color w:val="auto"/>
                <w:sz w:val="21"/>
                <w:szCs w:val="21"/>
              </w:rPr>
              <w:t>运营期产生的固体废物主要分为危险废物、一般工业固体废物及生活垃圾，其中一般工业固废除尘灰外均交由有资质单位进行处置。对于一般固体废物及危险废物的暂存按照相应的规范设置暂存间。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35"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p>
        </w:tc>
        <w:tc>
          <w:tcPr>
            <w:tcW w:w="1524"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rPr>
              <w:t>推进生活垃圾处理，强化分类投放收集、综合循环利用，促进生活垃圾减量化、资源化、无害化。强化废氧化汞电池、镍镉电池、铅酸蓄电池和含汞荧光灯管、温度计等含重金属废物的安全处置。减少过度包装，鼓励使用环境标志产品。</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rPr>
              <w:t>本项目的生活垃圾定点收集后，由环卫部门定期清运。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635"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r>
              <w:rPr>
                <w:color w:val="auto"/>
              </w:rPr>
              <w:t>10</w:t>
            </w:r>
          </w:p>
        </w:tc>
        <w:tc>
          <w:tcPr>
            <w:tcW w:w="1524" w:type="dxa"/>
            <w:vMerge w:val="restart"/>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jc w:val="center"/>
              <w:rPr>
                <w:color w:val="auto"/>
              </w:rPr>
            </w:pPr>
            <w:r>
              <w:rPr>
                <w:color w:val="auto"/>
              </w:rPr>
              <w:t>《清远市固废废物污染防治三年行动计划（2018-2020年）》</w:t>
            </w:r>
            <w:r>
              <w:rPr>
                <w:rFonts w:hint="eastAsia"/>
                <w:color w:val="auto"/>
              </w:rPr>
              <w:t>（</w:t>
            </w:r>
            <w:r>
              <w:rPr>
                <w:color w:val="auto"/>
              </w:rPr>
              <w:t>清环〔2020〕122号</w:t>
            </w:r>
            <w:r>
              <w:rPr>
                <w:rFonts w:hint="eastAsia"/>
                <w:color w:val="auto"/>
              </w:rPr>
              <w:t>）</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固体废物产生单位是固体废物污染防治的责任主体。工业固体废物产生单位要依法开展网上申报登记，动态申报固体废物产生种类、产生量、流向、贮存、处置等有关信息。加强固体废物贮存设施建设和管理，固体废物产生单位须配套建设符合规范且满足需求的贮存场所，建立规范完善的内部管理制度。工业危险废物产生单位须配套建设足够的暂存场所，鼓励自行建设危险废物处理处置设施，或委托具有相应资质的危险废物经营单位进行安全处理处置。</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 xml:space="preserve">本项目已按相关标准建设一般固废堆场，危险废物暂存间。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635"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rPr>
            </w:pPr>
          </w:p>
        </w:tc>
        <w:tc>
          <w:tcPr>
            <w:tcW w:w="1524" w:type="dxa"/>
            <w:vMerge w:val="continue"/>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rPr>
            </w:pP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严格危险废物运输准入管理，加强运输企业、车辆、人员的从业准入要求。加强危险废物运输行业监管，推行危险废物转移运输全过程定位跟踪监控，推动危险废物转移电子联单和电子运单无缝对接，实时共享危险废物产生、运输、利用处置企业基础信息与运输轨迹信息。加强危险废物交接管理，严禁将危险废物交由无资质经营单位利用处置。加强生活垃圾运输管理，垃圾清运作业过程中严格做到密闭化运输，杜绝抛洒滴漏等问题，严厉打击运输企业违法倾倒垃圾行为。</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危险废物交由有资质单位进行处置，并严格遵守危废转移联单制度。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rPr>
            </w:pP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《清远市重金属污染综合防治行动计划（2018-2020年）》</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1．严格控制新增重金属污染物排放。</w:t>
            </w:r>
          </w:p>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继续严格实施重金属污染防治分区防控策略。清城区属重点防控区，禁止新建、</w:t>
            </w:r>
            <w:r>
              <w:rPr>
                <w:rFonts w:hint="eastAsia"/>
                <w:color w:val="auto"/>
                <w:kern w:val="0"/>
                <w:szCs w:val="21"/>
                <w:lang w:val="zh-CN"/>
              </w:rPr>
              <w:t>迁改扩建</w:t>
            </w:r>
            <w:r>
              <w:rPr>
                <w:color w:val="auto"/>
                <w:kern w:val="0"/>
                <w:szCs w:val="21"/>
                <w:lang w:val="zh-CN"/>
              </w:rPr>
              <w:t>增加重金属污染物排放的建设项目，现有技术改造项目应通过实施“区域削减”，实现增产减污。……强化涉重金属污染行业建设项目环评审批管理，严格执行环保“三同时”制度。涉重金属行业分布集中、发展速度快、环境问题突出的地区应进一步严格环境准入标准，强化清洁生产和污染物排放标准等环境指标约束。根据国家经贸委和省经济和信息化委发布的淘汰落后生产能力、工艺、产品和企业的目录，禁止新建落后产能或产能严重过剩行业的建设项目。到2020年，有色金属矿采选、有色金属冶炼、电镀、铅酸蓄电池等重点行业的重点重金属排放量比2013年下降12%。</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rPr>
              <w:t>本项目</w:t>
            </w:r>
            <w:r>
              <w:rPr>
                <w:color w:val="auto"/>
                <w:kern w:val="0"/>
                <w:szCs w:val="21"/>
                <w:lang w:val="zh-CN"/>
              </w:rPr>
              <w:t>不属于重点防控行业。涉及重金属的主要为</w:t>
            </w:r>
            <w:r>
              <w:rPr>
                <w:color w:val="auto"/>
                <w:kern w:val="0"/>
                <w:szCs w:val="21"/>
              </w:rPr>
              <w:t>废覆铜</w:t>
            </w:r>
            <w:r>
              <w:rPr>
                <w:color w:val="auto"/>
                <w:kern w:val="0"/>
                <w:szCs w:val="21"/>
                <w:lang w:val="zh-CN"/>
              </w:rPr>
              <w:t>板</w:t>
            </w:r>
            <w:r>
              <w:rPr>
                <w:color w:val="auto"/>
                <w:kern w:val="0"/>
                <w:szCs w:val="21"/>
              </w:rPr>
              <w:t>破碎</w:t>
            </w:r>
            <w:r>
              <w:rPr>
                <w:color w:val="auto"/>
                <w:kern w:val="0"/>
                <w:szCs w:val="21"/>
                <w:lang w:val="zh-CN"/>
              </w:rPr>
              <w:t>及废树脂粉综合利用</w:t>
            </w:r>
            <w:r>
              <w:rPr>
                <w:color w:val="auto"/>
                <w:kern w:val="0"/>
                <w:szCs w:val="21"/>
              </w:rPr>
              <w:t>工艺</w:t>
            </w:r>
            <w:r>
              <w:rPr>
                <w:color w:val="auto"/>
                <w:kern w:val="0"/>
                <w:szCs w:val="21"/>
                <w:lang w:val="zh-CN"/>
              </w:rPr>
              <w:t>，其中</w:t>
            </w:r>
            <w:r>
              <w:rPr>
                <w:color w:val="auto"/>
                <w:kern w:val="0"/>
                <w:szCs w:val="21"/>
              </w:rPr>
              <w:t>废覆铜板</w:t>
            </w:r>
            <w:r>
              <w:rPr>
                <w:color w:val="auto"/>
                <w:kern w:val="0"/>
                <w:szCs w:val="21"/>
                <w:lang w:val="zh-CN"/>
              </w:rPr>
              <w:t>通过水力摇床及</w:t>
            </w:r>
            <w:r>
              <w:rPr>
                <w:color w:val="auto"/>
                <w:kern w:val="0"/>
                <w:szCs w:val="21"/>
              </w:rPr>
              <w:t>湿法</w:t>
            </w:r>
            <w:r>
              <w:rPr>
                <w:color w:val="auto"/>
                <w:kern w:val="0"/>
                <w:szCs w:val="21"/>
                <w:lang w:val="zh-CN"/>
              </w:rPr>
              <w:t>破碎等物理分选回收金属工艺处理后，去除了大部分金属，根据工程分析章节中的总物料平衡和金属成分物料平衡分析可知，重金属绝大部分进入铜粉产品中；</w:t>
            </w:r>
            <w:r>
              <w:rPr>
                <w:color w:val="auto"/>
                <w:kern w:val="0"/>
                <w:szCs w:val="21"/>
              </w:rPr>
              <w:t>破碎工序</w:t>
            </w:r>
            <w:r>
              <w:rPr>
                <w:color w:val="auto"/>
                <w:kern w:val="0"/>
                <w:szCs w:val="21"/>
                <w:lang w:val="zh-CN"/>
              </w:rPr>
              <w:t xml:space="preserve">含重金属的废水经处理后回用不外排；项目产生的废气均采取了有效的处理措施，处理后均能达标排放，经预测，对大气环境的影响可接受；产生的危险废物均委托有资质的单位妥善处置，同时项目根据相关规范，储罐区、装置区、危险废物暂存仓等采取了严格的防水、防渗漏、防流失措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63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rPr>
            </w:pPr>
            <w:r>
              <w:rPr>
                <w:rFonts w:hint="eastAsia"/>
                <w:color w:val="auto"/>
              </w:rPr>
              <w:t>11</w:t>
            </w:r>
          </w:p>
        </w:tc>
        <w:tc>
          <w:tcPr>
            <w:tcW w:w="152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《清远市生态环境局关于固体废物污染防治三年行动计划（2018-2020年）》</w:t>
            </w:r>
            <w:r>
              <w:rPr>
                <w:rFonts w:hint="eastAsia"/>
                <w:color w:val="auto"/>
                <w:kern w:val="0"/>
                <w:szCs w:val="21"/>
                <w:lang w:val="zh-CN"/>
              </w:rPr>
              <w:t>（</w:t>
            </w:r>
            <w:r>
              <w:rPr>
                <w:color w:val="auto"/>
                <w:kern w:val="0"/>
                <w:szCs w:val="21"/>
                <w:lang w:val="zh-CN"/>
              </w:rPr>
              <w:t>清环〔2020〕122号</w:t>
            </w:r>
            <w:r>
              <w:rPr>
                <w:rFonts w:hint="eastAsia"/>
                <w:color w:val="auto"/>
                <w:kern w:val="0"/>
                <w:szCs w:val="21"/>
                <w:lang w:val="zh-CN"/>
              </w:rPr>
              <w:t>）</w:t>
            </w:r>
          </w:p>
        </w:tc>
        <w:tc>
          <w:tcPr>
            <w:tcW w:w="4214"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lang w:val="zh-CN"/>
              </w:rPr>
            </w:pPr>
            <w:r>
              <w:rPr>
                <w:color w:val="auto"/>
                <w:kern w:val="0"/>
                <w:szCs w:val="21"/>
                <w:lang w:val="zh-CN"/>
              </w:rPr>
              <w:t>支持工业固体废物资源化新技术、新设备、新产品应用，拓展资源化利用途径。深入推进工业园区循环化改造和工业“三废”资源化利用，建设工业资源综合利用基地和示范工程，支持“城市矿产”示范基地建设，提高大宗工业固体废弃物、废旧塑料、建筑垃圾等综合利用水平。充分利用工业窑炉、水泥窑等设施消纳尾矿、粉煤灰、炉渣、冶炼废渣、脱硫石膏等工业固体废物，构建以水泥、建材、冶金等行业为核心的工业固体废物综合利用系统。</w:t>
            </w:r>
          </w:p>
        </w:tc>
        <w:tc>
          <w:tcPr>
            <w:tcW w:w="2575" w:type="dxa"/>
            <w:vAlign w:val="center"/>
          </w:tcPr>
          <w:p>
            <w:pPr>
              <w:pageBreakBefore w:val="0"/>
              <w:widowControl w:val="0"/>
              <w:kinsoku/>
              <w:wordWrap/>
              <w:overflowPunct/>
              <w:topLinePunct w:val="0"/>
              <w:autoSpaceDE w:val="0"/>
              <w:autoSpaceDN w:val="0"/>
              <w:bidi w:val="0"/>
              <w:adjustRightInd w:val="0"/>
              <w:snapToGrid/>
              <w:spacing w:line="25" w:lineRule="atLeast"/>
              <w:ind w:left="0" w:leftChars="0" w:right="0" w:rightChars="0" w:firstLine="0" w:firstLineChars="0"/>
              <w:rPr>
                <w:color w:val="auto"/>
                <w:kern w:val="0"/>
                <w:szCs w:val="21"/>
              </w:rPr>
            </w:pPr>
            <w:r>
              <w:rPr>
                <w:rFonts w:hint="eastAsia"/>
                <w:color w:val="auto"/>
                <w:kern w:val="0"/>
                <w:szCs w:val="21"/>
              </w:rPr>
              <w:t>本项目属于固体废物综合利用项目，符合计划中</w:t>
            </w:r>
            <w:r>
              <w:rPr>
                <w:color w:val="auto"/>
                <w:kern w:val="0"/>
                <w:szCs w:val="21"/>
                <w:lang w:val="zh-CN"/>
              </w:rPr>
              <w:t>工业“三废”资源化利用</w:t>
            </w:r>
            <w:r>
              <w:rPr>
                <w:rFonts w:hint="eastAsia"/>
                <w:color w:val="auto"/>
                <w:kern w:val="0"/>
                <w:szCs w:val="21"/>
              </w:rPr>
              <w:t>类别。</w:t>
            </w:r>
          </w:p>
        </w:tc>
      </w:tr>
    </w:tbl>
    <w:p>
      <w:pPr>
        <w:autoSpaceDE w:val="0"/>
        <w:autoSpaceDN w:val="0"/>
        <w:adjustRightInd w:val="0"/>
        <w:spacing w:line="360" w:lineRule="auto"/>
        <w:ind w:firstLine="480" w:firstLineChars="200"/>
        <w:jc w:val="left"/>
        <w:rPr>
          <w:color w:val="auto"/>
          <w:sz w:val="24"/>
        </w:rPr>
      </w:pPr>
      <w:r>
        <w:rPr>
          <w:color w:val="auto"/>
          <w:sz w:val="24"/>
        </w:rPr>
        <w:t>根据上表可以看出，本项目属于鼓励类产业项目，因此可以判定，本项目的建设与上述各类产业政策的要求相符。</w:t>
      </w:r>
    </w:p>
    <w:p>
      <w:pPr>
        <w:pStyle w:val="5"/>
        <w:numPr>
          <w:ilvl w:val="1"/>
          <w:numId w:val="0"/>
        </w:numPr>
        <w:tabs>
          <w:tab w:val="clear" w:pos="720"/>
        </w:tabs>
        <w:spacing w:before="159" w:after="159"/>
        <w:rPr>
          <w:color w:val="auto"/>
          <w:sz w:val="32"/>
          <w:szCs w:val="21"/>
        </w:rPr>
      </w:pPr>
      <w:bookmarkStart w:id="3285" w:name="_Toc15508"/>
      <w:bookmarkStart w:id="3286" w:name="_Toc9033"/>
      <w:r>
        <w:rPr>
          <w:rFonts w:hint="eastAsia"/>
          <w:color w:val="auto"/>
          <w:sz w:val="32"/>
          <w:szCs w:val="21"/>
        </w:rPr>
        <w:t xml:space="preserve">11.2  </w:t>
      </w:r>
      <w:r>
        <w:rPr>
          <w:color w:val="auto"/>
          <w:sz w:val="32"/>
          <w:szCs w:val="21"/>
        </w:rPr>
        <w:t>环境保护规划相符性分析</w:t>
      </w:r>
      <w:bookmarkEnd w:id="3285"/>
      <w:bookmarkEnd w:id="3286"/>
    </w:p>
    <w:p>
      <w:pPr>
        <w:numPr>
          <w:ilvl w:val="3"/>
          <w:numId w:val="0"/>
        </w:numPr>
        <w:tabs>
          <w:tab w:val="left" w:pos="720"/>
        </w:tabs>
        <w:spacing w:line="360" w:lineRule="auto"/>
        <w:ind w:firstLine="480" w:firstLineChars="200"/>
        <w:rPr>
          <w:color w:val="auto"/>
          <w:sz w:val="24"/>
        </w:rPr>
      </w:pPr>
      <w:r>
        <w:rPr>
          <w:color w:val="auto"/>
          <w:sz w:val="24"/>
        </w:rPr>
        <w:t>本项目与各类环境保护规划的相符性见下表，由此可以看出本项目符合各类环境保护规划中要求。</w:t>
      </w:r>
    </w:p>
    <w:p>
      <w:pPr>
        <w:spacing w:line="360" w:lineRule="auto"/>
        <w:jc w:val="center"/>
        <w:rPr>
          <w:b/>
          <w:bCs/>
          <w:color w:val="auto"/>
        </w:rPr>
      </w:pPr>
    </w:p>
    <w:p>
      <w:pPr>
        <w:spacing w:line="360" w:lineRule="auto"/>
        <w:jc w:val="center"/>
        <w:rPr>
          <w:b/>
          <w:bCs/>
          <w:color w:val="auto"/>
        </w:rPr>
      </w:pPr>
    </w:p>
    <w:p>
      <w:pPr>
        <w:spacing w:line="360" w:lineRule="auto"/>
        <w:jc w:val="center"/>
        <w:rPr>
          <w:b/>
          <w:bCs/>
          <w:color w:val="auto"/>
        </w:rPr>
      </w:pPr>
      <w:r>
        <w:rPr>
          <w:b/>
          <w:bCs/>
          <w:color w:val="auto"/>
        </w:rPr>
        <w:t>表</w:t>
      </w:r>
      <w:r>
        <w:rPr>
          <w:rFonts w:hint="eastAsia"/>
          <w:b/>
          <w:bCs/>
          <w:color w:val="auto"/>
        </w:rPr>
        <w:t>11</w:t>
      </w:r>
      <w:r>
        <w:rPr>
          <w:b/>
          <w:bCs/>
          <w:color w:val="auto"/>
        </w:rPr>
        <w:t xml:space="preserve">.2-1 </w:t>
      </w:r>
      <w:r>
        <w:rPr>
          <w:rFonts w:hint="eastAsia"/>
          <w:b/>
          <w:bCs/>
          <w:color w:val="auto"/>
        </w:rPr>
        <w:t xml:space="preserve"> </w:t>
      </w:r>
      <w:r>
        <w:rPr>
          <w:b/>
          <w:bCs/>
          <w:color w:val="auto"/>
        </w:rPr>
        <w:t>本项目与各类环境保护规划的相符性分析</w:t>
      </w:r>
    </w:p>
    <w:tbl>
      <w:tblPr>
        <w:tblStyle w:val="24"/>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594"/>
        <w:gridCol w:w="3933"/>
        <w:gridCol w:w="2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dxa"/>
            <w:vAlign w:val="center"/>
          </w:tcPr>
          <w:p>
            <w:pPr>
              <w:autoSpaceDE w:val="0"/>
              <w:autoSpaceDN w:val="0"/>
              <w:adjustRightInd w:val="0"/>
              <w:spacing w:line="300" w:lineRule="auto"/>
              <w:jc w:val="center"/>
              <w:rPr>
                <w:color w:val="auto"/>
                <w:sz w:val="21"/>
                <w:szCs w:val="21"/>
              </w:rPr>
            </w:pPr>
            <w:r>
              <w:rPr>
                <w:b/>
                <w:bCs/>
                <w:color w:val="auto"/>
                <w:sz w:val="21"/>
                <w:szCs w:val="21"/>
              </w:rPr>
              <w:t>序号</w:t>
            </w:r>
          </w:p>
        </w:tc>
        <w:tc>
          <w:tcPr>
            <w:tcW w:w="1594" w:type="dxa"/>
            <w:vAlign w:val="center"/>
          </w:tcPr>
          <w:p>
            <w:pPr>
              <w:autoSpaceDE w:val="0"/>
              <w:autoSpaceDN w:val="0"/>
              <w:adjustRightInd w:val="0"/>
              <w:spacing w:line="300" w:lineRule="auto"/>
              <w:jc w:val="center"/>
              <w:rPr>
                <w:color w:val="auto"/>
                <w:sz w:val="21"/>
                <w:szCs w:val="21"/>
              </w:rPr>
            </w:pPr>
            <w:r>
              <w:rPr>
                <w:b/>
                <w:bCs/>
                <w:color w:val="auto"/>
                <w:sz w:val="21"/>
                <w:szCs w:val="21"/>
              </w:rPr>
              <w:t>规划文件名称</w:t>
            </w:r>
          </w:p>
        </w:tc>
        <w:tc>
          <w:tcPr>
            <w:tcW w:w="3933" w:type="dxa"/>
            <w:vAlign w:val="center"/>
          </w:tcPr>
          <w:p>
            <w:pPr>
              <w:autoSpaceDE w:val="0"/>
              <w:autoSpaceDN w:val="0"/>
              <w:adjustRightInd w:val="0"/>
              <w:spacing w:line="300" w:lineRule="auto"/>
              <w:jc w:val="center"/>
              <w:rPr>
                <w:color w:val="auto"/>
                <w:sz w:val="21"/>
                <w:szCs w:val="21"/>
              </w:rPr>
            </w:pPr>
            <w:r>
              <w:rPr>
                <w:b/>
                <w:bCs/>
                <w:color w:val="auto"/>
                <w:sz w:val="21"/>
                <w:szCs w:val="21"/>
              </w:rPr>
              <w:t>内容摘要</w:t>
            </w:r>
          </w:p>
        </w:tc>
        <w:tc>
          <w:tcPr>
            <w:tcW w:w="2768" w:type="dxa"/>
            <w:vAlign w:val="center"/>
          </w:tcPr>
          <w:p>
            <w:pPr>
              <w:autoSpaceDE w:val="0"/>
              <w:autoSpaceDN w:val="0"/>
              <w:adjustRightInd w:val="0"/>
              <w:spacing w:line="300" w:lineRule="auto"/>
              <w:jc w:val="center"/>
              <w:rPr>
                <w:color w:val="auto"/>
                <w:sz w:val="21"/>
                <w:szCs w:val="21"/>
              </w:rPr>
            </w:pPr>
            <w:r>
              <w:rPr>
                <w:b/>
                <w:bCs/>
                <w:color w:val="auto"/>
                <w:sz w:val="21"/>
                <w:szCs w:val="21"/>
              </w:rPr>
              <w:t>本项目与其相符性分析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dxa"/>
            <w:vAlign w:val="center"/>
          </w:tcPr>
          <w:p>
            <w:pPr>
              <w:autoSpaceDE w:val="0"/>
              <w:autoSpaceDN w:val="0"/>
              <w:adjustRightInd w:val="0"/>
              <w:spacing w:line="300" w:lineRule="auto"/>
              <w:jc w:val="center"/>
              <w:rPr>
                <w:color w:val="auto"/>
                <w:sz w:val="21"/>
                <w:szCs w:val="21"/>
              </w:rPr>
            </w:pPr>
            <w:r>
              <w:rPr>
                <w:color w:val="auto"/>
                <w:sz w:val="21"/>
                <w:szCs w:val="21"/>
              </w:rPr>
              <w:t>1</w:t>
            </w:r>
          </w:p>
        </w:tc>
        <w:tc>
          <w:tcPr>
            <w:tcW w:w="1594" w:type="dxa"/>
            <w:vAlign w:val="center"/>
          </w:tcPr>
          <w:p>
            <w:pPr>
              <w:autoSpaceDE w:val="0"/>
              <w:autoSpaceDN w:val="0"/>
              <w:adjustRightInd w:val="0"/>
              <w:spacing w:line="300" w:lineRule="auto"/>
              <w:jc w:val="center"/>
              <w:rPr>
                <w:color w:val="auto"/>
                <w:sz w:val="21"/>
                <w:szCs w:val="21"/>
              </w:rPr>
            </w:pPr>
            <w:r>
              <w:rPr>
                <w:color w:val="auto"/>
                <w:sz w:val="21"/>
                <w:szCs w:val="21"/>
              </w:rPr>
              <w:t>《广东省环境保护“十三五”规划》</w:t>
            </w: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强化VOCs污染源头控制，推动实施原料替代工程，VOCs排放建设项目应使用低毒、低臭、低挥发性的原辅材料，加快水性涂料推广应用，选用先进的清洁生产和密闭化工艺，实现设备、装置、管线等密闭化。</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本项目使用低挥发性的原辅料，且生产过程中密闭生产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dxa"/>
            <w:vAlign w:val="center"/>
          </w:tcPr>
          <w:p>
            <w:pPr>
              <w:autoSpaceDE w:val="0"/>
              <w:autoSpaceDN w:val="0"/>
              <w:adjustRightInd w:val="0"/>
              <w:spacing w:line="300" w:lineRule="auto"/>
              <w:jc w:val="center"/>
              <w:rPr>
                <w:color w:val="auto"/>
                <w:sz w:val="21"/>
                <w:szCs w:val="21"/>
              </w:rPr>
            </w:pPr>
            <w:r>
              <w:rPr>
                <w:color w:val="auto"/>
                <w:sz w:val="21"/>
                <w:szCs w:val="21"/>
              </w:rPr>
              <w:t>2</w:t>
            </w:r>
          </w:p>
        </w:tc>
        <w:tc>
          <w:tcPr>
            <w:tcW w:w="1594" w:type="dxa"/>
            <w:vAlign w:val="center"/>
          </w:tcPr>
          <w:p>
            <w:pPr>
              <w:autoSpaceDE w:val="0"/>
              <w:autoSpaceDN w:val="0"/>
              <w:adjustRightInd w:val="0"/>
              <w:spacing w:line="300" w:lineRule="auto"/>
              <w:jc w:val="center"/>
              <w:rPr>
                <w:color w:val="auto"/>
                <w:sz w:val="21"/>
                <w:szCs w:val="21"/>
              </w:rPr>
            </w:pPr>
            <w:r>
              <w:rPr>
                <w:color w:val="auto"/>
                <w:sz w:val="21"/>
                <w:szCs w:val="21"/>
              </w:rPr>
              <w:t>《广东省环境保护规划纲要（2006～2020年）》</w:t>
            </w: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（3）工业固体废物资源化利用</w:t>
            </w:r>
          </w:p>
          <w:p>
            <w:pPr>
              <w:autoSpaceDE w:val="0"/>
              <w:autoSpaceDN w:val="0"/>
              <w:adjustRightInd w:val="0"/>
              <w:spacing w:line="300" w:lineRule="auto"/>
              <w:jc w:val="center"/>
              <w:rPr>
                <w:color w:val="auto"/>
                <w:sz w:val="21"/>
                <w:szCs w:val="21"/>
              </w:rPr>
            </w:pPr>
            <w:r>
              <w:rPr>
                <w:color w:val="auto"/>
                <w:sz w:val="21"/>
                <w:szCs w:val="21"/>
              </w:rPr>
              <w:t>推行工业固体废物重点产生企业清洁生产审计，促进企业加强技术改进、降低能耗和物耗，减少固体废物产生。继续加强粉煤灰炉渣的综合利用，如配置水泥、生产新型墙体材料等，并加大在筑路和回填等方面的应用。</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本项目为一般工业固废及综合利用项目，属于工业固体废物资源化利用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dxa"/>
            <w:vAlign w:val="center"/>
          </w:tcPr>
          <w:p>
            <w:pPr>
              <w:autoSpaceDE w:val="0"/>
              <w:autoSpaceDN w:val="0"/>
              <w:adjustRightInd w:val="0"/>
              <w:spacing w:line="300" w:lineRule="auto"/>
              <w:jc w:val="center"/>
              <w:rPr>
                <w:color w:val="auto"/>
                <w:sz w:val="21"/>
                <w:szCs w:val="21"/>
              </w:rPr>
            </w:pPr>
            <w:r>
              <w:rPr>
                <w:color w:val="auto"/>
                <w:sz w:val="21"/>
                <w:szCs w:val="21"/>
              </w:rPr>
              <w:t>3</w:t>
            </w:r>
          </w:p>
        </w:tc>
        <w:tc>
          <w:tcPr>
            <w:tcW w:w="1594" w:type="dxa"/>
            <w:vAlign w:val="center"/>
          </w:tcPr>
          <w:p>
            <w:pPr>
              <w:autoSpaceDE w:val="0"/>
              <w:autoSpaceDN w:val="0"/>
              <w:adjustRightInd w:val="0"/>
              <w:spacing w:line="300" w:lineRule="auto"/>
              <w:jc w:val="center"/>
              <w:rPr>
                <w:color w:val="auto"/>
                <w:sz w:val="21"/>
                <w:szCs w:val="21"/>
              </w:rPr>
            </w:pPr>
            <w:r>
              <w:rPr>
                <w:color w:val="auto"/>
                <w:sz w:val="21"/>
                <w:szCs w:val="21"/>
              </w:rPr>
              <w:t>《清远市环境保护规划纲要（2007～2020年）》</w:t>
            </w: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清远市环境保护规划（2007-2020年）》在区域生态功能区划的基础上，基于区域生态结构体系的维护，重要敏感区域的维护，提出清远市生态保护分级控制战略。在这个分级控制的生态保护战略中，根据对生态保护的严格程度，将清远市划分为严格控制区、有限开发区和集约开发区三个控制级别。</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本项目选址位于集约开发区内。</w:t>
            </w:r>
          </w:p>
          <w:p>
            <w:pPr>
              <w:autoSpaceDE w:val="0"/>
              <w:autoSpaceDN w:val="0"/>
              <w:adjustRightInd w:val="0"/>
              <w:spacing w:line="300" w:lineRule="auto"/>
              <w:jc w:val="center"/>
              <w:rPr>
                <w:color w:val="auto"/>
                <w:sz w:val="21"/>
                <w:szCs w:val="21"/>
              </w:rPr>
            </w:pPr>
            <w:r>
              <w:rPr>
                <w:color w:val="auto"/>
                <w:sz w:val="21"/>
                <w:szCs w:val="21"/>
              </w:rPr>
              <w:t>本项目生产废水不外排，生活废水经厂内化粪池预处理后排至石角污水处理厂深度处理至达标后排入沙埗溪，不会对附近水体造成影响；项目正常情况下排放的大气污染物对周边环境及各敏感目标的影响均满足评价标准；项目建设对声环境影响在可接受范围内，项目固体废弃物均妥善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trPr>
        <w:tc>
          <w:tcPr>
            <w:tcW w:w="653" w:type="dxa"/>
            <w:vMerge w:val="restart"/>
            <w:vAlign w:val="center"/>
          </w:tcPr>
          <w:p>
            <w:pPr>
              <w:autoSpaceDE w:val="0"/>
              <w:autoSpaceDN w:val="0"/>
              <w:adjustRightInd w:val="0"/>
              <w:spacing w:line="300" w:lineRule="auto"/>
              <w:jc w:val="center"/>
              <w:rPr>
                <w:color w:val="auto"/>
                <w:sz w:val="21"/>
                <w:szCs w:val="21"/>
              </w:rPr>
            </w:pPr>
            <w:r>
              <w:rPr>
                <w:color w:val="auto"/>
                <w:sz w:val="21"/>
                <w:szCs w:val="21"/>
              </w:rPr>
              <w:t>4</w:t>
            </w:r>
          </w:p>
        </w:tc>
        <w:tc>
          <w:tcPr>
            <w:tcW w:w="1594" w:type="dxa"/>
            <w:vMerge w:val="restart"/>
            <w:vAlign w:val="center"/>
          </w:tcPr>
          <w:p>
            <w:pPr>
              <w:autoSpaceDE w:val="0"/>
              <w:autoSpaceDN w:val="0"/>
              <w:adjustRightInd w:val="0"/>
              <w:spacing w:line="300" w:lineRule="auto"/>
              <w:jc w:val="center"/>
              <w:rPr>
                <w:color w:val="auto"/>
                <w:sz w:val="21"/>
                <w:szCs w:val="21"/>
              </w:rPr>
            </w:pPr>
            <w:r>
              <w:rPr>
                <w:color w:val="auto"/>
                <w:sz w:val="21"/>
                <w:szCs w:val="21"/>
              </w:rPr>
              <w:t>《清远市清新区环境保护与生态建设</w:t>
            </w:r>
          </w:p>
          <w:p>
            <w:pPr>
              <w:autoSpaceDE w:val="0"/>
              <w:autoSpaceDN w:val="0"/>
              <w:adjustRightInd w:val="0"/>
              <w:spacing w:line="300" w:lineRule="auto"/>
              <w:jc w:val="center"/>
              <w:rPr>
                <w:color w:val="auto"/>
                <w:sz w:val="21"/>
                <w:szCs w:val="21"/>
              </w:rPr>
            </w:pPr>
            <w:r>
              <w:rPr>
                <w:color w:val="auto"/>
                <w:sz w:val="21"/>
                <w:szCs w:val="21"/>
              </w:rPr>
              <w:t>“十三五”规划》</w:t>
            </w:r>
            <w:r>
              <w:rPr>
                <w:rFonts w:hint="eastAsia"/>
                <w:color w:val="auto"/>
                <w:sz w:val="21"/>
                <w:szCs w:val="21"/>
                <w:lang w:val="en-US" w:eastAsia="zh-CN"/>
              </w:rPr>
              <w:t>(</w:t>
            </w:r>
            <w:r>
              <w:rPr>
                <w:color w:val="auto"/>
                <w:sz w:val="21"/>
                <w:szCs w:val="21"/>
              </w:rPr>
              <w:t>清新府办〔2018〕45号</w:t>
            </w:r>
            <w:r>
              <w:rPr>
                <w:rFonts w:hint="eastAsia"/>
                <w:color w:val="auto"/>
                <w:sz w:val="21"/>
                <w:szCs w:val="21"/>
                <w:lang w:val="en-US" w:eastAsia="zh-CN"/>
              </w:rPr>
              <w:t>)</w:t>
            </w:r>
          </w:p>
          <w:p>
            <w:pPr>
              <w:autoSpaceDE w:val="0"/>
              <w:autoSpaceDN w:val="0"/>
              <w:adjustRightInd w:val="0"/>
              <w:spacing w:line="300" w:lineRule="auto"/>
              <w:jc w:val="both"/>
              <w:rPr>
                <w:color w:val="auto"/>
                <w:sz w:val="21"/>
                <w:szCs w:val="21"/>
              </w:rPr>
            </w:pP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全面推动锅炉整治。加快推进在用锅炉烟气污染综合治理。2017年底除必要保留的以外，城市禁燃区基本淘汰所有10蒸吨/小时及以下燃煤锅炉。积极推行工（产）业园区集中供热，取消集中供热范围内在用的高污染燃料锅炉。城市建成区禁止新建燃煤锅炉，其他区域不再新建10蒸吨/小时及以下燃煤锅炉。</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本项目锅炉使用清洁能源天然气作为燃料，不属于燃煤锅炉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7" w:hRule="atLeast"/>
        </w:trPr>
        <w:tc>
          <w:tcPr>
            <w:tcW w:w="653" w:type="dxa"/>
            <w:vMerge w:val="continue"/>
            <w:vAlign w:val="center"/>
          </w:tcPr>
          <w:p>
            <w:pPr>
              <w:autoSpaceDE w:val="0"/>
              <w:autoSpaceDN w:val="0"/>
              <w:adjustRightInd w:val="0"/>
              <w:spacing w:line="300" w:lineRule="auto"/>
              <w:jc w:val="center"/>
              <w:rPr>
                <w:color w:val="auto"/>
                <w:sz w:val="21"/>
                <w:szCs w:val="21"/>
              </w:rPr>
            </w:pPr>
          </w:p>
        </w:tc>
        <w:tc>
          <w:tcPr>
            <w:tcW w:w="1594" w:type="dxa"/>
            <w:vMerge w:val="continue"/>
            <w:vAlign w:val="center"/>
          </w:tcPr>
          <w:p>
            <w:pPr>
              <w:autoSpaceDE w:val="0"/>
              <w:autoSpaceDN w:val="0"/>
              <w:adjustRightInd w:val="0"/>
              <w:spacing w:line="300" w:lineRule="auto"/>
              <w:jc w:val="center"/>
              <w:rPr>
                <w:color w:val="auto"/>
                <w:sz w:val="21"/>
                <w:szCs w:val="21"/>
              </w:rPr>
            </w:pP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推进整治堆场扬尘污染控制。积极推进粉煤灰、炉渣、固体废物综合利用，减少堆放量。要求对堆场地面进行硬化处理，采用混凝土围墙和天棚储库，库内配备喷淋或者其他降尘设施；配备运输车辆冲洗保洁设备；有条件的堆场应当设置绿化隔离带，降低扬尘对周围环境的影响，对长期堆放的废弃物，应定期喷洒抑尘剂或稳定剂。</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本项目原料堆场在棚内，不露天堆放，且厂区实行分区防渗，对仓库区域进行硬化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7" w:hRule="atLeast"/>
        </w:trPr>
        <w:tc>
          <w:tcPr>
            <w:tcW w:w="653" w:type="dxa"/>
            <w:vMerge w:val="continue"/>
            <w:vAlign w:val="center"/>
          </w:tcPr>
          <w:p>
            <w:pPr>
              <w:autoSpaceDE w:val="0"/>
              <w:autoSpaceDN w:val="0"/>
              <w:adjustRightInd w:val="0"/>
              <w:spacing w:line="300" w:lineRule="auto"/>
              <w:jc w:val="center"/>
              <w:rPr>
                <w:color w:val="auto"/>
                <w:sz w:val="21"/>
                <w:szCs w:val="21"/>
              </w:rPr>
            </w:pPr>
          </w:p>
        </w:tc>
        <w:tc>
          <w:tcPr>
            <w:tcW w:w="1594" w:type="dxa"/>
            <w:vMerge w:val="continue"/>
            <w:vAlign w:val="center"/>
          </w:tcPr>
          <w:p>
            <w:pPr>
              <w:autoSpaceDE w:val="0"/>
              <w:autoSpaceDN w:val="0"/>
              <w:adjustRightInd w:val="0"/>
              <w:spacing w:line="300" w:lineRule="auto"/>
              <w:jc w:val="center"/>
              <w:rPr>
                <w:color w:val="auto"/>
                <w:sz w:val="21"/>
                <w:szCs w:val="21"/>
              </w:rPr>
            </w:pPr>
          </w:p>
        </w:tc>
        <w:tc>
          <w:tcPr>
            <w:tcW w:w="3933" w:type="dxa"/>
            <w:vAlign w:val="center"/>
          </w:tcPr>
          <w:p>
            <w:pPr>
              <w:autoSpaceDE w:val="0"/>
              <w:autoSpaceDN w:val="0"/>
              <w:adjustRightInd w:val="0"/>
              <w:spacing w:line="300" w:lineRule="auto"/>
              <w:jc w:val="center"/>
              <w:rPr>
                <w:color w:val="auto"/>
                <w:sz w:val="21"/>
                <w:szCs w:val="21"/>
              </w:rPr>
            </w:pPr>
            <w:r>
              <w:rPr>
                <w:color w:val="auto"/>
                <w:sz w:val="21"/>
                <w:szCs w:val="21"/>
              </w:rPr>
              <w:t>实施重点行业VOCs排放治理。开展化学原料及化学制品制造业、塑料制造和塑料制品业、制鞋业、印刷业、纺织印染行业及金属表面涂装业6个重点行业VOCs排放达标治理工作，VOCs排放重点行业需要根据自身特点，大力推进产业升级，积极推动低毒、低VOCs原辅材料的使用，采用密闭一体化生产技术，规范液体有机物料储存，强化有机废气综合治理。</w:t>
            </w:r>
          </w:p>
        </w:tc>
        <w:tc>
          <w:tcPr>
            <w:tcW w:w="2768" w:type="dxa"/>
            <w:vAlign w:val="center"/>
          </w:tcPr>
          <w:p>
            <w:pPr>
              <w:autoSpaceDE w:val="0"/>
              <w:autoSpaceDN w:val="0"/>
              <w:adjustRightInd w:val="0"/>
              <w:spacing w:line="300" w:lineRule="auto"/>
              <w:jc w:val="center"/>
              <w:rPr>
                <w:color w:val="auto"/>
                <w:sz w:val="21"/>
                <w:szCs w:val="21"/>
              </w:rPr>
            </w:pPr>
            <w:r>
              <w:rPr>
                <w:color w:val="auto"/>
                <w:sz w:val="21"/>
                <w:szCs w:val="21"/>
              </w:rPr>
              <w:t>本项目不属于上述提到的重点行业，但是在物料储存与产品生产过程中均使用低VOCs原辅料以及密闭生产，废气经处理后达标排放</w:t>
            </w:r>
          </w:p>
        </w:tc>
      </w:tr>
    </w:tbl>
    <w:p>
      <w:pPr>
        <w:pStyle w:val="5"/>
        <w:numPr>
          <w:ilvl w:val="1"/>
          <w:numId w:val="0"/>
        </w:numPr>
        <w:tabs>
          <w:tab w:val="clear" w:pos="720"/>
        </w:tabs>
        <w:spacing w:before="159" w:after="159"/>
        <w:rPr>
          <w:color w:val="auto"/>
          <w:sz w:val="32"/>
          <w:szCs w:val="21"/>
        </w:rPr>
      </w:pPr>
      <w:bookmarkStart w:id="3287" w:name="_Toc18147"/>
      <w:bookmarkStart w:id="3288" w:name="_Toc12959358"/>
      <w:bookmarkStart w:id="3289" w:name="_Toc31630"/>
      <w:r>
        <w:rPr>
          <w:rFonts w:hint="eastAsia"/>
          <w:color w:val="auto"/>
          <w:sz w:val="32"/>
          <w:szCs w:val="21"/>
        </w:rPr>
        <w:t xml:space="preserve">11.3  </w:t>
      </w:r>
      <w:r>
        <w:rPr>
          <w:color w:val="auto"/>
          <w:sz w:val="32"/>
          <w:szCs w:val="21"/>
        </w:rPr>
        <w:t>项目选址合理合法性分析</w:t>
      </w:r>
      <w:bookmarkEnd w:id="3287"/>
      <w:bookmarkEnd w:id="3288"/>
      <w:bookmarkEnd w:id="3289"/>
    </w:p>
    <w:p>
      <w:pPr>
        <w:pStyle w:val="7"/>
        <w:numPr>
          <w:ilvl w:val="2"/>
          <w:numId w:val="0"/>
        </w:numPr>
        <w:tabs>
          <w:tab w:val="clear" w:pos="720"/>
        </w:tabs>
        <w:spacing w:before="159" w:after="159"/>
        <w:rPr>
          <w:bCs/>
          <w:color w:val="auto"/>
          <w:sz w:val="24"/>
          <w:szCs w:val="24"/>
        </w:rPr>
      </w:pPr>
      <w:bookmarkStart w:id="3290" w:name="_Toc531687821"/>
      <w:bookmarkStart w:id="3291" w:name="_Toc525136787"/>
      <w:bookmarkStart w:id="3292" w:name="_Toc10240"/>
      <w:r>
        <w:rPr>
          <w:rFonts w:hint="eastAsia"/>
          <w:bCs/>
          <w:color w:val="auto"/>
          <w:sz w:val="24"/>
          <w:szCs w:val="24"/>
        </w:rPr>
        <w:t xml:space="preserve">11.3.1  </w:t>
      </w:r>
      <w:r>
        <w:rPr>
          <w:bCs/>
          <w:color w:val="auto"/>
          <w:sz w:val="24"/>
          <w:szCs w:val="24"/>
        </w:rPr>
        <w:t>与《广东省主体功能区规划》相符性分析</w:t>
      </w:r>
      <w:bookmarkEnd w:id="3290"/>
      <w:bookmarkEnd w:id="3291"/>
      <w:bookmarkEnd w:id="3292"/>
    </w:p>
    <w:p>
      <w:pPr>
        <w:adjustRightInd w:val="0"/>
        <w:snapToGrid w:val="0"/>
        <w:spacing w:line="360" w:lineRule="auto"/>
        <w:ind w:firstLine="480" w:firstLineChars="200"/>
        <w:jc w:val="left"/>
        <w:rPr>
          <w:color w:val="auto"/>
          <w:sz w:val="24"/>
        </w:rPr>
        <w:sectPr>
          <w:headerReference r:id="rId13" w:type="first"/>
          <w:footerReference r:id="rId15" w:type="first"/>
          <w:headerReference r:id="rId12" w:type="even"/>
          <w:footerReference r:id="rId14" w:type="even"/>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本项目所在地位于清远市清城区石角镇工业区内，根据广东省主体功能区规划，该区域属于省级重点开发区域中的粤北山区点状片区，不属于禁止开发区域，见图</w:t>
      </w:r>
      <w:r>
        <w:rPr>
          <w:rFonts w:hint="eastAsia"/>
          <w:color w:val="auto"/>
          <w:sz w:val="24"/>
        </w:rPr>
        <w:t>11</w:t>
      </w:r>
      <w:r>
        <w:rPr>
          <w:color w:val="auto"/>
          <w:sz w:val="24"/>
        </w:rPr>
        <w:t>.3-1。</w:t>
      </w:r>
    </w:p>
    <w:p>
      <w:pPr>
        <w:adjustRightInd w:val="0"/>
        <w:snapToGrid w:val="0"/>
        <w:spacing w:line="360" w:lineRule="auto"/>
        <w:jc w:val="center"/>
        <w:rPr>
          <w:color w:val="auto"/>
        </w:rPr>
      </w:pPr>
      <w:r>
        <w:rPr>
          <w:color w:val="auto"/>
        </w:rPr>
        <mc:AlternateContent>
          <mc:Choice Requires="wps">
            <w:drawing>
              <wp:anchor distT="0" distB="0" distL="114300" distR="114300" simplePos="0" relativeHeight="251809792" behindDoc="0" locked="0" layoutInCell="1" allowOverlap="1">
                <wp:simplePos x="0" y="0"/>
                <wp:positionH relativeFrom="column">
                  <wp:posOffset>4000500</wp:posOffset>
                </wp:positionH>
                <wp:positionV relativeFrom="paragraph">
                  <wp:posOffset>2120265</wp:posOffset>
                </wp:positionV>
                <wp:extent cx="75565" cy="75565"/>
                <wp:effectExtent l="4445" t="4445" r="11430" b="11430"/>
                <wp:wrapNone/>
                <wp:docPr id="70" name="椭圆 7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15pt;margin-top:166.95pt;height:5.95pt;width:5.95pt;z-index:251809792;mso-width-relative:page;mso-height-relative:page;" fillcolor="#FF0000" filled="t" stroked="t" coordsize="21600,21600" o:gfxdata="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7BLxidkAAAALAQAADwAA&#10;AAAAAAABACAAAAAiAAAAZHJzL2Rvd25yZXYueG1sUEsBAhQAFAAAAAgAh07iQPFoeUbcAQAAyAMA&#10;AA4AAAAAAAAAAQAgAAAAKAEAAGRycy9lMm9Eb2MueG1sUEsFBgAAAAAGAAYAWQEAAHYFAAAAAA==&#10;">
                <v:fill on="t"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810816" behindDoc="0" locked="0" layoutInCell="1" allowOverlap="1">
                <wp:simplePos x="0" y="0"/>
                <wp:positionH relativeFrom="column">
                  <wp:posOffset>4133850</wp:posOffset>
                </wp:positionH>
                <wp:positionV relativeFrom="paragraph">
                  <wp:posOffset>1716405</wp:posOffset>
                </wp:positionV>
                <wp:extent cx="651510" cy="267970"/>
                <wp:effectExtent l="34925" t="4445" r="14605" b="184785"/>
                <wp:wrapNone/>
                <wp:docPr id="69" name="矩形标注 69"/>
                <wp:cNvGraphicFramePr/>
                <a:graphic xmlns:a="http://schemas.openxmlformats.org/drawingml/2006/main">
                  <a:graphicData uri="http://schemas.microsoft.com/office/word/2010/wordprocessingShape">
                    <wps:wsp>
                      <wps:cNvSpPr/>
                      <wps:spPr>
                        <a:xfrm>
                          <a:off x="0" y="0"/>
                          <a:ext cx="651510" cy="267970"/>
                        </a:xfrm>
                        <a:prstGeom prst="wedgeRectCallout">
                          <a:avLst>
                            <a:gd name="adj1" fmla="val -52523"/>
                            <a:gd name="adj2" fmla="val 107940"/>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rPr>
                                <w:sz w:val="18"/>
                                <w:szCs w:val="18"/>
                              </w:rPr>
                            </w:pPr>
                            <w:r>
                              <w:rPr>
                                <w:rFonts w:hint="eastAsia"/>
                                <w:sz w:val="18"/>
                                <w:szCs w:val="18"/>
                              </w:rPr>
                              <w:t>项目位置</w:t>
                            </w:r>
                          </w:p>
                        </w:txbxContent>
                      </wps:txbx>
                      <wps:bodyPr upright="1"/>
                    </wps:wsp>
                  </a:graphicData>
                </a:graphic>
              </wp:anchor>
            </w:drawing>
          </mc:Choice>
          <mc:Fallback>
            <w:pict>
              <v:shape id="_x0000_s1026" o:spid="_x0000_s1026" o:spt="61" type="#_x0000_t61" style="position:absolute;left:0pt;margin-left:325.5pt;margin-top:135.15pt;height:21.1pt;width:51.3pt;z-index:251810816;mso-width-relative:page;mso-height-relative:page;" fillcolor="#FFFFFF" filled="t" stroked="t" coordsize="21600,21600" o:gfxdata="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Gx5NTa&#10;AAAACwEAAA8AAAAAAAAAAQAgAAAAIgAAAGRycy9kb3ducmV2LnhtbFBLAQIUABQAAAAIAIdO4kBO&#10;yTQvHgIAAEEEAAAOAAAAAAAAAAEAIAAAACkBAABkcnMvZTJvRG9jLnhtbFBLBQYAAAAABgAGAFkB&#10;AAC5BQAAAAA=&#10;" adj="-545,34115">
                <v:fill on="t" focussize="0,0"/>
                <v:stroke color="#000000" joinstyle="miter"/>
                <v:imagedata o:title=""/>
                <o:lock v:ext="edit" aspectratio="f"/>
                <v:textbox>
                  <w:txbxContent>
                    <w:p>
                      <w:pPr>
                        <w:adjustRightInd w:val="0"/>
                        <w:snapToGrid w:val="0"/>
                        <w:rPr>
                          <w:sz w:val="18"/>
                          <w:szCs w:val="18"/>
                        </w:rPr>
                      </w:pPr>
                      <w:r>
                        <w:rPr>
                          <w:rFonts w:hint="eastAsia"/>
                          <w:sz w:val="18"/>
                          <w:szCs w:val="18"/>
                        </w:rPr>
                        <w:t>项目位置</w:t>
                      </w:r>
                    </w:p>
                  </w:txbxContent>
                </v:textbox>
              </v:shape>
            </w:pict>
          </mc:Fallback>
        </mc:AlternateContent>
      </w:r>
      <w:r>
        <w:rPr>
          <w:color w:val="auto"/>
          <w:lang w:bidi="ar"/>
        </w:rPr>
        <w:drawing>
          <wp:inline distT="0" distB="0" distL="114300" distR="114300">
            <wp:extent cx="6844030" cy="5300980"/>
            <wp:effectExtent l="0" t="0" r="13970" b="13970"/>
            <wp:docPr id="71" name="图片 3" descr="图7 广东省主体功能区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descr="图7 广东省主体功能区划分总图"/>
                    <pic:cNvPicPr>
                      <a:picLocks noChangeAspect="1"/>
                    </pic:cNvPicPr>
                  </pic:nvPicPr>
                  <pic:blipFill>
                    <a:blip r:embed="rId109"/>
                    <a:srcRect/>
                    <a:stretch>
                      <a:fillRect/>
                    </a:stretch>
                  </pic:blipFill>
                  <pic:spPr>
                    <a:xfrm>
                      <a:off x="0" y="0"/>
                      <a:ext cx="6844030" cy="5300980"/>
                    </a:xfrm>
                    <a:prstGeom prst="rect">
                      <a:avLst/>
                    </a:prstGeom>
                    <a:noFill/>
                    <a:ln>
                      <a:noFill/>
                    </a:ln>
                  </pic:spPr>
                </pic:pic>
              </a:graphicData>
            </a:graphic>
          </wp:inline>
        </w:drawing>
      </w:r>
    </w:p>
    <w:p>
      <w:pPr>
        <w:tabs>
          <w:tab w:val="left" w:pos="840"/>
          <w:tab w:val="left" w:pos="945"/>
        </w:tabs>
        <w:autoSpaceDE w:val="0"/>
        <w:autoSpaceDN w:val="0"/>
        <w:adjustRightInd w:val="0"/>
        <w:spacing w:line="360" w:lineRule="auto"/>
        <w:jc w:val="center"/>
        <w:rPr>
          <w:b/>
          <w:color w:val="auto"/>
          <w:kern w:val="0"/>
          <w:szCs w:val="21"/>
          <w:lang w:val="zh-CN"/>
        </w:rPr>
        <w:sectPr>
          <w:pgSz w:w="16838" w:h="11906" w:orient="landscape"/>
          <w:pgMar w:top="1587" w:right="1417" w:bottom="1279" w:left="1417" w:header="850" w:footer="992" w:gutter="0"/>
          <w:pgBorders>
            <w:top w:val="none" w:sz="0" w:space="0"/>
            <w:left w:val="none" w:sz="0" w:space="0"/>
            <w:bottom w:val="none" w:sz="0" w:space="0"/>
            <w:right w:val="none" w:sz="0" w:space="0"/>
          </w:pgBorders>
          <w:cols w:space="0" w:num="1"/>
          <w:docGrid w:type="lines" w:linePitch="318" w:charSpace="0"/>
        </w:sectPr>
      </w:pPr>
      <w:r>
        <w:rPr>
          <w:b/>
          <w:color w:val="auto"/>
          <w:kern w:val="0"/>
          <w:szCs w:val="21"/>
          <w:lang w:val="zh-CN"/>
        </w:rPr>
        <w:t>图</w:t>
      </w:r>
      <w:r>
        <w:rPr>
          <w:rFonts w:hint="eastAsia"/>
          <w:b/>
          <w:color w:val="auto"/>
          <w:kern w:val="0"/>
          <w:szCs w:val="21"/>
        </w:rPr>
        <w:t>11</w:t>
      </w:r>
      <w:r>
        <w:rPr>
          <w:b/>
          <w:color w:val="auto"/>
          <w:kern w:val="0"/>
          <w:szCs w:val="21"/>
        </w:rPr>
        <w:t>.3</w:t>
      </w:r>
      <w:r>
        <w:rPr>
          <w:b/>
          <w:color w:val="auto"/>
          <w:kern w:val="0"/>
          <w:szCs w:val="21"/>
          <w:lang w:val="zh-CN"/>
        </w:rPr>
        <w:t>-1 广东省主体功能区划分总图</w:t>
      </w:r>
    </w:p>
    <w:p>
      <w:pPr>
        <w:pStyle w:val="7"/>
        <w:numPr>
          <w:ilvl w:val="2"/>
          <w:numId w:val="0"/>
        </w:numPr>
        <w:tabs>
          <w:tab w:val="clear" w:pos="720"/>
        </w:tabs>
        <w:spacing w:before="159" w:after="159"/>
        <w:rPr>
          <w:bCs/>
          <w:color w:val="auto"/>
          <w:sz w:val="24"/>
          <w:szCs w:val="24"/>
        </w:rPr>
      </w:pPr>
      <w:bookmarkStart w:id="3293" w:name="_Toc19355"/>
      <w:r>
        <w:rPr>
          <w:rFonts w:hint="eastAsia"/>
          <w:bCs/>
          <w:color w:val="auto"/>
          <w:sz w:val="24"/>
          <w:szCs w:val="24"/>
        </w:rPr>
        <w:t xml:space="preserve">11.3.2  </w:t>
      </w:r>
      <w:r>
        <w:rPr>
          <w:bCs/>
          <w:color w:val="auto"/>
          <w:sz w:val="24"/>
          <w:szCs w:val="24"/>
        </w:rPr>
        <w:t>与《</w:t>
      </w:r>
      <w:r>
        <w:rPr>
          <w:rFonts w:hint="eastAsia"/>
          <w:bCs/>
          <w:color w:val="auto"/>
          <w:sz w:val="24"/>
          <w:szCs w:val="24"/>
          <w:lang w:eastAsia="zh-CN"/>
        </w:rPr>
        <w:t>清远市城市总体规划（2016-2035年）</w:t>
      </w:r>
      <w:r>
        <w:rPr>
          <w:bCs/>
          <w:color w:val="auto"/>
          <w:sz w:val="24"/>
          <w:szCs w:val="24"/>
        </w:rPr>
        <w:t>》相符性分析</w:t>
      </w:r>
      <w:bookmarkEnd w:id="3293"/>
    </w:p>
    <w:p>
      <w:pPr>
        <w:spacing w:after="2" w:line="360" w:lineRule="auto"/>
        <w:ind w:firstLine="480" w:firstLineChars="200"/>
        <w:rPr>
          <w:rFonts w:hint="default" w:ascii="Times New Roman" w:hAnsi="Times New Roman" w:eastAsia="宋体" w:cs="Times New Roman"/>
          <w:i w:val="0"/>
          <w:caps w:val="0"/>
          <w:color w:val="auto"/>
          <w:spacing w:val="0"/>
          <w:sz w:val="24"/>
          <w:szCs w:val="24"/>
          <w:shd w:val="clear" w:fill="FFFFFF"/>
        </w:rPr>
      </w:pPr>
      <w:r>
        <w:rPr>
          <w:rFonts w:hint="default" w:ascii="Times New Roman" w:hAnsi="Times New Roman" w:eastAsia="宋体" w:cs="Times New Roman"/>
          <w:color w:val="auto"/>
          <w:sz w:val="24"/>
          <w:szCs w:val="24"/>
        </w:rPr>
        <w:t>根据《</w:t>
      </w:r>
      <w:r>
        <w:rPr>
          <w:rFonts w:hint="default" w:ascii="Times New Roman" w:hAnsi="Times New Roman" w:eastAsia="宋体" w:cs="Times New Roman"/>
          <w:color w:val="auto"/>
          <w:sz w:val="24"/>
          <w:szCs w:val="24"/>
          <w:lang w:eastAsia="zh-CN"/>
        </w:rPr>
        <w:t>清远市城市总体规划（2016-2035年）</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i w:val="0"/>
          <w:caps w:val="0"/>
          <w:color w:val="auto"/>
          <w:spacing w:val="0"/>
          <w:sz w:val="24"/>
          <w:szCs w:val="24"/>
          <w:shd w:val="clear" w:fill="FFFFFF"/>
        </w:rPr>
        <w:t>2035年中心城区城市开发用地应控制在城镇开发边界320km²内。该范围建设用地为组织编制控制性详细规划范围，以控制性详细规划进行具体管控。</w:t>
      </w:r>
    </w:p>
    <w:p>
      <w:pPr>
        <w:spacing w:after="2" w:line="360" w:lineRule="auto"/>
        <w:ind w:firstLine="480" w:firstLineChars="200"/>
        <w:rPr>
          <w:rFonts w:hint="eastAsia"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城市规划区空间管制</w:t>
      </w:r>
      <w:r>
        <w:rPr>
          <w:rFonts w:hint="default" w:ascii="Times New Roman" w:hAnsi="Times New Roman" w:eastAsia="宋体" w:cs="Times New Roman"/>
          <w:color w:val="auto"/>
          <w:sz w:val="24"/>
          <w:szCs w:val="24"/>
        </w:rPr>
        <w:t>图见图11.3-2</w:t>
      </w:r>
      <w:r>
        <w:rPr>
          <w:rFonts w:hint="eastAsia" w:cs="Times New Roman"/>
          <w:color w:val="auto"/>
          <w:sz w:val="24"/>
          <w:szCs w:val="24"/>
          <w:lang w:eastAsia="zh-CN"/>
        </w:rPr>
        <w:t>。</w:t>
      </w:r>
      <w:r>
        <w:rPr>
          <w:rFonts w:hint="eastAsia" w:cs="Times New Roman"/>
          <w:color w:val="auto"/>
          <w:sz w:val="24"/>
          <w:szCs w:val="24"/>
          <w:lang w:val="en-US" w:eastAsia="zh-CN"/>
        </w:rPr>
        <w:t>如图可知，本项位于城镇空间内，不涉及生态空间、农业空间和一级生态保护线。</w:t>
      </w:r>
    </w:p>
    <w:p>
      <w:pPr>
        <w:pStyle w:val="2"/>
        <w:ind w:left="418" w:leftChars="0" w:hanging="418" w:hangingChars="209"/>
        <w:jc w:val="center"/>
        <w:rPr>
          <w:rFonts w:hint="eastAsia" w:eastAsia="宋体"/>
          <w:color w:val="auto"/>
          <w:lang w:eastAsia="zh-CN"/>
        </w:rPr>
      </w:pPr>
      <w:r>
        <w:rPr>
          <w:rFonts w:hint="eastAsia" w:eastAsia="宋体"/>
          <w:color w:val="auto"/>
          <w:lang w:eastAsia="zh-CN"/>
        </w:rPr>
        <w:drawing>
          <wp:inline distT="0" distB="0" distL="114300" distR="114300">
            <wp:extent cx="4803140" cy="6445885"/>
            <wp:effectExtent l="0" t="0" r="16510" b="12065"/>
            <wp:docPr id="118" name="图片 118" descr="城市规划区空间管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城市规划区空间管制图"/>
                    <pic:cNvPicPr>
                      <a:picLocks noChangeAspect="1"/>
                    </pic:cNvPicPr>
                  </pic:nvPicPr>
                  <pic:blipFill>
                    <a:blip r:embed="rId110"/>
                    <a:srcRect t="2753" b="2044"/>
                    <a:stretch>
                      <a:fillRect/>
                    </a:stretch>
                  </pic:blipFill>
                  <pic:spPr>
                    <a:xfrm>
                      <a:off x="0" y="0"/>
                      <a:ext cx="4803140" cy="6445885"/>
                    </a:xfrm>
                    <a:prstGeom prst="rect">
                      <a:avLst/>
                    </a:prstGeom>
                  </pic:spPr>
                </pic:pic>
              </a:graphicData>
            </a:graphic>
          </wp:inline>
        </w:drawing>
      </w:r>
    </w:p>
    <w:p>
      <w:pPr>
        <w:pStyle w:val="2"/>
        <w:ind w:left="504" w:leftChars="0" w:hanging="504" w:hangingChars="209"/>
        <w:jc w:val="center"/>
        <w:rPr>
          <w:rFonts w:hint="default" w:ascii="Times New Roman" w:hAnsi="Times New Roman" w:eastAsia="宋体" w:cs="Times New Roman"/>
          <w:color w:val="auto"/>
          <w:lang w:eastAsia="zh-CN"/>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rFonts w:hint="default" w:ascii="Times New Roman" w:hAnsi="Times New Roman" w:eastAsia="宋体" w:cs="Times New Roman"/>
          <w:b/>
          <w:bCs/>
          <w:i w:val="0"/>
          <w:iCs w:val="0"/>
          <w:color w:val="auto"/>
          <w:kern w:val="2"/>
          <w:sz w:val="24"/>
          <w:szCs w:val="24"/>
          <w:lang w:val="en-US" w:eastAsia="zh-CN" w:bidi="ar-SA"/>
        </w:rPr>
        <w:t>图11.3-2  城市规划区空间管制图</w:t>
      </w:r>
    </w:p>
    <w:p>
      <w:pPr>
        <w:pStyle w:val="7"/>
        <w:numPr>
          <w:ilvl w:val="2"/>
          <w:numId w:val="0"/>
        </w:numPr>
        <w:tabs>
          <w:tab w:val="clear" w:pos="720"/>
        </w:tabs>
        <w:spacing w:before="159" w:after="159"/>
        <w:rPr>
          <w:bCs/>
          <w:color w:val="auto"/>
          <w:sz w:val="24"/>
          <w:szCs w:val="24"/>
        </w:rPr>
      </w:pPr>
      <w:r>
        <w:rPr>
          <w:rFonts w:hint="eastAsia"/>
          <w:bCs/>
          <w:color w:val="auto"/>
          <w:sz w:val="24"/>
          <w:szCs w:val="24"/>
        </w:rPr>
        <w:t xml:space="preserve">11.3.3  </w:t>
      </w:r>
      <w:r>
        <w:rPr>
          <w:bCs/>
          <w:color w:val="auto"/>
          <w:sz w:val="24"/>
          <w:szCs w:val="24"/>
        </w:rPr>
        <w:t>与《清远市土地利用总体规划（2011-2020）》相符性分析</w:t>
      </w:r>
    </w:p>
    <w:p>
      <w:pPr>
        <w:adjustRightInd w:val="0"/>
        <w:snapToGrid w:val="0"/>
        <w:spacing w:line="360" w:lineRule="auto"/>
        <w:ind w:firstLine="480" w:firstLineChars="200"/>
        <w:rPr>
          <w:bCs/>
          <w:color w:val="auto"/>
          <w:sz w:val="24"/>
          <w:szCs w:val="28"/>
        </w:rPr>
      </w:pPr>
      <w:r>
        <w:rPr>
          <w:color w:val="auto"/>
          <w:sz w:val="24"/>
        </w:rPr>
        <w:t>本项目位于清远市清城区石角镇石角工业园内。石角工业园位于清远市石角镇区以南，广清产业转移园和美林湖社区以西，根据清远市空间规划信息网2019年1月公布的《清远市石角工业园控制性详细规划》</w:t>
      </w:r>
      <w:r>
        <w:rPr>
          <w:rFonts w:hint="eastAsia"/>
          <w:color w:val="auto"/>
          <w:sz w:val="24"/>
          <w:lang w:eastAsia="zh-CN"/>
        </w:rPr>
        <w:t>，</w:t>
      </w:r>
      <w:r>
        <w:rPr>
          <w:color w:val="auto"/>
          <w:sz w:val="24"/>
        </w:rPr>
        <w:t>本地块性质属于工业用地</w:t>
      </w:r>
      <w:r>
        <w:rPr>
          <w:rFonts w:hint="eastAsia"/>
          <w:color w:val="auto"/>
          <w:sz w:val="24"/>
          <w:lang w:eastAsia="zh-CN"/>
        </w:rPr>
        <w:t>。</w:t>
      </w:r>
      <w:r>
        <w:rPr>
          <w:color w:val="auto"/>
          <w:sz w:val="24"/>
        </w:rPr>
        <w:t>本项目建设符合土地使用规划要求。石角工业园控制性详细规划如</w:t>
      </w:r>
      <w:r>
        <w:rPr>
          <w:rFonts w:hint="eastAsia"/>
          <w:color w:val="auto"/>
          <w:sz w:val="24"/>
          <w:lang w:val="en-US" w:eastAsia="zh-CN"/>
        </w:rPr>
        <w:t>下图</w:t>
      </w:r>
      <w:r>
        <w:rPr>
          <w:color w:val="auto"/>
          <w:sz w:val="24"/>
        </w:rPr>
        <w:t>。</w:t>
      </w:r>
    </w:p>
    <w:p>
      <w:pPr>
        <w:jc w:val="center"/>
        <w:rPr>
          <w:color w:val="auto"/>
        </w:rPr>
      </w:pPr>
      <w:r>
        <w:rPr>
          <w:bCs/>
          <w:color w:val="auto"/>
          <w:sz w:val="24"/>
          <w:szCs w:val="28"/>
        </w:rPr>
        <w:drawing>
          <wp:inline distT="0" distB="0" distL="114300" distR="114300">
            <wp:extent cx="5843270" cy="6111240"/>
            <wp:effectExtent l="0" t="0" r="5080" b="3810"/>
            <wp:docPr id="107" name="图片 107" descr="《清远市石角工业园控制性详细规划》批后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清远市石角工业园控制性详细规划》批后公告"/>
                    <pic:cNvPicPr>
                      <a:picLocks noChangeAspect="1"/>
                    </pic:cNvPicPr>
                  </pic:nvPicPr>
                  <pic:blipFill>
                    <a:blip r:embed="rId111"/>
                    <a:stretch>
                      <a:fillRect/>
                    </a:stretch>
                  </pic:blipFill>
                  <pic:spPr>
                    <a:xfrm>
                      <a:off x="0" y="0"/>
                      <a:ext cx="5843270" cy="6111240"/>
                    </a:xfrm>
                    <a:prstGeom prst="rect">
                      <a:avLst/>
                    </a:prstGeom>
                  </pic:spPr>
                </pic:pic>
              </a:graphicData>
            </a:graphic>
          </wp:inline>
        </w:drawing>
      </w:r>
      <w:r>
        <w:rPr>
          <w:rFonts w:hint="eastAsia" w:ascii="Times New Roman" w:hAnsi="Times New Roman" w:eastAsia="宋体" w:cs="Times New Roman"/>
          <w:b/>
          <w:bCs/>
          <w:i w:val="0"/>
          <w:iCs w:val="0"/>
          <w:color w:val="auto"/>
          <w:kern w:val="2"/>
          <w:sz w:val="24"/>
          <w:szCs w:val="24"/>
          <w:lang w:val="en-US" w:eastAsia="zh-CN" w:bidi="ar-SA"/>
        </w:rPr>
        <w:t>图</w:t>
      </w:r>
      <w:r>
        <w:rPr>
          <w:rFonts w:hint="eastAsia" w:cs="Times New Roman"/>
          <w:b/>
          <w:bCs/>
          <w:i w:val="0"/>
          <w:iCs w:val="0"/>
          <w:color w:val="auto"/>
          <w:kern w:val="2"/>
          <w:sz w:val="24"/>
          <w:szCs w:val="24"/>
          <w:lang w:val="en-US" w:eastAsia="zh-CN" w:bidi="ar-SA"/>
        </w:rPr>
        <w:t>11</w:t>
      </w:r>
      <w:r>
        <w:rPr>
          <w:rFonts w:hint="eastAsia" w:ascii="Times New Roman" w:hAnsi="Times New Roman" w:eastAsia="宋体" w:cs="Times New Roman"/>
          <w:b/>
          <w:bCs/>
          <w:i w:val="0"/>
          <w:iCs w:val="0"/>
          <w:color w:val="auto"/>
          <w:kern w:val="2"/>
          <w:sz w:val="24"/>
          <w:szCs w:val="24"/>
          <w:lang w:val="en-US" w:eastAsia="zh-CN" w:bidi="ar-SA"/>
        </w:rPr>
        <w:t>.</w:t>
      </w:r>
      <w:r>
        <w:rPr>
          <w:rFonts w:hint="eastAsia" w:cs="Times New Roman"/>
          <w:b/>
          <w:bCs/>
          <w:i w:val="0"/>
          <w:iCs w:val="0"/>
          <w:color w:val="auto"/>
          <w:kern w:val="2"/>
          <w:sz w:val="24"/>
          <w:szCs w:val="24"/>
          <w:lang w:val="en-US" w:eastAsia="zh-CN" w:bidi="ar-SA"/>
        </w:rPr>
        <w:t>3-3</w:t>
      </w:r>
      <w:r>
        <w:rPr>
          <w:rFonts w:hint="eastAsia" w:ascii="Times New Roman" w:hAnsi="Times New Roman" w:eastAsia="宋体" w:cs="Times New Roman"/>
          <w:b/>
          <w:bCs/>
          <w:i w:val="0"/>
          <w:iCs w:val="0"/>
          <w:color w:val="auto"/>
          <w:kern w:val="2"/>
          <w:sz w:val="24"/>
          <w:szCs w:val="24"/>
          <w:lang w:val="en-US" w:eastAsia="zh-CN" w:bidi="ar-SA"/>
        </w:rPr>
        <w:t xml:space="preserve">  石角工业园控制性详细规划</w:t>
      </w:r>
    </w:p>
    <w:p>
      <w:pPr>
        <w:pStyle w:val="2"/>
        <w:rPr>
          <w:color w:val="auto"/>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pStyle w:val="7"/>
        <w:numPr>
          <w:ilvl w:val="2"/>
          <w:numId w:val="0"/>
        </w:numPr>
        <w:tabs>
          <w:tab w:val="clear" w:pos="720"/>
        </w:tabs>
        <w:spacing w:before="159" w:after="159"/>
        <w:rPr>
          <w:bCs/>
          <w:color w:val="auto"/>
          <w:szCs w:val="28"/>
        </w:rPr>
      </w:pPr>
      <w:bookmarkStart w:id="3294" w:name="_Toc2497"/>
      <w:r>
        <w:rPr>
          <w:rFonts w:hint="eastAsia"/>
          <w:bCs/>
          <w:color w:val="auto"/>
          <w:szCs w:val="28"/>
        </w:rPr>
        <w:t xml:space="preserve">11.3.4  </w:t>
      </w:r>
      <w:r>
        <w:rPr>
          <w:bCs/>
          <w:color w:val="auto"/>
          <w:szCs w:val="28"/>
        </w:rPr>
        <w:t>与《清远市人民政府关于扩大清远市区高污染燃料禁燃区的通告》</w:t>
      </w:r>
      <w:r>
        <w:rPr>
          <w:rFonts w:hint="eastAsia"/>
          <w:bCs/>
          <w:color w:val="auto"/>
          <w:szCs w:val="28"/>
        </w:rPr>
        <w:t>（清府函〔2020〕26号）</w:t>
      </w:r>
      <w:r>
        <w:rPr>
          <w:bCs/>
          <w:color w:val="auto"/>
          <w:szCs w:val="28"/>
        </w:rPr>
        <w:t>相符性分析</w:t>
      </w:r>
      <w:bookmarkEnd w:id="3294"/>
    </w:p>
    <w:p>
      <w:pPr>
        <w:spacing w:line="360" w:lineRule="auto"/>
        <w:ind w:firstLine="480" w:firstLineChars="200"/>
        <w:rPr>
          <w:color w:val="auto"/>
          <w:sz w:val="24"/>
        </w:rPr>
      </w:pPr>
      <w:r>
        <w:rPr>
          <w:rFonts w:hint="eastAsia"/>
          <w:color w:val="auto"/>
          <w:sz w:val="24"/>
        </w:rPr>
        <w:t>该通告中表明，禁燃区内不得新建、迁改扩建燃用高污染燃料设施，现有高污染燃料设施须于2020年9月30日前退出。未按照本通告规定改造使用清洁能源的高污染燃料设施由相关部门依法处理。</w:t>
      </w:r>
    </w:p>
    <w:p>
      <w:pPr>
        <w:spacing w:line="360" w:lineRule="auto"/>
        <w:ind w:firstLine="480" w:firstLineChars="200"/>
        <w:rPr>
          <w:color w:val="auto"/>
          <w:sz w:val="24"/>
        </w:rPr>
      </w:pPr>
      <w:r>
        <w:rPr>
          <w:rFonts w:hint="eastAsia"/>
          <w:color w:val="auto"/>
          <w:sz w:val="24"/>
        </w:rPr>
        <w:t>通告所划定禁燃区执行《高污染燃料目录》中第III类燃料组合作为禁燃区内高污染燃料类别，禁止燃用以下燃料组合类别：</w:t>
      </w:r>
    </w:p>
    <w:p>
      <w:pPr>
        <w:spacing w:line="360" w:lineRule="auto"/>
        <w:ind w:firstLine="480" w:firstLineChars="200"/>
        <w:rPr>
          <w:color w:val="auto"/>
          <w:sz w:val="24"/>
        </w:rPr>
      </w:pPr>
      <w:r>
        <w:rPr>
          <w:rFonts w:hint="eastAsia"/>
          <w:color w:val="auto"/>
          <w:sz w:val="24"/>
        </w:rPr>
        <w:t>（1）煤炭及其制品（包括原煤、散煤、煤矸石、煤泥、煤粉、水煤浆、型煤、焦炭、兰炭等）。</w:t>
      </w:r>
    </w:p>
    <w:p>
      <w:pPr>
        <w:spacing w:line="360" w:lineRule="auto"/>
        <w:ind w:firstLine="480" w:firstLineChars="200"/>
        <w:rPr>
          <w:color w:val="auto"/>
          <w:sz w:val="24"/>
        </w:rPr>
      </w:pPr>
      <w:r>
        <w:rPr>
          <w:rFonts w:hint="eastAsia"/>
          <w:color w:val="auto"/>
          <w:sz w:val="24"/>
        </w:rPr>
        <w:t>（2）石油焦、油页岩、原油、重油、渣油、煤焦油。</w:t>
      </w:r>
    </w:p>
    <w:p>
      <w:pPr>
        <w:spacing w:line="360" w:lineRule="auto"/>
        <w:ind w:firstLine="480" w:firstLineChars="200"/>
        <w:rPr>
          <w:color w:val="auto"/>
          <w:sz w:val="24"/>
        </w:rPr>
      </w:pPr>
      <w:r>
        <w:rPr>
          <w:rFonts w:hint="eastAsia"/>
          <w:color w:val="auto"/>
          <w:sz w:val="24"/>
        </w:rPr>
        <w:t>（3）非专用锅炉或未配置高效除尘设施的专用锅炉燃用的生物质成型燃料。</w:t>
      </w:r>
    </w:p>
    <w:p>
      <w:pPr>
        <w:spacing w:line="360" w:lineRule="auto"/>
        <w:ind w:firstLine="480" w:firstLineChars="200"/>
        <w:rPr>
          <w:color w:val="auto"/>
          <w:sz w:val="24"/>
        </w:rPr>
      </w:pPr>
      <w:r>
        <w:rPr>
          <w:rFonts w:hint="eastAsia"/>
          <w:color w:val="auto"/>
          <w:sz w:val="24"/>
        </w:rPr>
        <w:t>通告所称清洁能源是指：电、天然气、页岩气、液化石油气或其他清洁燃料。</w:t>
      </w:r>
    </w:p>
    <w:p>
      <w:pPr>
        <w:spacing w:line="360" w:lineRule="auto"/>
        <w:ind w:firstLine="480" w:firstLineChars="200"/>
        <w:rPr>
          <w:color w:val="auto"/>
          <w:sz w:val="24"/>
        </w:rPr>
      </w:pPr>
      <w:r>
        <w:rPr>
          <w:rFonts w:hint="eastAsia"/>
          <w:color w:val="auto"/>
          <w:sz w:val="24"/>
        </w:rPr>
        <w:t>根据清远市中心城区禁燃区范围示意图可知，项目所在地属于禁燃区范围内，项目新建锅炉燃料使用清洁能源天然气，不属于通告中列出的高污染燃料，故本项目符合《清远市人民政府关于扩大清远市区高污染燃料禁燃区的通告》（清府函〔2020〕26号）要求。</w:t>
      </w:r>
    </w:p>
    <w:p>
      <w:pPr>
        <w:spacing w:line="360" w:lineRule="auto"/>
        <w:ind w:firstLine="480" w:firstLineChars="200"/>
        <w:rPr>
          <w:color w:val="auto"/>
          <w:sz w:val="24"/>
        </w:rPr>
      </w:pPr>
    </w:p>
    <w:p>
      <w:pPr>
        <w:spacing w:line="360" w:lineRule="auto"/>
        <w:ind w:firstLine="480" w:firstLineChars="200"/>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p>
    <w:p>
      <w:pPr>
        <w:spacing w:line="360" w:lineRule="auto"/>
        <w:ind w:firstLine="420" w:firstLineChars="200"/>
        <w:rPr>
          <w:rFonts w:ascii="宋体" w:hAnsi="宋体" w:cs="宋体"/>
          <w:color w:val="auto"/>
          <w:sz w:val="24"/>
        </w:rPr>
      </w:pPr>
      <w:r>
        <w:rPr>
          <w:color w:val="auto"/>
        </w:rPr>
        <mc:AlternateContent>
          <mc:Choice Requires="wps">
            <w:drawing>
              <wp:anchor distT="0" distB="0" distL="114300" distR="114300" simplePos="0" relativeHeight="253524992" behindDoc="0" locked="0" layoutInCell="1" allowOverlap="1">
                <wp:simplePos x="0" y="0"/>
                <wp:positionH relativeFrom="column">
                  <wp:posOffset>2480310</wp:posOffset>
                </wp:positionH>
                <wp:positionV relativeFrom="paragraph">
                  <wp:posOffset>3342005</wp:posOffset>
                </wp:positionV>
                <wp:extent cx="922020" cy="314960"/>
                <wp:effectExtent l="6350" t="6350" r="405130" b="154940"/>
                <wp:wrapNone/>
                <wp:docPr id="138" name="圆角矩形标注 138"/>
                <wp:cNvGraphicFramePr/>
                <a:graphic xmlns:a="http://schemas.openxmlformats.org/drawingml/2006/main">
                  <a:graphicData uri="http://schemas.microsoft.com/office/word/2010/wordprocessingShape">
                    <wps:wsp>
                      <wps:cNvSpPr/>
                      <wps:spPr>
                        <a:xfrm>
                          <a:off x="0" y="0"/>
                          <a:ext cx="922020" cy="314960"/>
                        </a:xfrm>
                        <a:prstGeom prst="wedgeRoundRectCallout">
                          <a:avLst>
                            <a:gd name="adj1" fmla="val 87421"/>
                            <a:gd name="adj2" fmla="val 89111"/>
                            <a:gd name="adj3" fmla="val 16667"/>
                          </a:avLst>
                        </a:prstGeom>
                        <a:noFill/>
                        <a:ln w="12700" cap="flat" cmpd="sng">
                          <a:solidFill>
                            <a:srgbClr val="000000"/>
                          </a:solidFill>
                          <a:prstDash val="solid"/>
                          <a:miter/>
                          <a:headEnd type="none" w="med" len="med"/>
                          <a:tailEnd type="none" w="med" len="med"/>
                        </a:ln>
                      </wps:spPr>
                      <wps:txbx>
                        <w:txbxContent>
                          <w:p>
                            <w:pPr>
                              <w:rPr>
                                <w:b/>
                                <w:bCs/>
                              </w:rPr>
                            </w:pPr>
                            <w:r>
                              <w:rPr>
                                <w:rFonts w:hint="eastAsia"/>
                                <w:b/>
                                <w:bCs/>
                              </w:rPr>
                              <w:t>项目所在地</w:t>
                            </w:r>
                          </w:p>
                        </w:txbxContent>
                      </wps:txbx>
                      <wps:bodyPr upright="1"/>
                    </wps:wsp>
                  </a:graphicData>
                </a:graphic>
              </wp:anchor>
            </w:drawing>
          </mc:Choice>
          <mc:Fallback>
            <w:pict>
              <v:shape id="_x0000_s1026" o:spid="_x0000_s1026" o:spt="62" type="#_x0000_t62" style="position:absolute;left:0pt;margin-left:195.3pt;margin-top:263.15pt;height:24.8pt;width:72.6pt;z-index:253524992;mso-width-relative:page;mso-height-relative:page;" filled="f" stroked="t" coordsize="21600,21600" o:gfxdata="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NjYCjZAAAACwEAAA8AAAAAAAAAAQAgAAAAIgAAAGRycy9kb3ducmV2LnhtbFBL&#10;AQIUABQAAAAIAIdO4kATGUbYLgIAAEgEAAAOAAAAAAAAAAEAIAAAACgBAABkcnMvZTJvRG9jLnht&#10;bFBLBQYAAAAABgAGAFkBAADIBQAAAAA=&#10;" adj="29683,30048,14400">
                <v:fill on="f" focussize="0,0"/>
                <v:stroke weight="1pt" color="#000000" joinstyle="miter"/>
                <v:imagedata o:title=""/>
                <o:lock v:ext="edit" aspectratio="f"/>
                <v:textbox>
                  <w:txbxContent>
                    <w:p>
                      <w:pPr>
                        <w:rPr>
                          <w:b/>
                          <w:bCs/>
                        </w:rPr>
                      </w:pPr>
                      <w:r>
                        <w:rPr>
                          <w:rFonts w:hint="eastAsia"/>
                          <w:b/>
                          <w:bCs/>
                        </w:rPr>
                        <w:t>项目所在地</w:t>
                      </w:r>
                    </w:p>
                  </w:txbxContent>
                </v:textbox>
              </v:shape>
            </w:pict>
          </mc:Fallback>
        </mc:AlternateContent>
      </w:r>
      <w:r>
        <w:rPr>
          <w:color w:val="auto"/>
          <w:sz w:val="24"/>
        </w:rPr>
        <mc:AlternateContent>
          <mc:Choice Requires="wps">
            <w:drawing>
              <wp:anchor distT="0" distB="0" distL="114300" distR="114300" simplePos="0" relativeHeight="253292544" behindDoc="0" locked="0" layoutInCell="1" allowOverlap="1">
                <wp:simplePos x="0" y="0"/>
                <wp:positionH relativeFrom="column">
                  <wp:posOffset>3793490</wp:posOffset>
                </wp:positionH>
                <wp:positionV relativeFrom="paragraph">
                  <wp:posOffset>3785870</wp:posOffset>
                </wp:positionV>
                <wp:extent cx="93980" cy="76200"/>
                <wp:effectExtent l="6350" t="6350" r="13970" b="12700"/>
                <wp:wrapNone/>
                <wp:docPr id="137" name="椭圆 137"/>
                <wp:cNvGraphicFramePr/>
                <a:graphic xmlns:a="http://schemas.openxmlformats.org/drawingml/2006/main">
                  <a:graphicData uri="http://schemas.microsoft.com/office/word/2010/wordprocessingShape">
                    <wps:wsp>
                      <wps:cNvSpPr/>
                      <wps:spPr>
                        <a:xfrm>
                          <a:off x="4631055" y="4917440"/>
                          <a:ext cx="93980" cy="76200"/>
                        </a:xfrm>
                        <a:prstGeom prst="ellipse">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8.7pt;margin-top:298.1pt;height:6pt;width:7.4pt;z-index:253292544;v-text-anchor:middle;mso-width-relative:page;mso-height-relative:page;" fillcolor="#FF0000" filled="t" stroked="t" coordsize="21600,21600" o:gfxdata="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uIiA+2AAAAAsBAAAPAAAAAAAAAAEAIAAAACIAAABkcnMvZG93&#10;bnJldi54bWxQSwECFAAUAAAACACHTuJA/xGHcXICAADXBAAADgAAAAAAAAABACAAAAAnAQAAZHJz&#10;L2Uyb0RvYy54bWxQSwUGAAAAAAYABgBZAQAACwYAAAAA&#10;">
                <v:fill on="t" focussize="0,0"/>
                <v:stroke weight="1pt" color="#AE5A21 [3205]" miterlimit="8" joinstyle="miter"/>
                <v:imagedata o:title=""/>
                <o:lock v:ext="edit" aspectratio="f"/>
              </v:shape>
            </w:pict>
          </mc:Fallback>
        </mc:AlternateContent>
      </w:r>
      <w:r>
        <w:rPr>
          <w:rFonts w:ascii="宋体" w:hAnsi="宋体" w:cs="宋体"/>
          <w:color w:val="auto"/>
          <w:sz w:val="24"/>
        </w:rPr>
        <w:drawing>
          <wp:inline distT="0" distB="0" distL="114300" distR="114300">
            <wp:extent cx="7820025" cy="5000625"/>
            <wp:effectExtent l="0" t="0" r="9525" b="9525"/>
            <wp:docPr id="136"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5" descr="IMG_256"/>
                    <pic:cNvPicPr>
                      <a:picLocks noChangeAspect="1"/>
                    </pic:cNvPicPr>
                  </pic:nvPicPr>
                  <pic:blipFill>
                    <a:blip r:embed="rId112"/>
                    <a:stretch>
                      <a:fillRect/>
                    </a:stretch>
                  </pic:blipFill>
                  <pic:spPr>
                    <a:xfrm>
                      <a:off x="0" y="0"/>
                      <a:ext cx="7820025" cy="5000625"/>
                    </a:xfrm>
                    <a:prstGeom prst="rect">
                      <a:avLst/>
                    </a:prstGeom>
                    <a:noFill/>
                    <a:ln w="9525">
                      <a:noFill/>
                    </a:ln>
                  </pic:spPr>
                </pic:pic>
              </a:graphicData>
            </a:graphic>
          </wp:inline>
        </w:drawing>
      </w:r>
    </w:p>
    <w:p>
      <w:pPr>
        <w:spacing w:line="360" w:lineRule="auto"/>
        <w:jc w:val="center"/>
        <w:rPr>
          <w:b/>
          <w:color w:val="auto"/>
          <w:szCs w:val="21"/>
        </w:rPr>
        <w:sectPr>
          <w:pgSz w:w="16838" w:h="11906" w:orient="landscape"/>
          <w:pgMar w:top="1587" w:right="1417" w:bottom="1587" w:left="1417" w:header="850" w:footer="992" w:gutter="0"/>
          <w:pgBorders>
            <w:top w:val="none" w:sz="0" w:space="0"/>
            <w:left w:val="none" w:sz="0" w:space="0"/>
            <w:bottom w:val="none" w:sz="0" w:space="0"/>
            <w:right w:val="none" w:sz="0" w:space="0"/>
          </w:pgBorders>
          <w:cols w:space="0" w:num="1"/>
          <w:docGrid w:type="lines" w:linePitch="318" w:charSpace="0"/>
        </w:sectPr>
      </w:pPr>
      <w:r>
        <w:rPr>
          <w:rFonts w:hint="eastAsia"/>
          <w:b/>
          <w:color w:val="auto"/>
          <w:szCs w:val="21"/>
        </w:rPr>
        <w:t>图11.3-4 清远市中心城区禁燃区范围示意图</w:t>
      </w:r>
    </w:p>
    <w:p>
      <w:pPr>
        <w:pStyle w:val="7"/>
        <w:numPr>
          <w:ilvl w:val="2"/>
          <w:numId w:val="0"/>
        </w:numPr>
        <w:tabs>
          <w:tab w:val="clear" w:pos="720"/>
        </w:tabs>
        <w:spacing w:before="159" w:after="159"/>
        <w:rPr>
          <w:bCs/>
          <w:color w:val="auto"/>
          <w:szCs w:val="28"/>
        </w:rPr>
      </w:pPr>
      <w:bookmarkStart w:id="3295" w:name="_Toc21336"/>
      <w:r>
        <w:rPr>
          <w:rFonts w:hint="eastAsia"/>
          <w:bCs/>
          <w:color w:val="auto"/>
          <w:szCs w:val="28"/>
        </w:rPr>
        <w:t xml:space="preserve">11.3.5  </w:t>
      </w:r>
      <w:r>
        <w:rPr>
          <w:bCs/>
          <w:color w:val="auto"/>
          <w:szCs w:val="28"/>
        </w:rPr>
        <w:t>与《清远市再生资源回收管理暂行办法》</w:t>
      </w:r>
      <w:r>
        <w:rPr>
          <w:rFonts w:hint="eastAsia"/>
          <w:bCs/>
          <w:color w:val="auto"/>
          <w:szCs w:val="28"/>
        </w:rPr>
        <w:t>（清府办〔2020〕5号）</w:t>
      </w:r>
      <w:r>
        <w:rPr>
          <w:bCs/>
          <w:color w:val="auto"/>
          <w:szCs w:val="28"/>
        </w:rPr>
        <w:t>相符性分析</w:t>
      </w:r>
      <w:bookmarkEnd w:id="3295"/>
    </w:p>
    <w:p>
      <w:pPr>
        <w:spacing w:line="360" w:lineRule="auto"/>
        <w:ind w:firstLine="480" w:firstLineChars="200"/>
        <w:rPr>
          <w:color w:val="auto"/>
          <w:sz w:val="24"/>
        </w:rPr>
      </w:pPr>
      <w:r>
        <w:rPr>
          <w:rFonts w:hint="eastAsia"/>
          <w:color w:val="auto"/>
          <w:sz w:val="24"/>
        </w:rPr>
        <w:t>办法中指出禁止在下列区域和地点设立再生资源回收站点：</w:t>
      </w:r>
    </w:p>
    <w:p>
      <w:pPr>
        <w:spacing w:line="360" w:lineRule="auto"/>
        <w:ind w:firstLine="480" w:firstLineChars="200"/>
        <w:rPr>
          <w:color w:val="auto"/>
          <w:sz w:val="24"/>
        </w:rPr>
      </w:pPr>
      <w:r>
        <w:rPr>
          <w:rFonts w:hint="eastAsia"/>
          <w:color w:val="auto"/>
          <w:sz w:val="24"/>
        </w:rPr>
        <w:t>（1）城市建成区内国道、省道、高速公路及河洪道、明渠两侧，两侧范围大小按照相关法律法规有关规定执行；</w:t>
      </w:r>
    </w:p>
    <w:p>
      <w:pPr>
        <w:spacing w:line="360" w:lineRule="auto"/>
        <w:ind w:firstLine="480" w:firstLineChars="200"/>
        <w:rPr>
          <w:color w:val="auto"/>
          <w:sz w:val="24"/>
        </w:rPr>
      </w:pPr>
      <w:r>
        <w:rPr>
          <w:rFonts w:hint="eastAsia"/>
          <w:color w:val="auto"/>
          <w:sz w:val="24"/>
        </w:rPr>
        <w:t>（2）旅游景点；</w:t>
      </w:r>
    </w:p>
    <w:p>
      <w:pPr>
        <w:spacing w:line="360" w:lineRule="auto"/>
        <w:ind w:firstLine="480" w:firstLineChars="200"/>
        <w:rPr>
          <w:color w:val="auto"/>
          <w:sz w:val="24"/>
        </w:rPr>
      </w:pPr>
      <w:r>
        <w:rPr>
          <w:rFonts w:hint="eastAsia"/>
          <w:color w:val="auto"/>
          <w:sz w:val="24"/>
        </w:rPr>
        <w:t>（3）铁路、港口、军事禁区、水源保护区、基本农田保护区、变电站、电厂区域范围内及周边距离50米区域；</w:t>
      </w:r>
    </w:p>
    <w:p>
      <w:pPr>
        <w:spacing w:line="360" w:lineRule="auto"/>
        <w:ind w:firstLine="480" w:firstLineChars="200"/>
        <w:rPr>
          <w:color w:val="auto"/>
          <w:sz w:val="24"/>
        </w:rPr>
      </w:pPr>
      <w:r>
        <w:rPr>
          <w:rFonts w:hint="eastAsia"/>
          <w:color w:val="auto"/>
          <w:sz w:val="24"/>
        </w:rPr>
        <w:t>（4）高压走廊内（包括110千伏电力高压线边导线垂直投影向外10米范围内、220千伏电力高压线边导线垂直投影向外15米范围内、500千伏电力高压线边导线垂直投影向外20米范围内）；</w:t>
      </w:r>
    </w:p>
    <w:p>
      <w:pPr>
        <w:spacing w:line="360" w:lineRule="auto"/>
        <w:ind w:firstLine="480" w:firstLineChars="200"/>
        <w:rPr>
          <w:color w:val="auto"/>
          <w:sz w:val="24"/>
        </w:rPr>
      </w:pPr>
      <w:r>
        <w:rPr>
          <w:rFonts w:hint="eastAsia"/>
          <w:color w:val="auto"/>
          <w:sz w:val="24"/>
        </w:rPr>
        <w:t>已经在上述区域和地点设立再生资源回收站点的，应当逐步迁出。</w:t>
      </w:r>
    </w:p>
    <w:p>
      <w:pPr>
        <w:spacing w:line="360" w:lineRule="auto"/>
        <w:ind w:firstLine="480" w:firstLineChars="200"/>
        <w:rPr>
          <w:color w:val="auto"/>
          <w:sz w:val="24"/>
        </w:rPr>
      </w:pPr>
      <w:r>
        <w:rPr>
          <w:rFonts w:hint="eastAsia"/>
          <w:color w:val="auto"/>
          <w:sz w:val="24"/>
        </w:rPr>
        <w:t>本项目属于固体废物回收利用项目，其选址不在《清远市再生资源回收管理暂行办法》中禁止名单中，故本项目符合《清远市再生资源回收管理暂行办法》（清府办〔2020〕5号）要求。</w:t>
      </w:r>
    </w:p>
    <w:p>
      <w:pPr>
        <w:pStyle w:val="5"/>
        <w:numPr>
          <w:ilvl w:val="1"/>
          <w:numId w:val="0"/>
        </w:numPr>
        <w:tabs>
          <w:tab w:val="clear" w:pos="720"/>
        </w:tabs>
        <w:spacing w:before="159" w:after="159"/>
        <w:rPr>
          <w:color w:val="auto"/>
          <w:sz w:val="32"/>
          <w:szCs w:val="32"/>
        </w:rPr>
      </w:pPr>
      <w:bookmarkStart w:id="3296" w:name="_Toc28420"/>
      <w:bookmarkStart w:id="3297" w:name="_Toc20382"/>
      <w:r>
        <w:rPr>
          <w:rFonts w:hint="eastAsia"/>
          <w:color w:val="auto"/>
          <w:sz w:val="32"/>
          <w:szCs w:val="32"/>
        </w:rPr>
        <w:t xml:space="preserve">11.4  </w:t>
      </w:r>
      <w:r>
        <w:rPr>
          <w:color w:val="auto"/>
          <w:sz w:val="32"/>
          <w:szCs w:val="32"/>
        </w:rPr>
        <w:t>与“三线一单”对照相符性分析</w:t>
      </w:r>
      <w:bookmarkEnd w:id="3296"/>
      <w:bookmarkEnd w:id="3297"/>
      <w:r>
        <w:rPr>
          <w:color w:val="auto"/>
          <w:sz w:val="32"/>
          <w:szCs w:val="32"/>
        </w:rPr>
        <w:t xml:space="preserve"> </w:t>
      </w:r>
    </w:p>
    <w:p>
      <w:pPr>
        <w:autoSpaceDE w:val="0"/>
        <w:autoSpaceDN w:val="0"/>
        <w:adjustRightInd w:val="0"/>
        <w:spacing w:line="360" w:lineRule="auto"/>
        <w:ind w:firstLine="480" w:firstLineChars="200"/>
        <w:jc w:val="left"/>
        <w:rPr>
          <w:color w:val="auto"/>
          <w:sz w:val="24"/>
        </w:rPr>
      </w:pPr>
      <w:bookmarkStart w:id="3298" w:name="_Toc12959359"/>
      <w:r>
        <w:rPr>
          <w:color w:val="auto"/>
          <w:sz w:val="24"/>
        </w:rPr>
        <w:t>根据《建设项目环境影响评价技术导则—总纲》（HJ2.1-2016），应分析判定建设项目选址选线、规模、性质和工艺等与生态保护红线、环境质量底线、资源利用上线和环境准入负面清单进行对照，</w:t>
      </w:r>
      <w:r>
        <w:rPr>
          <w:rFonts w:hint="eastAsia"/>
          <w:color w:val="auto"/>
          <w:sz w:val="24"/>
          <w:lang w:eastAsia="zh-CN"/>
        </w:rPr>
        <w:t>迁改扩</w:t>
      </w:r>
      <w:r>
        <w:rPr>
          <w:rFonts w:hint="eastAsia"/>
          <w:color w:val="auto"/>
          <w:sz w:val="24"/>
        </w:rPr>
        <w:t>建</w:t>
      </w:r>
      <w:r>
        <w:rPr>
          <w:color w:val="auto"/>
          <w:sz w:val="24"/>
        </w:rPr>
        <w:t xml:space="preserve">项目与“三线一单”对照相符性分析如下： </w:t>
      </w:r>
    </w:p>
    <w:p>
      <w:pPr>
        <w:autoSpaceDE w:val="0"/>
        <w:autoSpaceDN w:val="0"/>
        <w:adjustRightInd w:val="0"/>
        <w:spacing w:line="360" w:lineRule="auto"/>
        <w:ind w:firstLine="480" w:firstLineChars="200"/>
        <w:jc w:val="left"/>
        <w:rPr>
          <w:color w:val="auto"/>
          <w:sz w:val="24"/>
        </w:rPr>
      </w:pPr>
      <w:r>
        <w:rPr>
          <w:color w:val="auto"/>
          <w:sz w:val="24"/>
        </w:rPr>
        <w:t xml:space="preserve">（1）与生态保护红线符合性分析 </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项目位于清远市清城区，属于广东省主体功能区划中的省级重点开发区，不属于主体功能区规划确定的禁止开发区和广东省环境保护规划划定的严格控制区范围内</w:t>
      </w:r>
      <w:r>
        <w:rPr>
          <w:rFonts w:hint="eastAsia"/>
          <w:color w:val="auto"/>
          <w:sz w:val="24"/>
        </w:rPr>
        <w:t>，不涉及清远市生态保护红线</w:t>
      </w:r>
      <w:r>
        <w:rPr>
          <w:color w:val="auto"/>
          <w:sz w:val="24"/>
        </w:rPr>
        <w:t xml:space="preserve">。 </w:t>
      </w:r>
    </w:p>
    <w:p>
      <w:pPr>
        <w:autoSpaceDE w:val="0"/>
        <w:autoSpaceDN w:val="0"/>
        <w:adjustRightInd w:val="0"/>
        <w:spacing w:line="360" w:lineRule="auto"/>
        <w:ind w:firstLine="480" w:firstLineChars="200"/>
        <w:jc w:val="left"/>
        <w:rPr>
          <w:color w:val="auto"/>
          <w:sz w:val="24"/>
        </w:rPr>
      </w:pPr>
      <w:r>
        <w:rPr>
          <w:color w:val="auto"/>
          <w:sz w:val="24"/>
        </w:rPr>
        <w:t>（2）与环境质量底线符合性分析</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 xml:space="preserve">项目湿法破碎工段含重金属的废水经处理后回用不外排，不会造成区域水环境功能降低，符合水环境功能区的要求。 </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 xml:space="preserve">项目产生的废气均采取了有效的处理措施，处理后均能达标排放，经预测，对大气环境的影响可接受，不会造成区域大气环境功能降低，符合大气功能区的要求。 </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项目位于3类声环境功能区，根据声环境影响预测，</w:t>
      </w:r>
      <w:r>
        <w:rPr>
          <w:rFonts w:hint="eastAsia"/>
          <w:color w:val="auto"/>
          <w:sz w:val="24"/>
        </w:rPr>
        <w:t>本</w:t>
      </w:r>
      <w:r>
        <w:rPr>
          <w:color w:val="auto"/>
          <w:sz w:val="24"/>
        </w:rPr>
        <w:t>项目建设后不会改变周围环境的功能属性，因此改建项目建设符合声环境功能区要求。</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项目产生的危险废物均委托有资质的单位妥善处置，同时项目根据相关规范，储罐区、生产区、危险废物暂存间等采取了严格的防水、防渗漏、防流失措施。</w:t>
      </w:r>
    </w:p>
    <w:p>
      <w:pPr>
        <w:autoSpaceDE w:val="0"/>
        <w:autoSpaceDN w:val="0"/>
        <w:adjustRightInd w:val="0"/>
        <w:spacing w:line="360" w:lineRule="auto"/>
        <w:ind w:firstLine="480" w:firstLineChars="200"/>
        <w:jc w:val="left"/>
        <w:rPr>
          <w:color w:val="auto"/>
          <w:sz w:val="24"/>
        </w:rPr>
      </w:pPr>
      <w:r>
        <w:rPr>
          <w:color w:val="auto"/>
          <w:sz w:val="24"/>
        </w:rPr>
        <w:t>综上，</w:t>
      </w:r>
      <w:r>
        <w:rPr>
          <w:rFonts w:hint="eastAsia"/>
          <w:color w:val="auto"/>
          <w:sz w:val="24"/>
        </w:rPr>
        <w:t>本</w:t>
      </w:r>
      <w:r>
        <w:rPr>
          <w:color w:val="auto"/>
          <w:sz w:val="24"/>
        </w:rPr>
        <w:t xml:space="preserve">项目的建设不会突破当地环境质量底线。 </w:t>
      </w:r>
    </w:p>
    <w:p>
      <w:pPr>
        <w:autoSpaceDE w:val="0"/>
        <w:autoSpaceDN w:val="0"/>
        <w:adjustRightInd w:val="0"/>
        <w:spacing w:line="360" w:lineRule="auto"/>
        <w:ind w:firstLine="480" w:firstLineChars="200"/>
        <w:jc w:val="left"/>
        <w:rPr>
          <w:color w:val="auto"/>
          <w:sz w:val="24"/>
        </w:rPr>
      </w:pPr>
      <w:r>
        <w:rPr>
          <w:color w:val="auto"/>
          <w:sz w:val="24"/>
        </w:rPr>
        <w:t xml:space="preserve">（3）资源利用上线 </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项目生产过程中所用的资源主要为水资源、电能、天然气。</w:t>
      </w:r>
      <w:r>
        <w:rPr>
          <w:rFonts w:hint="eastAsia"/>
          <w:color w:val="auto"/>
          <w:sz w:val="24"/>
        </w:rPr>
        <w:t>本</w:t>
      </w:r>
      <w:r>
        <w:rPr>
          <w:color w:val="auto"/>
          <w:sz w:val="24"/>
        </w:rPr>
        <w:t xml:space="preserve">项目生产用水量小、天然气属于清洁能源；电能由市政电网供应，不会突破当地的资源利用上线。 </w:t>
      </w:r>
    </w:p>
    <w:p>
      <w:pPr>
        <w:autoSpaceDE w:val="0"/>
        <w:autoSpaceDN w:val="0"/>
        <w:adjustRightInd w:val="0"/>
        <w:spacing w:line="360" w:lineRule="auto"/>
        <w:ind w:firstLine="480" w:firstLineChars="200"/>
        <w:jc w:val="left"/>
        <w:rPr>
          <w:color w:val="auto"/>
          <w:sz w:val="24"/>
        </w:rPr>
      </w:pPr>
      <w:r>
        <w:rPr>
          <w:color w:val="auto"/>
          <w:sz w:val="24"/>
        </w:rPr>
        <w:t xml:space="preserve">（4）环境准入负面清单 </w:t>
      </w:r>
    </w:p>
    <w:p>
      <w:pPr>
        <w:autoSpaceDE w:val="0"/>
        <w:autoSpaceDN w:val="0"/>
        <w:adjustRightInd w:val="0"/>
        <w:spacing w:line="360" w:lineRule="auto"/>
        <w:ind w:firstLine="480" w:firstLineChars="200"/>
        <w:jc w:val="left"/>
        <w:rPr>
          <w:color w:val="auto"/>
          <w:sz w:val="24"/>
        </w:rPr>
      </w:pPr>
      <w:r>
        <w:rPr>
          <w:rFonts w:hint="eastAsia"/>
          <w:color w:val="auto"/>
          <w:sz w:val="24"/>
        </w:rPr>
        <w:t>本</w:t>
      </w:r>
      <w:r>
        <w:rPr>
          <w:color w:val="auto"/>
          <w:sz w:val="24"/>
        </w:rPr>
        <w:t>项目为一般工业固废综合利用项目，属于《产业结构调整指导目录（201</w:t>
      </w:r>
      <w:r>
        <w:rPr>
          <w:rFonts w:hint="eastAsia"/>
          <w:color w:val="auto"/>
          <w:sz w:val="24"/>
        </w:rPr>
        <w:t>9</w:t>
      </w:r>
      <w:r>
        <w:rPr>
          <w:color w:val="auto"/>
          <w:sz w:val="24"/>
        </w:rPr>
        <w:t xml:space="preserve">年本）》中的“四十三、环境保护与资源节约综合利用——15、“三废”综合利用与治理技术、装备和工程。不属于《市场准入负面清单（2019年版）》所列明的禁止准入类项目，不列入环境准入负面清单中，符合要求。 </w:t>
      </w:r>
    </w:p>
    <w:p>
      <w:pPr>
        <w:autoSpaceDE w:val="0"/>
        <w:autoSpaceDN w:val="0"/>
        <w:adjustRightInd w:val="0"/>
        <w:spacing w:line="360" w:lineRule="auto"/>
        <w:ind w:firstLine="480" w:firstLineChars="200"/>
        <w:jc w:val="left"/>
        <w:rPr>
          <w:color w:val="auto"/>
          <w:sz w:val="24"/>
        </w:rPr>
      </w:pPr>
      <w:r>
        <w:rPr>
          <w:color w:val="auto"/>
          <w:sz w:val="24"/>
        </w:rPr>
        <w:t>因此，</w:t>
      </w:r>
      <w:r>
        <w:rPr>
          <w:rFonts w:hint="eastAsia"/>
          <w:color w:val="auto"/>
          <w:sz w:val="24"/>
        </w:rPr>
        <w:t>本</w:t>
      </w:r>
      <w:r>
        <w:rPr>
          <w:color w:val="auto"/>
          <w:sz w:val="24"/>
        </w:rPr>
        <w:t xml:space="preserve">项目不属于环境准入负面清单的内容。 </w:t>
      </w:r>
    </w:p>
    <w:p>
      <w:pPr>
        <w:pStyle w:val="5"/>
        <w:numPr>
          <w:ilvl w:val="1"/>
          <w:numId w:val="0"/>
        </w:numPr>
        <w:tabs>
          <w:tab w:val="clear" w:pos="720"/>
        </w:tabs>
        <w:spacing w:before="159" w:after="159"/>
        <w:rPr>
          <w:color w:val="auto"/>
          <w:sz w:val="32"/>
          <w:szCs w:val="21"/>
        </w:rPr>
      </w:pPr>
      <w:bookmarkStart w:id="3299" w:name="_Toc30389"/>
      <w:bookmarkStart w:id="3300" w:name="_Toc28056"/>
      <w:r>
        <w:rPr>
          <w:rFonts w:hint="eastAsia"/>
          <w:color w:val="auto"/>
          <w:sz w:val="32"/>
          <w:szCs w:val="21"/>
        </w:rPr>
        <w:t xml:space="preserve">11.5  </w:t>
      </w:r>
      <w:r>
        <w:rPr>
          <w:color w:val="auto"/>
          <w:sz w:val="32"/>
          <w:szCs w:val="21"/>
        </w:rPr>
        <w:t>小结</w:t>
      </w:r>
      <w:bookmarkEnd w:id="3298"/>
      <w:bookmarkEnd w:id="3299"/>
      <w:bookmarkEnd w:id="3300"/>
    </w:p>
    <w:p>
      <w:pPr>
        <w:autoSpaceDE w:val="0"/>
        <w:autoSpaceDN w:val="0"/>
        <w:adjustRightInd w:val="0"/>
        <w:spacing w:line="360" w:lineRule="auto"/>
        <w:ind w:firstLine="480" w:firstLineChars="200"/>
        <w:jc w:val="left"/>
        <w:rPr>
          <w:color w:val="auto"/>
          <w:sz w:val="24"/>
        </w:rPr>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pPr>
      <w:r>
        <w:rPr>
          <w:color w:val="auto"/>
          <w:sz w:val="24"/>
        </w:rPr>
        <w:t>综上所述，项目的建设符合国家和广东省产业政策的要求，属于鼓励类项目；与《广东省环境保护规划纲要（2006-2020年）》、广东省主体功能区规划、《广东省环境保护“十三五”规划》、《广东省环境保护厅关于广东省重金属污染综合防治“十三五”规划》、《清远市环境保护与生态建设“十三五”规划》等环保规划相符，项目建设与“三线一单”相符，因此，项目的建设具备合法性和合理性。</w:t>
      </w:r>
    </w:p>
    <w:p>
      <w:pPr>
        <w:pStyle w:val="4"/>
        <w:numPr>
          <w:ilvl w:val="0"/>
          <w:numId w:val="0"/>
        </w:numPr>
        <w:spacing w:before="159" w:after="159"/>
        <w:ind w:left="568"/>
        <w:rPr>
          <w:color w:val="auto"/>
          <w:sz w:val="44"/>
          <w:szCs w:val="44"/>
        </w:rPr>
      </w:pPr>
      <w:bookmarkStart w:id="3301" w:name="_Toc12959360"/>
      <w:bookmarkStart w:id="3302" w:name="_Toc3134"/>
      <w:bookmarkStart w:id="3303" w:name="_Toc19535"/>
      <w:r>
        <w:rPr>
          <w:rFonts w:hint="eastAsia"/>
          <w:color w:val="auto"/>
          <w:sz w:val="44"/>
          <w:szCs w:val="44"/>
        </w:rPr>
        <w:t xml:space="preserve">12  </w:t>
      </w:r>
      <w:r>
        <w:rPr>
          <w:color w:val="auto"/>
          <w:sz w:val="44"/>
          <w:szCs w:val="44"/>
        </w:rPr>
        <w:t>结论</w:t>
      </w:r>
      <w:bookmarkEnd w:id="3301"/>
      <w:bookmarkEnd w:id="3302"/>
      <w:bookmarkEnd w:id="3303"/>
    </w:p>
    <w:bookmarkEnd w:id="533"/>
    <w:p>
      <w:pPr>
        <w:pStyle w:val="5"/>
        <w:numPr>
          <w:ilvl w:val="1"/>
          <w:numId w:val="0"/>
        </w:numPr>
        <w:tabs>
          <w:tab w:val="left" w:pos="360"/>
          <w:tab w:val="clear" w:pos="720"/>
        </w:tabs>
        <w:spacing w:before="159" w:after="159"/>
        <w:rPr>
          <w:color w:val="auto"/>
          <w:sz w:val="32"/>
          <w:szCs w:val="21"/>
        </w:rPr>
      </w:pPr>
      <w:bookmarkStart w:id="3304" w:name="_Toc29592"/>
      <w:bookmarkStart w:id="3305" w:name="_Toc3282"/>
      <w:r>
        <w:rPr>
          <w:rFonts w:hint="eastAsia"/>
          <w:color w:val="auto"/>
          <w:sz w:val="32"/>
          <w:szCs w:val="21"/>
        </w:rPr>
        <w:t xml:space="preserve">12.1  </w:t>
      </w:r>
      <w:r>
        <w:rPr>
          <w:color w:val="auto"/>
          <w:sz w:val="32"/>
          <w:szCs w:val="21"/>
        </w:rPr>
        <w:t>项目概况</w:t>
      </w:r>
      <w:bookmarkEnd w:id="3304"/>
      <w:bookmarkEnd w:id="3305"/>
      <w:r>
        <w:rPr>
          <w:color w:val="auto"/>
          <w:sz w:val="32"/>
          <w:szCs w:val="21"/>
        </w:rPr>
        <w:t xml:space="preserve"> </w:t>
      </w:r>
    </w:p>
    <w:p>
      <w:pPr>
        <w:pStyle w:val="20"/>
        <w:shd w:val="clear" w:color="auto" w:fill="FFFFFF"/>
        <w:spacing w:before="0" w:beforeAutospacing="0" w:after="0" w:afterAutospacing="0" w:line="360" w:lineRule="auto"/>
        <w:ind w:firstLine="511" w:firstLineChars="213"/>
        <w:rPr>
          <w:rFonts w:ascii="Times New Roman" w:hAnsi="Times New Roman"/>
          <w:color w:val="auto"/>
          <w:sz w:val="24"/>
          <w:szCs w:val="24"/>
        </w:rPr>
      </w:pPr>
      <w:r>
        <w:rPr>
          <w:rFonts w:ascii="Times New Roman" w:hAnsi="Times New Roman"/>
          <w:color w:val="auto"/>
        </w:rPr>
        <w:t>清远市清城区信兴金属回收加工有限公司</w:t>
      </w:r>
      <w:r>
        <w:rPr>
          <w:rFonts w:hint="eastAsia" w:ascii="Times New Roman" w:hAnsi="Times New Roman"/>
          <w:color w:val="auto"/>
        </w:rPr>
        <w:t>现址</w:t>
      </w:r>
      <w:r>
        <w:rPr>
          <w:rFonts w:ascii="Times New Roman" w:hAnsi="Times New Roman"/>
          <w:color w:val="auto"/>
        </w:rPr>
        <w:t>位于清远市清城区龙塘镇陂坑管理区万水河边，东经113°6′16″，北纬23°34′20″。占地面积13000平方米，建筑面积约为</w:t>
      </w:r>
      <w:r>
        <w:rPr>
          <w:rFonts w:hint="eastAsia" w:ascii="Times New Roman" w:hAnsi="Times New Roman"/>
          <w:color w:val="auto"/>
          <w:lang w:val="en-US" w:eastAsia="zh-CN"/>
        </w:rPr>
        <w:t>5700</w:t>
      </w:r>
      <w:r>
        <w:rPr>
          <w:rFonts w:ascii="Times New Roman" w:hAnsi="Times New Roman"/>
          <w:color w:val="auto"/>
        </w:rPr>
        <w:t>平方米，</w:t>
      </w:r>
      <w:r>
        <w:rPr>
          <w:rFonts w:hint="eastAsia" w:ascii="Times New Roman" w:hAnsi="Times New Roman"/>
          <w:color w:val="auto"/>
        </w:rPr>
        <w:t>年破碎3000吨覆铜板边角料（不含多氯联苯、多氯三联苯、多溴</w:t>
      </w:r>
      <w:r>
        <w:rPr>
          <w:rFonts w:hint="eastAsia" w:ascii="Times New Roman" w:hAnsi="Times New Roman"/>
          <w:color w:val="auto"/>
          <w:sz w:val="24"/>
          <w:szCs w:val="24"/>
        </w:rPr>
        <w:t>联苯等），回收铜粉600吨</w:t>
      </w:r>
      <w:r>
        <w:rPr>
          <w:rFonts w:hint="eastAsia" w:ascii="Times New Roman" w:hAnsi="Times New Roman"/>
          <w:color w:val="auto"/>
          <w:sz w:val="24"/>
          <w:szCs w:val="24"/>
          <w:lang w:eastAsia="zh-CN"/>
        </w:rPr>
        <w:t>。</w:t>
      </w:r>
    </w:p>
    <w:p>
      <w:pPr>
        <w:pStyle w:val="20"/>
        <w:shd w:val="clear" w:color="auto" w:fill="FFFFFF"/>
        <w:spacing w:before="0" w:beforeAutospacing="0" w:after="0" w:afterAutospacing="0" w:line="360" w:lineRule="auto"/>
        <w:ind w:firstLine="511" w:firstLineChars="213"/>
        <w:rPr>
          <w:rFonts w:hint="eastAsia" w:ascii="Times New Roman" w:hAnsi="Times New Roman"/>
          <w:color w:val="auto"/>
          <w:sz w:val="24"/>
          <w:szCs w:val="24"/>
          <w:shd w:val="clear" w:color="auto" w:fill="FFFFFF"/>
          <w:lang w:eastAsia="zh-CN"/>
        </w:rPr>
      </w:pPr>
      <w:r>
        <w:rPr>
          <w:rFonts w:ascii="Times New Roman" w:hAnsi="Times New Roman"/>
          <w:color w:val="auto"/>
          <w:sz w:val="24"/>
          <w:szCs w:val="24"/>
          <w:shd w:val="clear" w:color="auto" w:fill="FFFFFF"/>
        </w:rPr>
        <w:t>现为</w:t>
      </w:r>
      <w:r>
        <w:rPr>
          <w:rFonts w:hint="eastAsia"/>
          <w:color w:val="auto"/>
          <w:sz w:val="24"/>
          <w:szCs w:val="24"/>
        </w:rPr>
        <w:t>优化生产工艺</w:t>
      </w:r>
      <w:r>
        <w:rPr>
          <w:rFonts w:hint="eastAsia"/>
          <w:color w:val="auto"/>
          <w:sz w:val="24"/>
          <w:szCs w:val="24"/>
          <w:lang w:eastAsia="zh-CN"/>
        </w:rPr>
        <w:t>，</w:t>
      </w:r>
      <w:r>
        <w:rPr>
          <w:rFonts w:hint="eastAsia" w:ascii="Times New Roman" w:hAnsi="Times New Roman"/>
          <w:color w:val="auto"/>
          <w:sz w:val="24"/>
          <w:szCs w:val="24"/>
          <w:shd w:val="clear" w:color="auto" w:fill="FFFFFF"/>
        </w:rPr>
        <w:t>安全处理</w:t>
      </w:r>
      <w:r>
        <w:rPr>
          <w:rFonts w:hint="eastAsia" w:ascii="Times New Roman" w:hAnsi="Times New Roman"/>
          <w:color w:val="auto"/>
          <w:sz w:val="24"/>
          <w:szCs w:val="24"/>
          <w:shd w:val="clear" w:color="auto" w:fill="FFFFFF"/>
          <w:lang w:val="en-US" w:eastAsia="zh-CN"/>
        </w:rPr>
        <w:t>利用</w:t>
      </w:r>
      <w:r>
        <w:rPr>
          <w:rFonts w:hint="eastAsia" w:ascii="Times New Roman" w:hAnsi="Times New Roman"/>
          <w:color w:val="auto"/>
          <w:sz w:val="24"/>
          <w:szCs w:val="24"/>
          <w:shd w:val="clear" w:color="auto" w:fill="FFFFFF"/>
        </w:rPr>
        <w:t>废树脂粉</w:t>
      </w:r>
      <w:r>
        <w:rPr>
          <w:rFonts w:hint="eastAsia" w:ascii="Times New Roman" w:hAnsi="Times New Roman"/>
          <w:color w:val="auto"/>
          <w:sz w:val="24"/>
          <w:szCs w:val="24"/>
          <w:shd w:val="clear" w:color="auto" w:fill="FFFFFF"/>
          <w:lang w:eastAsia="zh-CN"/>
        </w:rPr>
        <w:t>，</w:t>
      </w:r>
      <w:r>
        <w:rPr>
          <w:rFonts w:hint="eastAsia" w:ascii="Times New Roman" w:hAnsi="Times New Roman"/>
          <w:color w:val="auto"/>
          <w:sz w:val="24"/>
          <w:szCs w:val="24"/>
          <w:shd w:val="clear" w:color="auto" w:fill="FFFFFF"/>
          <w:lang w:val="en-US" w:eastAsia="zh-CN"/>
        </w:rPr>
        <w:t>使</w:t>
      </w:r>
      <w:r>
        <w:rPr>
          <w:rFonts w:hint="eastAsia" w:ascii="Times New Roman" w:hAnsi="Times New Roman"/>
          <w:color w:val="auto"/>
          <w:sz w:val="24"/>
          <w:szCs w:val="24"/>
          <w:shd w:val="clear" w:color="auto" w:fill="FFFFFF"/>
        </w:rPr>
        <w:t>废树脂粉</w:t>
      </w:r>
      <w:r>
        <w:rPr>
          <w:rFonts w:hint="eastAsia" w:ascii="Times New Roman" w:hAnsi="Times New Roman"/>
          <w:color w:val="auto"/>
          <w:sz w:val="24"/>
          <w:szCs w:val="24"/>
          <w:shd w:val="clear" w:color="auto" w:fill="FFFFFF"/>
          <w:lang w:val="en-US" w:eastAsia="zh-CN"/>
        </w:rPr>
        <w:t>得到资源化利用，同时使各类污染物减量化，</w:t>
      </w:r>
      <w:r>
        <w:rPr>
          <w:rFonts w:hint="eastAsia" w:ascii="Times New Roman" w:hAnsi="Times New Roman"/>
          <w:color w:val="auto"/>
          <w:sz w:val="24"/>
          <w:szCs w:val="24"/>
        </w:rPr>
        <w:t>减少对</w:t>
      </w:r>
      <w:r>
        <w:rPr>
          <w:rFonts w:hint="eastAsia" w:ascii="Times New Roman" w:hAnsi="Times New Roman"/>
          <w:color w:val="auto"/>
          <w:sz w:val="24"/>
          <w:szCs w:val="24"/>
          <w:lang w:val="en-US" w:eastAsia="zh-CN"/>
        </w:rPr>
        <w:t>周边</w:t>
      </w:r>
      <w:r>
        <w:rPr>
          <w:rFonts w:hint="eastAsia" w:ascii="Times New Roman" w:hAnsi="Times New Roman"/>
          <w:color w:val="auto"/>
          <w:sz w:val="24"/>
          <w:szCs w:val="24"/>
        </w:rPr>
        <w:t>环境的影响</w:t>
      </w:r>
      <w:r>
        <w:rPr>
          <w:rFonts w:hint="eastAsia" w:ascii="Times New Roman" w:hAnsi="Times New Roman"/>
          <w:color w:val="auto"/>
          <w:sz w:val="24"/>
          <w:szCs w:val="24"/>
          <w:lang w:eastAsia="zh-CN"/>
        </w:rPr>
        <w:t>，</w:t>
      </w:r>
      <w:r>
        <w:rPr>
          <w:rFonts w:hint="eastAsia" w:ascii="Times New Roman" w:hAnsi="Times New Roman"/>
          <w:color w:val="auto"/>
          <w:sz w:val="24"/>
          <w:szCs w:val="24"/>
          <w:shd w:val="clear" w:color="auto" w:fill="FFFFFF"/>
          <w:lang w:val="en-US" w:eastAsia="zh-CN"/>
        </w:rPr>
        <w:t>让项目的生产流程形成对环境友好的闭环。另一方面</w:t>
      </w:r>
      <w:r>
        <w:rPr>
          <w:rFonts w:ascii="Times New Roman" w:hAnsi="Times New Roman"/>
          <w:color w:val="auto"/>
          <w:sz w:val="24"/>
          <w:szCs w:val="24"/>
          <w:shd w:val="clear" w:color="auto" w:fill="FFFFFF"/>
        </w:rPr>
        <w:t>提高</w:t>
      </w:r>
      <w:r>
        <w:rPr>
          <w:rFonts w:hint="eastAsia" w:ascii="Times New Roman" w:hAnsi="Times New Roman"/>
          <w:color w:val="auto"/>
          <w:sz w:val="24"/>
          <w:szCs w:val="24"/>
          <w:shd w:val="clear" w:color="auto" w:fill="FFFFFF"/>
          <w:lang w:val="en-US" w:eastAsia="zh-CN"/>
        </w:rPr>
        <w:t>产品技术含量，以达到更好的</w:t>
      </w:r>
      <w:r>
        <w:rPr>
          <w:rFonts w:ascii="Times New Roman" w:hAnsi="Times New Roman"/>
          <w:color w:val="auto"/>
          <w:sz w:val="24"/>
          <w:szCs w:val="24"/>
          <w:shd w:val="clear" w:color="auto" w:fill="FFFFFF"/>
        </w:rPr>
        <w:t>社会经济效益</w:t>
      </w:r>
      <w:r>
        <w:rPr>
          <w:rFonts w:hint="eastAsia" w:ascii="Times New Roman" w:hAnsi="Times New Roman"/>
          <w:color w:val="auto"/>
          <w:sz w:val="24"/>
          <w:szCs w:val="24"/>
          <w:shd w:val="clear" w:color="auto" w:fill="FFFFFF"/>
          <w:lang w:eastAsia="zh-CN"/>
        </w:rPr>
        <w:t>，</w:t>
      </w:r>
      <w:r>
        <w:rPr>
          <w:rFonts w:ascii="Times New Roman" w:hAnsi="Times New Roman"/>
          <w:color w:val="auto"/>
          <w:sz w:val="24"/>
          <w:szCs w:val="24"/>
          <w:shd w:val="clear" w:color="auto" w:fill="FFFFFF"/>
        </w:rPr>
        <w:t>企业决定对现有工程进行</w:t>
      </w:r>
      <w:r>
        <w:rPr>
          <w:rFonts w:hint="eastAsia" w:ascii="Times New Roman" w:hAnsi="Times New Roman"/>
          <w:color w:val="auto"/>
          <w:sz w:val="24"/>
          <w:szCs w:val="24"/>
          <w:shd w:val="clear" w:color="auto" w:fill="FFFFFF"/>
        </w:rPr>
        <w:t>迁改扩建</w:t>
      </w:r>
      <w:r>
        <w:rPr>
          <w:rFonts w:ascii="Times New Roman" w:hAnsi="Times New Roman"/>
          <w:color w:val="auto"/>
          <w:sz w:val="24"/>
          <w:szCs w:val="24"/>
          <w:shd w:val="clear" w:color="auto" w:fill="FFFFFF"/>
        </w:rPr>
        <w:t>并重新选址</w:t>
      </w:r>
      <w:r>
        <w:rPr>
          <w:rFonts w:hint="eastAsia" w:ascii="Times New Roman" w:hAnsi="Times New Roman"/>
          <w:color w:val="auto"/>
          <w:sz w:val="24"/>
          <w:szCs w:val="24"/>
          <w:shd w:val="clear" w:color="auto" w:fill="FFFFFF"/>
          <w:lang w:eastAsia="zh-CN"/>
        </w:rPr>
        <w:t>。</w:t>
      </w:r>
    </w:p>
    <w:p>
      <w:pPr>
        <w:spacing w:line="360" w:lineRule="auto"/>
        <w:ind w:firstLine="480" w:firstLineChars="200"/>
        <w:rPr>
          <w:bCs/>
          <w:snapToGrid w:val="0"/>
          <w:color w:val="auto"/>
          <w:sz w:val="24"/>
          <w:szCs w:val="24"/>
        </w:rPr>
      </w:pPr>
      <w:r>
        <w:rPr>
          <w:rFonts w:ascii="Times New Roman" w:hAnsi="Times New Roman"/>
          <w:color w:val="auto"/>
          <w:sz w:val="24"/>
          <w:szCs w:val="24"/>
          <w:shd w:val="clear" w:color="auto" w:fill="FFFFFF"/>
        </w:rPr>
        <w:t>本次</w:t>
      </w:r>
      <w:r>
        <w:rPr>
          <w:rFonts w:hint="eastAsia"/>
          <w:color w:val="auto"/>
          <w:sz w:val="24"/>
          <w:szCs w:val="24"/>
          <w:shd w:val="clear" w:color="auto" w:fill="FFFFFF"/>
          <w:lang w:eastAsia="zh-CN"/>
        </w:rPr>
        <w:t>迁改扩</w:t>
      </w:r>
      <w:r>
        <w:rPr>
          <w:rFonts w:hint="eastAsia" w:ascii="Times New Roman" w:hAnsi="Times New Roman"/>
          <w:color w:val="auto"/>
          <w:sz w:val="24"/>
          <w:szCs w:val="24"/>
          <w:shd w:val="clear" w:color="auto" w:fill="FFFFFF"/>
        </w:rPr>
        <w:t>建</w:t>
      </w:r>
      <w:r>
        <w:rPr>
          <w:rFonts w:ascii="Times New Roman" w:hAnsi="Times New Roman"/>
          <w:color w:val="auto"/>
          <w:sz w:val="24"/>
          <w:szCs w:val="24"/>
          <w:shd w:val="clear" w:color="auto" w:fill="FFFFFF"/>
        </w:rPr>
        <w:t>后，本项目</w:t>
      </w:r>
      <w:r>
        <w:rPr>
          <w:color w:val="auto"/>
          <w:sz w:val="24"/>
          <w:szCs w:val="24"/>
        </w:rPr>
        <w:t>位于</w:t>
      </w:r>
      <w:r>
        <w:rPr>
          <w:bCs/>
          <w:snapToGrid w:val="0"/>
          <w:color w:val="auto"/>
          <w:sz w:val="24"/>
          <w:szCs w:val="24"/>
        </w:rPr>
        <w:t>清远市清城区石角镇界牌北江工业园内厂房B</w:t>
      </w:r>
      <w:r>
        <w:rPr>
          <w:bCs/>
          <w:color w:val="auto"/>
          <w:sz w:val="24"/>
          <w:szCs w:val="24"/>
        </w:rPr>
        <w:t>（中心地理坐标：北纬23.502176°，东经112.950939°）</w:t>
      </w:r>
      <w:r>
        <w:rPr>
          <w:rFonts w:hint="eastAsia"/>
          <w:bCs/>
          <w:color w:val="auto"/>
          <w:sz w:val="24"/>
          <w:szCs w:val="24"/>
          <w:lang w:eastAsia="zh-CN"/>
        </w:rPr>
        <w:t>。</w:t>
      </w:r>
      <w:r>
        <w:rPr>
          <w:color w:val="auto"/>
          <w:kern w:val="0"/>
          <w:sz w:val="24"/>
          <w:szCs w:val="24"/>
        </w:rPr>
        <w:t>总</w:t>
      </w:r>
      <w:r>
        <w:rPr>
          <w:color w:val="auto"/>
          <w:sz w:val="24"/>
          <w:szCs w:val="24"/>
        </w:rPr>
        <w:t>占地面积</w:t>
      </w:r>
      <w:r>
        <w:rPr>
          <w:rFonts w:hint="eastAsia"/>
          <w:color w:val="auto"/>
          <w:sz w:val="24"/>
          <w:szCs w:val="24"/>
        </w:rPr>
        <w:t>12108</w:t>
      </w:r>
      <w:r>
        <w:rPr>
          <w:color w:val="auto"/>
          <w:sz w:val="24"/>
          <w:szCs w:val="24"/>
        </w:rPr>
        <w:t>m</w:t>
      </w:r>
      <w:r>
        <w:rPr>
          <w:color w:val="auto"/>
          <w:sz w:val="24"/>
          <w:szCs w:val="24"/>
          <w:vertAlign w:val="superscript"/>
        </w:rPr>
        <w:t>2</w:t>
      </w:r>
      <w:r>
        <w:rPr>
          <w:color w:val="auto"/>
          <w:sz w:val="24"/>
          <w:szCs w:val="24"/>
        </w:rPr>
        <w:t>，总建筑面积</w:t>
      </w:r>
      <w:r>
        <w:rPr>
          <w:rFonts w:hint="eastAsia"/>
          <w:color w:val="auto"/>
          <w:sz w:val="24"/>
          <w:szCs w:val="24"/>
        </w:rPr>
        <w:t>12108</w:t>
      </w:r>
      <w:r>
        <w:rPr>
          <w:color w:val="auto"/>
          <w:sz w:val="24"/>
          <w:szCs w:val="24"/>
        </w:rPr>
        <w:t>m</w:t>
      </w:r>
      <w:r>
        <w:rPr>
          <w:color w:val="auto"/>
          <w:sz w:val="24"/>
          <w:szCs w:val="24"/>
          <w:vertAlign w:val="superscript"/>
        </w:rPr>
        <w:t>2</w:t>
      </w:r>
      <w:r>
        <w:rPr>
          <w:color w:val="auto"/>
          <w:sz w:val="24"/>
          <w:szCs w:val="24"/>
        </w:rPr>
        <w:t>，</w:t>
      </w:r>
      <w:r>
        <w:rPr>
          <w:rFonts w:ascii="Times New Roman"/>
          <w:color w:val="auto"/>
          <w:sz w:val="24"/>
          <w:szCs w:val="24"/>
        </w:rPr>
        <w:t>总投资约300万元，其中环保投资50万元</w:t>
      </w:r>
      <w:r>
        <w:rPr>
          <w:rFonts w:hint="eastAsia" w:ascii="Times New Roman"/>
          <w:color w:val="auto"/>
          <w:sz w:val="24"/>
          <w:szCs w:val="24"/>
          <w:lang w:eastAsia="zh-CN"/>
        </w:rPr>
        <w:t>。</w:t>
      </w:r>
      <w:r>
        <w:rPr>
          <w:rFonts w:hint="eastAsia" w:ascii="Times New Roman"/>
          <w:color w:val="auto"/>
          <w:sz w:val="24"/>
          <w:szCs w:val="24"/>
          <w:lang w:val="en-US" w:eastAsia="zh-CN"/>
        </w:rPr>
        <w:t>共设</w:t>
      </w:r>
      <w:r>
        <w:rPr>
          <w:rFonts w:hint="eastAsia"/>
          <w:bCs/>
          <w:snapToGrid w:val="0"/>
          <w:color w:val="auto"/>
          <w:sz w:val="24"/>
          <w:szCs w:val="24"/>
        </w:rPr>
        <w:t>湿式破碎生产线8条，卷材生产线1条。</w:t>
      </w:r>
      <w:r>
        <w:rPr>
          <w:rFonts w:ascii="Times New Roman" w:hAnsi="Times New Roman"/>
          <w:color w:val="auto"/>
          <w:sz w:val="24"/>
          <w:szCs w:val="24"/>
        </w:rPr>
        <w:t>年处理废覆铜板</w:t>
      </w:r>
      <w:r>
        <w:rPr>
          <w:rFonts w:hint="eastAsia" w:ascii="Times New Roman" w:hAnsi="Times New Roman"/>
          <w:color w:val="auto"/>
          <w:sz w:val="24"/>
          <w:szCs w:val="24"/>
        </w:rPr>
        <w:t>3</w:t>
      </w:r>
      <w:r>
        <w:rPr>
          <w:rFonts w:hint="eastAsia"/>
          <w:color w:val="auto"/>
          <w:sz w:val="24"/>
          <w:szCs w:val="24"/>
          <w:lang w:val="en-US" w:eastAsia="zh-CN"/>
        </w:rPr>
        <w:t>万</w:t>
      </w:r>
      <w:r>
        <w:rPr>
          <w:rFonts w:ascii="Times New Roman" w:hAnsi="Times New Roman"/>
          <w:color w:val="auto"/>
          <w:sz w:val="24"/>
          <w:szCs w:val="24"/>
        </w:rPr>
        <w:t>吨，</w:t>
      </w:r>
      <w:r>
        <w:rPr>
          <w:rFonts w:hint="eastAsia"/>
          <w:bCs/>
          <w:snapToGrid w:val="0"/>
          <w:color w:val="auto"/>
          <w:sz w:val="24"/>
          <w:szCs w:val="24"/>
          <w:lang w:val="en-US" w:eastAsia="zh-CN"/>
        </w:rPr>
        <w:t>产出铜粉23574t/a、</w:t>
      </w:r>
      <w:r>
        <w:rPr>
          <w:bCs/>
          <w:snapToGrid w:val="0"/>
          <w:color w:val="auto"/>
          <w:sz w:val="24"/>
          <w:szCs w:val="24"/>
        </w:rPr>
        <w:t>防水卷材</w:t>
      </w:r>
      <w:r>
        <w:rPr>
          <w:rFonts w:hint="eastAsia"/>
          <w:bCs/>
          <w:snapToGrid w:val="0"/>
          <w:color w:val="auto"/>
          <w:sz w:val="24"/>
          <w:szCs w:val="24"/>
        </w:rPr>
        <w:t>2.3万t/a（折合1000</w:t>
      </w:r>
      <w:r>
        <w:rPr>
          <w:bCs/>
          <w:snapToGrid w:val="0"/>
          <w:color w:val="auto"/>
          <w:sz w:val="24"/>
          <w:szCs w:val="24"/>
        </w:rPr>
        <w:t>万</w:t>
      </w:r>
      <w:r>
        <w:rPr>
          <w:rFonts w:hint="eastAsia"/>
          <w:bCs/>
          <w:snapToGrid w:val="0"/>
          <w:color w:val="auto"/>
          <w:sz w:val="24"/>
          <w:szCs w:val="24"/>
        </w:rPr>
        <w:t>m</w:t>
      </w:r>
      <w:r>
        <w:rPr>
          <w:rFonts w:hint="eastAsia"/>
          <w:bCs/>
          <w:snapToGrid w:val="0"/>
          <w:color w:val="auto"/>
          <w:sz w:val="24"/>
          <w:szCs w:val="24"/>
          <w:vertAlign w:val="superscript"/>
        </w:rPr>
        <w:t>2</w:t>
      </w:r>
      <w:r>
        <w:rPr>
          <w:bCs/>
          <w:snapToGrid w:val="0"/>
          <w:color w:val="auto"/>
          <w:sz w:val="24"/>
          <w:szCs w:val="24"/>
        </w:rPr>
        <w:t>/</w:t>
      </w:r>
      <w:r>
        <w:rPr>
          <w:rFonts w:hint="eastAsia"/>
          <w:bCs/>
          <w:snapToGrid w:val="0"/>
          <w:color w:val="auto"/>
          <w:sz w:val="24"/>
          <w:szCs w:val="24"/>
        </w:rPr>
        <w:t>a）</w:t>
      </w:r>
      <w:r>
        <w:rPr>
          <w:bCs/>
          <w:snapToGrid w:val="0"/>
          <w:color w:val="auto"/>
          <w:sz w:val="24"/>
          <w:szCs w:val="24"/>
        </w:rPr>
        <w:t>。</w:t>
      </w:r>
    </w:p>
    <w:p>
      <w:pPr>
        <w:spacing w:line="360" w:lineRule="auto"/>
        <w:ind w:firstLine="640" w:firstLineChars="200"/>
        <w:rPr>
          <w:color w:val="auto"/>
          <w:sz w:val="32"/>
          <w:szCs w:val="21"/>
        </w:rPr>
      </w:pPr>
      <w:bookmarkStart w:id="3306" w:name="_Toc527390708"/>
      <w:bookmarkStart w:id="3307" w:name="_Toc1729036"/>
      <w:bookmarkStart w:id="3308" w:name="_Toc31835"/>
      <w:bookmarkStart w:id="3309" w:name="_Toc12959362"/>
      <w:r>
        <w:rPr>
          <w:rFonts w:hint="eastAsia"/>
          <w:color w:val="auto"/>
          <w:sz w:val="32"/>
          <w:szCs w:val="21"/>
        </w:rPr>
        <w:t xml:space="preserve">12.2  </w:t>
      </w:r>
      <w:r>
        <w:rPr>
          <w:color w:val="auto"/>
          <w:sz w:val="32"/>
          <w:szCs w:val="21"/>
        </w:rPr>
        <w:t>环境质量现状结论</w:t>
      </w:r>
      <w:bookmarkEnd w:id="3306"/>
      <w:bookmarkEnd w:id="3307"/>
      <w:bookmarkEnd w:id="3308"/>
      <w:bookmarkEnd w:id="3309"/>
    </w:p>
    <w:p>
      <w:pPr>
        <w:spacing w:line="360" w:lineRule="auto"/>
        <w:outlineLvl w:val="2"/>
        <w:rPr>
          <w:b/>
          <w:color w:val="auto"/>
          <w:kern w:val="0"/>
          <w:sz w:val="28"/>
        </w:rPr>
      </w:pPr>
      <w:bookmarkStart w:id="3310" w:name="_Toc11546_WPSOffice_Level2"/>
      <w:r>
        <w:rPr>
          <w:rFonts w:hint="eastAsia"/>
          <w:b/>
          <w:color w:val="auto"/>
          <w:kern w:val="0"/>
          <w:sz w:val="28"/>
        </w:rPr>
        <w:t xml:space="preserve">12.2.1  </w:t>
      </w:r>
      <w:r>
        <w:rPr>
          <w:b/>
          <w:color w:val="auto"/>
          <w:kern w:val="0"/>
          <w:sz w:val="28"/>
        </w:rPr>
        <w:t>地表水环境质量现状结论</w:t>
      </w:r>
      <w:bookmarkEnd w:id="3310"/>
    </w:p>
    <w:p>
      <w:pPr>
        <w:widowControl/>
        <w:tabs>
          <w:tab w:val="left" w:pos="0"/>
          <w:tab w:val="left" w:pos="2089"/>
        </w:tabs>
        <w:adjustRightInd w:val="0"/>
        <w:snapToGrid w:val="0"/>
        <w:spacing w:line="360" w:lineRule="auto"/>
        <w:ind w:firstLine="480" w:firstLineChars="200"/>
        <w:jc w:val="left"/>
        <w:rPr>
          <w:color w:val="auto"/>
          <w:sz w:val="24"/>
        </w:rPr>
      </w:pPr>
      <w:bookmarkStart w:id="3311" w:name="_Toc12574_WPSOffice_Level2"/>
      <w:r>
        <w:rPr>
          <w:color w:val="auto"/>
          <w:sz w:val="24"/>
        </w:rPr>
        <w:t>根据监测结果可知，沙埗溪水质中各监测因子均符合《地表水环境质量标准》（GB3838-2002）中Ⅳ类水质的要求。</w:t>
      </w:r>
    </w:p>
    <w:p>
      <w:pPr>
        <w:spacing w:line="360" w:lineRule="auto"/>
        <w:outlineLvl w:val="2"/>
        <w:rPr>
          <w:b/>
          <w:color w:val="auto"/>
          <w:kern w:val="0"/>
          <w:sz w:val="28"/>
        </w:rPr>
      </w:pPr>
      <w:r>
        <w:rPr>
          <w:rFonts w:hint="eastAsia"/>
          <w:b/>
          <w:color w:val="auto"/>
          <w:kern w:val="0"/>
          <w:sz w:val="28"/>
        </w:rPr>
        <w:t xml:space="preserve">12.2.2  </w:t>
      </w:r>
      <w:r>
        <w:rPr>
          <w:b/>
          <w:color w:val="auto"/>
          <w:kern w:val="0"/>
          <w:sz w:val="28"/>
        </w:rPr>
        <w:t>地下水环境质量现状结论</w:t>
      </w:r>
      <w:bookmarkEnd w:id="3311"/>
    </w:p>
    <w:p>
      <w:pPr>
        <w:spacing w:line="360" w:lineRule="auto"/>
        <w:ind w:firstLine="480" w:firstLineChars="200"/>
        <w:rPr>
          <w:color w:val="auto"/>
          <w:sz w:val="24"/>
        </w:rPr>
      </w:pPr>
      <w:r>
        <w:rPr>
          <w:color w:val="auto"/>
          <w:sz w:val="24"/>
        </w:rPr>
        <w:t>根据地下水环境质量现状监测结果可知，地下水监测因子除铁、锰外均符合《地下水质量标准》（GB/T14848-2017）Ⅲ类水的要求。监测对象主要为浅层地下水，受地表或土壤水污染影响大，项目周边工业企业多数为有色金属加工业，故铁、锰含量高于筛选值可能与项目所在区域背景值较高有关。</w:t>
      </w:r>
    </w:p>
    <w:p>
      <w:pPr>
        <w:spacing w:line="360" w:lineRule="auto"/>
        <w:outlineLvl w:val="2"/>
        <w:rPr>
          <w:b/>
          <w:color w:val="auto"/>
          <w:kern w:val="0"/>
          <w:sz w:val="28"/>
        </w:rPr>
      </w:pPr>
      <w:bookmarkStart w:id="3312" w:name="_Toc32040_WPSOffice_Level2"/>
      <w:r>
        <w:rPr>
          <w:rFonts w:hint="eastAsia"/>
          <w:b/>
          <w:color w:val="auto"/>
          <w:kern w:val="0"/>
          <w:sz w:val="28"/>
        </w:rPr>
        <w:t xml:space="preserve">12.2.3  </w:t>
      </w:r>
      <w:r>
        <w:rPr>
          <w:b/>
          <w:color w:val="auto"/>
          <w:kern w:val="0"/>
          <w:sz w:val="28"/>
        </w:rPr>
        <w:t>环境空气质量现状</w:t>
      </w:r>
      <w:bookmarkEnd w:id="3312"/>
    </w:p>
    <w:p>
      <w:pPr>
        <w:spacing w:line="360" w:lineRule="auto"/>
        <w:ind w:firstLine="480" w:firstLineChars="200"/>
        <w:rPr>
          <w:color w:val="auto"/>
          <w:sz w:val="24"/>
        </w:rPr>
      </w:pPr>
      <w:r>
        <w:rPr>
          <w:color w:val="auto"/>
          <w:sz w:val="24"/>
        </w:rPr>
        <w:t>本项目厂址位于广东清远市清城区石角镇界牌村石角工业园内。根据</w:t>
      </w:r>
      <w:r>
        <w:rPr>
          <w:rFonts w:hint="eastAsia"/>
          <w:color w:val="auto"/>
          <w:sz w:val="24"/>
        </w:rPr>
        <w:t>清远市</w:t>
      </w:r>
      <w:r>
        <w:rPr>
          <w:color w:val="auto"/>
          <w:sz w:val="24"/>
        </w:rPr>
        <w:t>《2019年1-12月清远市各县（市、区） 空气、水环境质量状况发布》，2019年清城区二氧化硫、二氧化氮、可吸入颗粒物（PM10）、细颗粒物（PM2.5）平均浓度分别为10、28、53、31微克/立方米；臭氧日最大8小时滑动平均值第90百分位数为149微克/立方米；一氧化碳日均值第95百分位数为1.2毫克/立方米，上述指标均能达到国家二级标准。本项目</w:t>
      </w:r>
      <w:r>
        <w:rPr>
          <w:rFonts w:hint="eastAsia"/>
          <w:color w:val="auto"/>
          <w:sz w:val="24"/>
        </w:rPr>
        <w:t>所在区域为达标区。</w:t>
      </w:r>
    </w:p>
    <w:p>
      <w:pPr>
        <w:spacing w:line="360" w:lineRule="auto"/>
        <w:ind w:firstLine="480" w:firstLineChars="200"/>
        <w:rPr>
          <w:color w:val="auto"/>
          <w:sz w:val="24"/>
        </w:rPr>
      </w:pPr>
      <w:r>
        <w:rPr>
          <w:rFonts w:hint="eastAsia"/>
          <w:color w:val="auto"/>
          <w:sz w:val="24"/>
        </w:rPr>
        <w:t>根</w:t>
      </w:r>
      <w:r>
        <w:rPr>
          <w:color w:val="auto"/>
          <w:sz w:val="24"/>
        </w:rPr>
        <w:t>据补充监测结果可知，评价区域内TSP、苯并[a]芘（BaP）、非甲烷总烃、TVOC的监测结果可满足相关的标准要求</w:t>
      </w:r>
      <w:r>
        <w:rPr>
          <w:rFonts w:hint="eastAsia"/>
          <w:color w:val="auto"/>
          <w:sz w:val="24"/>
        </w:rPr>
        <w:t>。</w:t>
      </w:r>
    </w:p>
    <w:p>
      <w:pPr>
        <w:spacing w:line="360" w:lineRule="auto"/>
        <w:outlineLvl w:val="2"/>
        <w:rPr>
          <w:b/>
          <w:color w:val="auto"/>
          <w:kern w:val="0"/>
          <w:sz w:val="28"/>
        </w:rPr>
      </w:pPr>
      <w:bookmarkStart w:id="3313" w:name="_Toc4088_WPSOffice_Level2"/>
      <w:r>
        <w:rPr>
          <w:rFonts w:hint="eastAsia"/>
          <w:b/>
          <w:color w:val="auto"/>
          <w:kern w:val="0"/>
          <w:sz w:val="28"/>
        </w:rPr>
        <w:t xml:space="preserve">12.2.4  </w:t>
      </w:r>
      <w:r>
        <w:rPr>
          <w:b/>
          <w:color w:val="auto"/>
          <w:kern w:val="0"/>
          <w:sz w:val="28"/>
        </w:rPr>
        <w:t>声环境质量现状结论</w:t>
      </w:r>
      <w:bookmarkEnd w:id="3313"/>
    </w:p>
    <w:p>
      <w:pPr>
        <w:spacing w:line="360" w:lineRule="auto"/>
        <w:ind w:firstLine="480"/>
        <w:rPr>
          <w:color w:val="auto"/>
          <w:sz w:val="24"/>
        </w:rPr>
      </w:pPr>
      <w:r>
        <w:rPr>
          <w:color w:val="auto"/>
          <w:sz w:val="24"/>
        </w:rPr>
        <w:t>根据声环境质量现状结果表明，项目四周的声环境均能达到《声环境质量标准》（GB3096-2008）中3类标准要求，本项目所在区域的声环境现状质量良好。</w:t>
      </w:r>
    </w:p>
    <w:p>
      <w:pPr>
        <w:spacing w:line="360" w:lineRule="auto"/>
        <w:outlineLvl w:val="2"/>
        <w:rPr>
          <w:b/>
          <w:color w:val="auto"/>
          <w:kern w:val="0"/>
          <w:sz w:val="28"/>
        </w:rPr>
      </w:pPr>
      <w:bookmarkStart w:id="3314" w:name="_Toc13613_WPSOffice_Level2"/>
      <w:r>
        <w:rPr>
          <w:rFonts w:hint="eastAsia"/>
          <w:b/>
          <w:color w:val="auto"/>
          <w:kern w:val="0"/>
          <w:sz w:val="28"/>
        </w:rPr>
        <w:t xml:space="preserve">12.2.5  </w:t>
      </w:r>
      <w:r>
        <w:rPr>
          <w:b/>
          <w:color w:val="auto"/>
          <w:kern w:val="0"/>
          <w:sz w:val="28"/>
        </w:rPr>
        <w:t>土壤环境质量现状结论</w:t>
      </w:r>
      <w:bookmarkEnd w:id="3314"/>
    </w:p>
    <w:p>
      <w:pPr>
        <w:tabs>
          <w:tab w:val="left" w:pos="360"/>
        </w:tabs>
        <w:snapToGrid w:val="0"/>
        <w:spacing w:before="159" w:beforeLines="50" w:line="360" w:lineRule="auto"/>
        <w:ind w:firstLine="480" w:firstLineChars="200"/>
        <w:rPr>
          <w:color w:val="auto"/>
          <w:sz w:val="24"/>
        </w:rPr>
      </w:pPr>
      <w:r>
        <w:rPr>
          <w:color w:val="auto"/>
          <w:sz w:val="24"/>
        </w:rPr>
        <w:t>由土壤环境现状监测结果可知，</w:t>
      </w:r>
      <w:r>
        <w:rPr>
          <w:rFonts w:hint="eastAsia"/>
          <w:color w:val="auto"/>
          <w:sz w:val="24"/>
        </w:rPr>
        <w:t>场地</w:t>
      </w:r>
      <w:r>
        <w:rPr>
          <w:rFonts w:hint="eastAsia"/>
          <w:color w:val="auto"/>
          <w:sz w:val="24"/>
          <w:lang w:val="en-US" w:eastAsia="zh-CN"/>
        </w:rPr>
        <w:t>区域内及周边</w:t>
      </w:r>
      <w:r>
        <w:rPr>
          <w:rFonts w:hint="eastAsia"/>
          <w:color w:val="auto"/>
          <w:sz w:val="24"/>
        </w:rPr>
        <w:t>土壤中</w:t>
      </w:r>
      <w:r>
        <w:rPr>
          <w:rFonts w:hint="eastAsia"/>
          <w:color w:val="auto"/>
          <w:sz w:val="24"/>
          <w:lang w:val="en-US" w:eastAsia="zh-CN"/>
        </w:rPr>
        <w:t>砷、汞</w:t>
      </w:r>
      <w:r>
        <w:rPr>
          <w:rFonts w:hint="eastAsia"/>
          <w:color w:val="auto"/>
          <w:sz w:val="24"/>
        </w:rPr>
        <w:t>本底值超过</w:t>
      </w:r>
      <w:r>
        <w:rPr>
          <w:rFonts w:hint="eastAsia"/>
          <w:color w:val="auto"/>
          <w:sz w:val="24"/>
          <w:lang w:val="en-US" w:eastAsia="zh-CN"/>
        </w:rPr>
        <w:t>相应</w:t>
      </w:r>
      <w:r>
        <w:rPr>
          <w:rFonts w:hint="eastAsia"/>
          <w:color w:val="auto"/>
          <w:sz w:val="24"/>
        </w:rPr>
        <w:t>风险筛选值，低于风险管制值</w:t>
      </w:r>
      <w:r>
        <w:rPr>
          <w:rFonts w:hint="eastAsia"/>
          <w:color w:val="auto"/>
          <w:sz w:val="24"/>
          <w:lang w:eastAsia="zh-CN"/>
        </w:rPr>
        <w:t>。</w:t>
      </w:r>
      <w:r>
        <w:rPr>
          <w:rFonts w:hint="eastAsia"/>
          <w:color w:val="auto"/>
          <w:sz w:val="24"/>
          <w:lang w:val="en-US" w:eastAsia="zh-CN"/>
        </w:rPr>
        <w:t>但对周边地下水、地表水影响不大，</w:t>
      </w:r>
      <w:r>
        <w:rPr>
          <w:rFonts w:hint="eastAsia"/>
          <w:color w:val="auto"/>
          <w:sz w:val="24"/>
        </w:rPr>
        <w:t>可排除项目场地</w:t>
      </w:r>
      <w:r>
        <w:rPr>
          <w:rFonts w:hint="eastAsia"/>
          <w:color w:val="auto"/>
          <w:sz w:val="24"/>
          <w:lang w:val="en-US" w:eastAsia="zh-CN"/>
        </w:rPr>
        <w:t>及周边砷、汞</w:t>
      </w:r>
      <w:r>
        <w:rPr>
          <w:rFonts w:hint="eastAsia"/>
          <w:color w:val="auto"/>
          <w:sz w:val="24"/>
        </w:rPr>
        <w:t>可能存在的风险。</w:t>
      </w:r>
      <w:r>
        <w:rPr>
          <w:color w:val="auto"/>
          <w:sz w:val="24"/>
        </w:rPr>
        <w:t>砷</w:t>
      </w:r>
      <w:r>
        <w:rPr>
          <w:rFonts w:hint="eastAsia"/>
          <w:color w:val="auto"/>
          <w:sz w:val="24"/>
          <w:lang w:eastAsia="zh-CN"/>
        </w:rPr>
        <w:t>、</w:t>
      </w:r>
      <w:r>
        <w:rPr>
          <w:rFonts w:hint="eastAsia"/>
          <w:color w:val="auto"/>
          <w:sz w:val="24"/>
          <w:lang w:val="en-US" w:eastAsia="zh-CN"/>
        </w:rPr>
        <w:t>汞</w:t>
      </w:r>
      <w:r>
        <w:rPr>
          <w:color w:val="auto"/>
          <w:sz w:val="24"/>
        </w:rPr>
        <w:t>含量高于筛选值可能与项目所在区域背景值较高有关。</w:t>
      </w:r>
    </w:p>
    <w:p>
      <w:pPr>
        <w:spacing w:line="360" w:lineRule="auto"/>
        <w:outlineLvl w:val="2"/>
        <w:rPr>
          <w:b/>
          <w:color w:val="auto"/>
          <w:kern w:val="0"/>
          <w:sz w:val="28"/>
        </w:rPr>
      </w:pPr>
      <w:r>
        <w:rPr>
          <w:rFonts w:hint="eastAsia"/>
          <w:b/>
          <w:color w:val="auto"/>
          <w:kern w:val="0"/>
          <w:sz w:val="28"/>
        </w:rPr>
        <w:t xml:space="preserve">12.5.6  </w:t>
      </w:r>
      <w:r>
        <w:rPr>
          <w:b/>
          <w:color w:val="auto"/>
          <w:kern w:val="0"/>
          <w:sz w:val="28"/>
        </w:rPr>
        <w:t>河流底质环境量现状结论</w:t>
      </w:r>
    </w:p>
    <w:p>
      <w:pPr>
        <w:widowControl/>
        <w:tabs>
          <w:tab w:val="left" w:pos="0"/>
          <w:tab w:val="left" w:pos="2089"/>
        </w:tabs>
        <w:adjustRightInd w:val="0"/>
        <w:snapToGrid w:val="0"/>
        <w:spacing w:line="360" w:lineRule="auto"/>
        <w:ind w:firstLine="480" w:firstLineChars="200"/>
        <w:jc w:val="left"/>
        <w:rPr>
          <w:color w:val="auto"/>
          <w:sz w:val="24"/>
        </w:rPr>
      </w:pPr>
      <w:r>
        <w:rPr>
          <w:color w:val="auto"/>
          <w:sz w:val="24"/>
        </w:rPr>
        <w:t>根据底泥监测结果统计表的监测结果分析可知沙埗溪底泥中各监测因子均满足《土壤环境质量 农用地土壤污染风险管控标准（试行）》（GB 15618-2018）的其他用地管制值的要求。</w:t>
      </w:r>
    </w:p>
    <w:p>
      <w:pPr>
        <w:pStyle w:val="5"/>
        <w:numPr>
          <w:ilvl w:val="1"/>
          <w:numId w:val="0"/>
        </w:numPr>
        <w:tabs>
          <w:tab w:val="clear" w:pos="720"/>
        </w:tabs>
        <w:spacing w:before="159" w:after="159"/>
        <w:rPr>
          <w:color w:val="auto"/>
          <w:sz w:val="32"/>
          <w:szCs w:val="21"/>
        </w:rPr>
      </w:pPr>
      <w:bookmarkStart w:id="3315" w:name="_Toc24965"/>
      <w:r>
        <w:rPr>
          <w:rFonts w:hint="eastAsia"/>
          <w:color w:val="auto"/>
          <w:sz w:val="32"/>
          <w:szCs w:val="21"/>
        </w:rPr>
        <w:t>12.3  营运期</w:t>
      </w:r>
      <w:r>
        <w:rPr>
          <w:color w:val="auto"/>
          <w:sz w:val="32"/>
          <w:szCs w:val="21"/>
        </w:rPr>
        <w:t>环境</w:t>
      </w:r>
      <w:r>
        <w:rPr>
          <w:rFonts w:hint="eastAsia"/>
          <w:color w:val="auto"/>
          <w:sz w:val="32"/>
          <w:szCs w:val="21"/>
        </w:rPr>
        <w:t>影响评价结论</w:t>
      </w:r>
      <w:bookmarkEnd w:id="3315"/>
      <w:r>
        <w:rPr>
          <w:color w:val="auto"/>
          <w:sz w:val="32"/>
          <w:szCs w:val="21"/>
        </w:rPr>
        <w:t xml:space="preserve"> </w:t>
      </w:r>
    </w:p>
    <w:p>
      <w:pPr>
        <w:pStyle w:val="7"/>
        <w:numPr>
          <w:ilvl w:val="2"/>
          <w:numId w:val="0"/>
        </w:numPr>
        <w:tabs>
          <w:tab w:val="clear" w:pos="720"/>
        </w:tabs>
        <w:adjustRightInd/>
        <w:spacing w:before="156" w:beforeLines="0" w:after="156" w:afterLines="0" w:line="416" w:lineRule="auto"/>
        <w:textAlignment w:val="auto"/>
        <w:rPr>
          <w:color w:val="auto"/>
        </w:rPr>
      </w:pPr>
      <w:bookmarkStart w:id="3316" w:name="_Toc19342"/>
      <w:bookmarkStart w:id="3317" w:name="_Toc12959363"/>
      <w:bookmarkStart w:id="3318" w:name="_Toc240808332"/>
      <w:bookmarkStart w:id="3319" w:name="_Toc269713054"/>
      <w:bookmarkStart w:id="3320" w:name="_Toc527390709"/>
      <w:bookmarkStart w:id="3321" w:name="_Toc256089277"/>
      <w:bookmarkStart w:id="3322" w:name="_Toc484690121"/>
      <w:bookmarkStart w:id="3323" w:name="_Toc499219472"/>
      <w:bookmarkStart w:id="3324" w:name="_Toc240900217"/>
      <w:bookmarkStart w:id="3325" w:name="_Toc370459047"/>
      <w:bookmarkStart w:id="3326" w:name="_Toc1729037"/>
      <w:bookmarkStart w:id="3327" w:name="_Toc514067775"/>
      <w:bookmarkStart w:id="3328" w:name="_Toc269712925"/>
      <w:r>
        <w:rPr>
          <w:rFonts w:hint="eastAsia"/>
          <w:color w:val="auto"/>
        </w:rPr>
        <w:t xml:space="preserve">12.3.1  </w:t>
      </w:r>
      <w:r>
        <w:rPr>
          <w:color w:val="auto"/>
        </w:rPr>
        <w:t>地表水环境影响</w:t>
      </w:r>
      <w:r>
        <w:rPr>
          <w:rFonts w:hint="eastAsia"/>
          <w:color w:val="auto"/>
        </w:rPr>
        <w:t>评价结论</w:t>
      </w:r>
      <w:bookmarkEnd w:id="3316"/>
    </w:p>
    <w:p>
      <w:pPr>
        <w:pStyle w:val="6"/>
        <w:spacing w:line="360" w:lineRule="auto"/>
        <w:ind w:firstLine="480"/>
        <w:rPr>
          <w:color w:val="auto"/>
          <w:kern w:val="2"/>
          <w:sz w:val="24"/>
          <w:szCs w:val="24"/>
        </w:rPr>
      </w:pPr>
      <w:r>
        <w:rPr>
          <w:color w:val="auto"/>
          <w:kern w:val="2"/>
          <w:sz w:val="24"/>
          <w:szCs w:val="24"/>
        </w:rPr>
        <w:t>项目产生的废水主要为生产废水与生活污水，生产废水回用不外排，生活污水经三级化粪池预处理达到广东省地方标准《水污染物排放限值》（DB44/26-2001）第二时段三级标准及石角污水处理厂进水水质标准较严值后经市政管网进入石角污水处理厂集中处理，最后尾水达标排入沙埗溪。</w:t>
      </w:r>
      <w:r>
        <w:rPr>
          <w:color w:val="auto"/>
          <w:sz w:val="24"/>
          <w:szCs w:val="24"/>
        </w:rPr>
        <w:t>项目运营期对水环境的影响可接受。</w:t>
      </w:r>
    </w:p>
    <w:p>
      <w:pPr>
        <w:pStyle w:val="7"/>
        <w:numPr>
          <w:ilvl w:val="2"/>
          <w:numId w:val="0"/>
        </w:numPr>
        <w:tabs>
          <w:tab w:val="clear" w:pos="720"/>
        </w:tabs>
        <w:adjustRightInd/>
        <w:spacing w:before="156" w:beforeLines="0" w:after="156" w:afterLines="0" w:line="416" w:lineRule="auto"/>
        <w:textAlignment w:val="auto"/>
        <w:rPr>
          <w:color w:val="auto"/>
        </w:rPr>
      </w:pPr>
      <w:bookmarkStart w:id="3329" w:name="_Toc28589"/>
      <w:r>
        <w:rPr>
          <w:rFonts w:hint="eastAsia"/>
          <w:color w:val="auto"/>
        </w:rPr>
        <w:t xml:space="preserve">12.3.2  </w:t>
      </w:r>
      <w:r>
        <w:rPr>
          <w:color w:val="auto"/>
        </w:rPr>
        <w:t>大气环境影响</w:t>
      </w:r>
      <w:r>
        <w:rPr>
          <w:rFonts w:hint="eastAsia"/>
          <w:color w:val="auto"/>
        </w:rPr>
        <w:t>评价结论</w:t>
      </w:r>
      <w:bookmarkEnd w:id="3329"/>
    </w:p>
    <w:p>
      <w:pPr>
        <w:spacing w:line="360" w:lineRule="auto"/>
        <w:ind w:firstLine="480" w:firstLineChars="200"/>
        <w:rPr>
          <w:color w:val="auto"/>
          <w:sz w:val="24"/>
        </w:rPr>
      </w:pPr>
      <w:r>
        <w:rPr>
          <w:rFonts w:hint="eastAsia"/>
          <w:color w:val="auto"/>
          <w:sz w:val="24"/>
        </w:rPr>
        <w:t>本项目</w:t>
      </w:r>
      <w:r>
        <w:rPr>
          <w:color w:val="auto"/>
          <w:sz w:val="24"/>
        </w:rPr>
        <w:t>湿式破碎生产线“一破工序”产生的颗粒物由集气罩收集，收集后经管道进入旋风布袋除尘器处理，处理后从</w:t>
      </w:r>
      <w:r>
        <w:rPr>
          <w:rFonts w:hint="eastAsia"/>
          <w:color w:val="auto"/>
          <w:sz w:val="24"/>
        </w:rPr>
        <w:t>15m</w:t>
      </w:r>
      <w:r>
        <w:rPr>
          <w:color w:val="auto"/>
          <w:sz w:val="24"/>
        </w:rPr>
        <w:t>排气筒</w:t>
      </w:r>
      <w:r>
        <w:rPr>
          <w:rFonts w:hint="eastAsia"/>
          <w:color w:val="auto"/>
          <w:sz w:val="24"/>
        </w:rPr>
        <w:t>G2</w:t>
      </w:r>
      <w:r>
        <w:rPr>
          <w:color w:val="auto"/>
          <w:sz w:val="24"/>
        </w:rPr>
        <w:t>排放</w:t>
      </w:r>
      <w:r>
        <w:rPr>
          <w:rFonts w:hint="eastAsia"/>
          <w:color w:val="auto"/>
          <w:sz w:val="24"/>
        </w:rPr>
        <w:t>；</w:t>
      </w:r>
      <w:r>
        <w:rPr>
          <w:color w:val="auto"/>
          <w:sz w:val="24"/>
        </w:rPr>
        <w:t>卷材生产线产生的颗粒物、苯并[a]芘和非甲烷总烃采用整室收集的方式收集，经“旋风除尘+冷凝器+油烟净化器+UV光解+活性炭吸附”设备处理达标后经</w:t>
      </w:r>
      <w:r>
        <w:rPr>
          <w:rFonts w:hint="eastAsia"/>
          <w:color w:val="auto"/>
          <w:sz w:val="24"/>
        </w:rPr>
        <w:t>15m</w:t>
      </w:r>
      <w:r>
        <w:rPr>
          <w:color w:val="auto"/>
          <w:sz w:val="24"/>
        </w:rPr>
        <w:t>排气筒</w:t>
      </w:r>
      <w:r>
        <w:rPr>
          <w:rFonts w:hint="eastAsia"/>
          <w:color w:val="auto"/>
          <w:sz w:val="24"/>
        </w:rPr>
        <w:t>G1</w:t>
      </w:r>
      <w:r>
        <w:rPr>
          <w:color w:val="auto"/>
          <w:sz w:val="24"/>
        </w:rPr>
        <w:t>排放</w:t>
      </w:r>
      <w:r>
        <w:rPr>
          <w:rFonts w:hint="eastAsia"/>
          <w:color w:val="auto"/>
          <w:sz w:val="24"/>
        </w:rPr>
        <w:t>；</w:t>
      </w:r>
      <w:r>
        <w:rPr>
          <w:rFonts w:hint="eastAsia"/>
          <w:color w:val="auto"/>
          <w:sz w:val="24"/>
          <w:lang w:eastAsia="zh-CN"/>
        </w:rPr>
        <w:t>导热油炉</w:t>
      </w:r>
      <w:r>
        <w:rPr>
          <w:color w:val="auto"/>
          <w:sz w:val="24"/>
        </w:rPr>
        <w:t>尾气从</w:t>
      </w:r>
      <w:r>
        <w:rPr>
          <w:rFonts w:hint="eastAsia"/>
          <w:color w:val="auto"/>
          <w:sz w:val="24"/>
        </w:rPr>
        <w:t>15m</w:t>
      </w:r>
      <w:r>
        <w:rPr>
          <w:color w:val="auto"/>
          <w:sz w:val="24"/>
        </w:rPr>
        <w:t>排气筒</w:t>
      </w:r>
      <w:r>
        <w:rPr>
          <w:rFonts w:hint="eastAsia"/>
          <w:color w:val="auto"/>
          <w:sz w:val="24"/>
        </w:rPr>
        <w:t>G3</w:t>
      </w:r>
      <w:r>
        <w:rPr>
          <w:color w:val="auto"/>
          <w:sz w:val="24"/>
        </w:rPr>
        <w:t>外排。</w:t>
      </w:r>
    </w:p>
    <w:p>
      <w:pPr>
        <w:spacing w:line="360" w:lineRule="auto"/>
        <w:ind w:firstLine="480" w:firstLineChars="200"/>
        <w:rPr>
          <w:color w:val="auto"/>
          <w:sz w:val="24"/>
        </w:rPr>
      </w:pPr>
      <w:r>
        <w:rPr>
          <w:rFonts w:hint="eastAsia"/>
          <w:color w:val="auto"/>
          <w:sz w:val="24"/>
        </w:rPr>
        <w:t>经上述处理措施处理后破碎废气、卷材生产废气排放浓度均可达到</w:t>
      </w:r>
      <w:r>
        <w:rPr>
          <w:color w:val="auto"/>
          <w:sz w:val="24"/>
        </w:rPr>
        <w:t>广东省《大气污染物排放限值》（DB44/27-2001）中</w:t>
      </w:r>
      <w:r>
        <w:rPr>
          <w:rFonts w:hint="eastAsia"/>
          <w:color w:val="auto"/>
          <w:sz w:val="24"/>
        </w:rPr>
        <w:t>第二时段二级标准，锅炉废气可达到广东省《锅炉大气污染物排放标准》（DB 44/765-2019）中新建锅炉大气污染物排放浓度限值。故</w:t>
      </w:r>
      <w:r>
        <w:rPr>
          <w:color w:val="auto"/>
          <w:sz w:val="24"/>
        </w:rPr>
        <w:t>项目排放的污染物对所在区域和周边敏感点环境空气质量的影响是可接受的。</w:t>
      </w:r>
    </w:p>
    <w:p>
      <w:pPr>
        <w:pStyle w:val="7"/>
        <w:numPr>
          <w:ilvl w:val="2"/>
          <w:numId w:val="0"/>
        </w:numPr>
        <w:tabs>
          <w:tab w:val="clear" w:pos="720"/>
        </w:tabs>
        <w:adjustRightInd/>
        <w:spacing w:before="156" w:beforeLines="0" w:after="156" w:afterLines="0" w:line="416" w:lineRule="auto"/>
        <w:textAlignment w:val="auto"/>
        <w:rPr>
          <w:color w:val="auto"/>
        </w:rPr>
      </w:pPr>
      <w:bookmarkStart w:id="3330" w:name="_Toc9115"/>
      <w:r>
        <w:rPr>
          <w:rFonts w:hint="eastAsia"/>
          <w:color w:val="auto"/>
        </w:rPr>
        <w:t xml:space="preserve">12.3.3  </w:t>
      </w:r>
      <w:r>
        <w:rPr>
          <w:color w:val="auto"/>
        </w:rPr>
        <w:t>地下水环境影响</w:t>
      </w:r>
      <w:r>
        <w:rPr>
          <w:rFonts w:hint="eastAsia"/>
          <w:color w:val="auto"/>
        </w:rPr>
        <w:t>评价结论</w:t>
      </w:r>
      <w:bookmarkEnd w:id="3330"/>
    </w:p>
    <w:p>
      <w:pPr>
        <w:snapToGrid w:val="0"/>
        <w:spacing w:line="360" w:lineRule="auto"/>
        <w:ind w:firstLine="480" w:firstLineChars="200"/>
        <w:jc w:val="left"/>
        <w:rPr>
          <w:color w:val="auto"/>
          <w:sz w:val="24"/>
        </w:rPr>
      </w:pPr>
      <w:r>
        <w:rPr>
          <w:color w:val="auto"/>
          <w:sz w:val="24"/>
        </w:rPr>
        <w:t>本项目各车间、仓库、罐区、污水处理站等在按照上述有关标准的要求作了必要的防渗、防漏、防雨等安全措施后，由于有耐腐蚀的硬化地面，透水性较差。在正常情况下，项目所有生产废水通过厂内沉淀池处理达后进行回应，生活污水经预处理后排入市政管网，不会直接进入地下水，不会对地下水产生明显的不利影响。</w:t>
      </w:r>
    </w:p>
    <w:p>
      <w:pPr>
        <w:pStyle w:val="7"/>
        <w:numPr>
          <w:ilvl w:val="2"/>
          <w:numId w:val="0"/>
        </w:numPr>
        <w:tabs>
          <w:tab w:val="clear" w:pos="720"/>
        </w:tabs>
        <w:adjustRightInd/>
        <w:spacing w:before="156" w:beforeLines="0" w:after="156" w:afterLines="0" w:line="416" w:lineRule="auto"/>
        <w:textAlignment w:val="auto"/>
        <w:rPr>
          <w:color w:val="auto"/>
        </w:rPr>
      </w:pPr>
      <w:bookmarkStart w:id="3331" w:name="_Toc26269"/>
      <w:r>
        <w:rPr>
          <w:rFonts w:hint="eastAsia"/>
          <w:color w:val="auto"/>
        </w:rPr>
        <w:t xml:space="preserve">12.3.4  </w:t>
      </w:r>
      <w:r>
        <w:rPr>
          <w:color w:val="auto"/>
        </w:rPr>
        <w:t>环境噪声影响</w:t>
      </w:r>
      <w:r>
        <w:rPr>
          <w:rFonts w:hint="eastAsia"/>
          <w:color w:val="auto"/>
        </w:rPr>
        <w:t>评价结论</w:t>
      </w:r>
      <w:bookmarkEnd w:id="3331"/>
    </w:p>
    <w:p>
      <w:pPr>
        <w:spacing w:line="360" w:lineRule="auto"/>
        <w:ind w:firstLine="480" w:firstLineChars="200"/>
        <w:rPr>
          <w:color w:val="auto"/>
          <w:sz w:val="24"/>
        </w:rPr>
      </w:pPr>
      <w:r>
        <w:rPr>
          <w:color w:val="auto"/>
          <w:sz w:val="24"/>
        </w:rPr>
        <w:t>环境噪声影响预测表明：项目建设后，噪声源产生的噪声在各边界预测值昼夜均能满足《工业企业厂界环境噪声排放标准》（GB12348-2008）3类标准要求。</w:t>
      </w:r>
    </w:p>
    <w:p>
      <w:pPr>
        <w:pStyle w:val="7"/>
        <w:numPr>
          <w:ilvl w:val="2"/>
          <w:numId w:val="0"/>
        </w:numPr>
        <w:tabs>
          <w:tab w:val="clear" w:pos="720"/>
        </w:tabs>
        <w:adjustRightInd/>
        <w:spacing w:before="156" w:beforeLines="0" w:after="156" w:afterLines="0" w:line="416" w:lineRule="auto"/>
        <w:textAlignment w:val="auto"/>
        <w:rPr>
          <w:color w:val="auto"/>
        </w:rPr>
      </w:pPr>
      <w:bookmarkStart w:id="3332" w:name="_Toc549"/>
      <w:r>
        <w:rPr>
          <w:rFonts w:hint="eastAsia"/>
          <w:color w:val="auto"/>
        </w:rPr>
        <w:t xml:space="preserve">12.3.5  </w:t>
      </w:r>
      <w:r>
        <w:rPr>
          <w:color w:val="auto"/>
        </w:rPr>
        <w:t>固体废物影响</w:t>
      </w:r>
      <w:r>
        <w:rPr>
          <w:rFonts w:hint="eastAsia"/>
          <w:color w:val="auto"/>
        </w:rPr>
        <w:t>评价结论</w:t>
      </w:r>
      <w:bookmarkEnd w:id="3332"/>
    </w:p>
    <w:p>
      <w:pPr>
        <w:spacing w:line="360" w:lineRule="auto"/>
        <w:ind w:firstLine="480" w:firstLineChars="200"/>
        <w:rPr>
          <w:color w:val="auto"/>
          <w:kern w:val="0"/>
          <w:sz w:val="24"/>
        </w:rPr>
      </w:pPr>
      <w:r>
        <w:rPr>
          <w:color w:val="auto"/>
          <w:sz w:val="24"/>
        </w:rPr>
        <w:t>本项目产生的固废包括危险固废、一般工业固废和生活垃圾，其中危险废物委托有资质的单位运走处置，一般工业固废交由有能力处理单位运走处理，生活垃圾委托当地环卫部门定期清运</w:t>
      </w:r>
      <w:r>
        <w:rPr>
          <w:color w:val="auto"/>
          <w:kern w:val="0"/>
          <w:sz w:val="24"/>
        </w:rPr>
        <w:t>。</w:t>
      </w:r>
    </w:p>
    <w:p>
      <w:pPr>
        <w:spacing w:line="360" w:lineRule="auto"/>
        <w:ind w:firstLine="480" w:firstLineChars="200"/>
        <w:rPr>
          <w:color w:val="auto"/>
          <w:sz w:val="24"/>
        </w:rPr>
      </w:pPr>
      <w:r>
        <w:rPr>
          <w:color w:val="auto"/>
          <w:sz w:val="24"/>
        </w:rPr>
        <w:t>经过上述处置后，项目固废对环境影响较小。</w:t>
      </w:r>
    </w:p>
    <w:p>
      <w:pPr>
        <w:pStyle w:val="7"/>
        <w:numPr>
          <w:ilvl w:val="2"/>
          <w:numId w:val="0"/>
        </w:numPr>
        <w:tabs>
          <w:tab w:val="clear" w:pos="720"/>
        </w:tabs>
        <w:adjustRightInd/>
        <w:spacing w:before="156" w:beforeLines="0" w:after="156" w:afterLines="0" w:line="416" w:lineRule="auto"/>
        <w:textAlignment w:val="auto"/>
        <w:rPr>
          <w:color w:val="auto"/>
        </w:rPr>
      </w:pPr>
      <w:bookmarkStart w:id="3333" w:name="_Toc25121"/>
      <w:r>
        <w:rPr>
          <w:rFonts w:hint="eastAsia"/>
          <w:color w:val="auto"/>
        </w:rPr>
        <w:t xml:space="preserve">12.3.6  </w:t>
      </w:r>
      <w:r>
        <w:rPr>
          <w:color w:val="auto"/>
        </w:rPr>
        <w:t>环境风险影响</w:t>
      </w:r>
      <w:r>
        <w:rPr>
          <w:rFonts w:hint="eastAsia"/>
          <w:color w:val="auto"/>
        </w:rPr>
        <w:t>评价结论</w:t>
      </w:r>
      <w:bookmarkEnd w:id="3333"/>
    </w:p>
    <w:p>
      <w:pPr>
        <w:spacing w:line="360" w:lineRule="auto"/>
        <w:ind w:firstLine="480" w:firstLineChars="200"/>
        <w:rPr>
          <w:color w:val="auto"/>
          <w:sz w:val="24"/>
        </w:rPr>
      </w:pPr>
      <w:r>
        <w:rPr>
          <w:color w:val="auto"/>
          <w:sz w:val="24"/>
        </w:rPr>
        <w:t>本项目危险物质总量与临界量比值Q=0.044448。根据《建设项目环境风险评价技术导则》（HJ169-2018）附录C，当Q＜1时，该项目环境风险潜势为Ⅰ级。因此，项目环境风险评价等级为</w:t>
      </w:r>
      <w:r>
        <w:rPr>
          <w:rFonts w:hint="eastAsia"/>
          <w:color w:val="auto"/>
          <w:sz w:val="24"/>
        </w:rPr>
        <w:t>简单分析</w:t>
      </w:r>
      <w:r>
        <w:rPr>
          <w:color w:val="auto"/>
          <w:sz w:val="24"/>
        </w:rPr>
        <w:t>。本项目的风险主要来自于废物及产品运输、暂存、处理、废水处理等生产设施和生产过程发生泄漏、事故排放引起环境污染的风险。</w:t>
      </w:r>
    </w:p>
    <w:p>
      <w:pPr>
        <w:snapToGrid w:val="0"/>
        <w:spacing w:line="360" w:lineRule="auto"/>
        <w:ind w:firstLine="480" w:firstLineChars="200"/>
        <w:jc w:val="left"/>
        <w:rPr>
          <w:color w:val="auto"/>
          <w:sz w:val="24"/>
        </w:rPr>
      </w:pPr>
      <w:r>
        <w:rPr>
          <w:color w:val="auto"/>
          <w:sz w:val="24"/>
        </w:rPr>
        <w:t>项目采取了废水事故排放减缓措施、物料泄露事故减缓措施、围堰的工程防范措施、危险废物运输过程的风险防范、火灾的预防等措施。项目建成后应按《建设项目环境风险评价技术导则》（HJ/T 169－2004）中环境风险应急预案的要求编制本项目的环境风险应急预案，并在环保行政主管部门进行备案。</w:t>
      </w:r>
    </w:p>
    <w:p>
      <w:pPr>
        <w:pStyle w:val="6"/>
        <w:spacing w:line="360" w:lineRule="auto"/>
        <w:ind w:firstLine="480" w:firstLineChars="200"/>
        <w:rPr>
          <w:color w:val="auto"/>
          <w:szCs w:val="24"/>
        </w:rPr>
      </w:pPr>
      <w:r>
        <w:rPr>
          <w:color w:val="auto"/>
          <w:sz w:val="24"/>
        </w:rPr>
        <w:t>报告书分析，通过采取事故防范、应急措施以及落实安全管理对策，落实生产车间的防漏防渗措施，可有效防止事故发生及减轻其危害，本项目的风险影响处于可接受范围内</w:t>
      </w:r>
      <w:r>
        <w:rPr>
          <w:color w:val="auto"/>
          <w:szCs w:val="24"/>
        </w:rPr>
        <w:t>。</w:t>
      </w:r>
    </w:p>
    <w:bookmarkEnd w:id="3317"/>
    <w:bookmarkEnd w:id="3318"/>
    <w:bookmarkEnd w:id="3319"/>
    <w:bookmarkEnd w:id="3320"/>
    <w:bookmarkEnd w:id="3321"/>
    <w:bookmarkEnd w:id="3322"/>
    <w:bookmarkEnd w:id="3323"/>
    <w:bookmarkEnd w:id="3324"/>
    <w:bookmarkEnd w:id="3325"/>
    <w:bookmarkEnd w:id="3326"/>
    <w:bookmarkEnd w:id="3327"/>
    <w:bookmarkEnd w:id="3328"/>
    <w:p>
      <w:pPr>
        <w:pStyle w:val="5"/>
        <w:numPr>
          <w:ilvl w:val="1"/>
          <w:numId w:val="0"/>
        </w:numPr>
        <w:tabs>
          <w:tab w:val="clear" w:pos="720"/>
        </w:tabs>
        <w:spacing w:before="159" w:after="159"/>
        <w:rPr>
          <w:color w:val="auto"/>
          <w:sz w:val="32"/>
          <w:szCs w:val="21"/>
        </w:rPr>
      </w:pPr>
      <w:bookmarkStart w:id="3334" w:name="_Toc370459049"/>
      <w:bookmarkStart w:id="3335" w:name="_Toc12959365"/>
      <w:bookmarkStart w:id="3336" w:name="_Toc269713055"/>
      <w:bookmarkStart w:id="3337" w:name="_Toc527390711"/>
      <w:bookmarkStart w:id="3338" w:name="_Toc269712926"/>
      <w:bookmarkStart w:id="3339" w:name="_Toc256089278"/>
      <w:bookmarkStart w:id="3340" w:name="_Toc4636"/>
      <w:bookmarkStart w:id="3341" w:name="_Toc1729039"/>
      <w:bookmarkStart w:id="3342" w:name="_Toc484690123"/>
      <w:bookmarkStart w:id="3343" w:name="_Toc21030"/>
      <w:bookmarkStart w:id="3344" w:name="_Toc514067788"/>
      <w:bookmarkStart w:id="3345" w:name="_Toc499219484"/>
      <w:r>
        <w:rPr>
          <w:rFonts w:hint="eastAsia"/>
          <w:color w:val="auto"/>
          <w:sz w:val="32"/>
          <w:szCs w:val="21"/>
        </w:rPr>
        <w:t xml:space="preserve">12.4  </w:t>
      </w:r>
      <w:r>
        <w:rPr>
          <w:color w:val="auto"/>
          <w:sz w:val="32"/>
          <w:szCs w:val="21"/>
        </w:rPr>
        <w:t>总量控制分析</w:t>
      </w:r>
      <w:bookmarkEnd w:id="3334"/>
      <w:bookmarkEnd w:id="3335"/>
      <w:bookmarkEnd w:id="3336"/>
      <w:bookmarkEnd w:id="3337"/>
      <w:bookmarkEnd w:id="3338"/>
      <w:bookmarkEnd w:id="3339"/>
      <w:bookmarkEnd w:id="3340"/>
      <w:bookmarkEnd w:id="3341"/>
      <w:bookmarkEnd w:id="3342"/>
      <w:bookmarkEnd w:id="3343"/>
      <w:bookmarkEnd w:id="3344"/>
      <w:bookmarkEnd w:id="3345"/>
    </w:p>
    <w:p>
      <w:pPr>
        <w:spacing w:line="360" w:lineRule="auto"/>
        <w:ind w:firstLine="480" w:firstLineChars="200"/>
        <w:rPr>
          <w:color w:val="auto"/>
          <w:sz w:val="24"/>
        </w:rPr>
      </w:pPr>
      <w:bookmarkStart w:id="3346" w:name="_Toc484690124"/>
      <w:bookmarkStart w:id="3347" w:name="_Toc269712928"/>
      <w:bookmarkStart w:id="3348" w:name="_Toc370459051"/>
      <w:bookmarkStart w:id="3349" w:name="_Toc240808338"/>
      <w:bookmarkStart w:id="3350" w:name="_Toc256089280"/>
      <w:bookmarkStart w:id="3351" w:name="_Toc240900222"/>
      <w:bookmarkStart w:id="3352" w:name="_Toc269713057"/>
      <w:r>
        <w:rPr>
          <w:color w:val="auto"/>
          <w:sz w:val="24"/>
        </w:rPr>
        <w:t>（1）水污染物总量控制</w:t>
      </w:r>
    </w:p>
    <w:p>
      <w:pPr>
        <w:spacing w:line="360" w:lineRule="auto"/>
        <w:ind w:firstLine="480" w:firstLineChars="200"/>
        <w:rPr>
          <w:color w:val="auto"/>
          <w:sz w:val="24"/>
        </w:rPr>
      </w:pPr>
      <w:r>
        <w:rPr>
          <w:color w:val="auto"/>
          <w:sz w:val="24"/>
        </w:rPr>
        <w:t>本项目水污染源主要包括生产废水及生活污水。</w:t>
      </w:r>
    </w:p>
    <w:p>
      <w:pPr>
        <w:spacing w:line="360" w:lineRule="auto"/>
        <w:ind w:firstLine="480" w:firstLineChars="200"/>
        <w:rPr>
          <w:color w:val="auto"/>
          <w:kern w:val="0"/>
          <w:sz w:val="24"/>
        </w:rPr>
      </w:pPr>
      <w:r>
        <w:rPr>
          <w:color w:val="auto"/>
          <w:sz w:val="24"/>
        </w:rPr>
        <w:t>生产废水循环利用不外排，生活污水治理措施主要为</w:t>
      </w:r>
      <w:r>
        <w:rPr>
          <w:color w:val="auto"/>
        </w:rPr>
        <w:t>三级</w:t>
      </w:r>
      <w:r>
        <w:rPr>
          <w:color w:val="auto"/>
          <w:sz w:val="24"/>
        </w:rPr>
        <w:t>化粪池。项目生活污水经三级化粪池 预处理后达到广东省地方标准《水污染物排放限值》（DB 44/26-2001）第二时段三级标准和石角污水处理厂进水水质较严者后通过污水管网排入石角污水处理厂，尾水排入沙埗溪。项目水污染物总量控制指标纳入石角污水处理厂统一管理，不另设水污染物总量控制指标。</w:t>
      </w:r>
    </w:p>
    <w:p>
      <w:pPr>
        <w:spacing w:line="360" w:lineRule="auto"/>
        <w:ind w:firstLine="480" w:firstLineChars="200"/>
        <w:rPr>
          <w:color w:val="auto"/>
          <w:sz w:val="24"/>
        </w:rPr>
      </w:pPr>
      <w:r>
        <w:rPr>
          <w:color w:val="auto"/>
          <w:sz w:val="24"/>
        </w:rPr>
        <w:t>（2）大气污染物总量控制指标</w:t>
      </w:r>
    </w:p>
    <w:p>
      <w:pPr>
        <w:autoSpaceDE w:val="0"/>
        <w:autoSpaceDN w:val="0"/>
        <w:adjustRightInd w:val="0"/>
        <w:spacing w:line="360" w:lineRule="auto"/>
        <w:ind w:firstLine="480" w:firstLineChars="200"/>
        <w:jc w:val="left"/>
        <w:rPr>
          <w:color w:val="auto"/>
          <w:sz w:val="24"/>
        </w:rPr>
      </w:pPr>
      <w:bookmarkStart w:id="3353" w:name="_Toc514067789"/>
      <w:bookmarkStart w:id="3354" w:name="_Toc527390712"/>
      <w:bookmarkStart w:id="3355" w:name="_Toc1729040"/>
      <w:bookmarkStart w:id="3356" w:name="_Toc12959366"/>
      <w:bookmarkStart w:id="3357" w:name="_Toc499219485"/>
      <w:r>
        <w:rPr>
          <w:color w:val="auto"/>
          <w:sz w:val="24"/>
        </w:rPr>
        <w:t>根据工程分析核算，项目大气污染物排放量如下表所示。</w:t>
      </w:r>
    </w:p>
    <w:p>
      <w:pPr>
        <w:autoSpaceDE w:val="0"/>
        <w:autoSpaceDN w:val="0"/>
        <w:adjustRightInd w:val="0"/>
        <w:snapToGrid w:val="0"/>
        <w:spacing w:before="159" w:beforeLines="50" w:line="360" w:lineRule="auto"/>
        <w:jc w:val="center"/>
        <w:rPr>
          <w:b/>
          <w:color w:val="auto"/>
          <w:sz w:val="22"/>
        </w:rPr>
      </w:pPr>
      <w:r>
        <w:rPr>
          <w:b/>
          <w:color w:val="auto"/>
          <w:kern w:val="0"/>
          <w:szCs w:val="21"/>
        </w:rPr>
        <w:t>表</w:t>
      </w:r>
      <w:r>
        <w:rPr>
          <w:rFonts w:hint="eastAsia"/>
          <w:b/>
          <w:color w:val="auto"/>
          <w:kern w:val="0"/>
          <w:szCs w:val="21"/>
        </w:rPr>
        <w:t>12.4-1</w:t>
      </w:r>
      <w:r>
        <w:rPr>
          <w:b/>
          <w:color w:val="auto"/>
          <w:kern w:val="0"/>
          <w:szCs w:val="21"/>
        </w:rPr>
        <w:t xml:space="preserve"> </w:t>
      </w:r>
      <w:r>
        <w:rPr>
          <w:rFonts w:hint="eastAsia"/>
          <w:b/>
          <w:color w:val="auto"/>
          <w:kern w:val="0"/>
          <w:szCs w:val="21"/>
        </w:rPr>
        <w:t xml:space="preserve"> </w:t>
      </w:r>
      <w:r>
        <w:rPr>
          <w:b/>
          <w:color w:val="auto"/>
          <w:kern w:val="0"/>
          <w:szCs w:val="21"/>
        </w:rPr>
        <w:t>项目大气污染总量控制因子及其建议值</w:t>
      </w:r>
      <w:r>
        <w:rPr>
          <w:b/>
          <w:color w:val="auto"/>
          <w:szCs w:val="21"/>
        </w:rPr>
        <w:t>（</w:t>
      </w:r>
      <w:r>
        <w:rPr>
          <w:rFonts w:hint="eastAsia"/>
          <w:b/>
          <w:color w:val="auto"/>
          <w:szCs w:val="21"/>
        </w:rPr>
        <w:t>单位：t/a）</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1"/>
        <w:gridCol w:w="1809"/>
        <w:gridCol w:w="2116"/>
        <w:gridCol w:w="2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481" w:type="dxa"/>
            <w:shd w:val="clear" w:color="auto" w:fill="auto"/>
            <w:vAlign w:val="center"/>
          </w:tcPr>
          <w:p>
            <w:pPr>
              <w:widowControl/>
              <w:spacing w:line="300" w:lineRule="auto"/>
              <w:jc w:val="center"/>
              <w:rPr>
                <w:color w:val="auto"/>
                <w:kern w:val="0"/>
                <w:szCs w:val="21"/>
              </w:rPr>
            </w:pPr>
            <w:r>
              <w:rPr>
                <w:color w:val="auto"/>
                <w:kern w:val="0"/>
                <w:szCs w:val="21"/>
              </w:rPr>
              <w:t>污染物</w:t>
            </w:r>
          </w:p>
        </w:tc>
        <w:tc>
          <w:tcPr>
            <w:tcW w:w="1809" w:type="dxa"/>
            <w:shd w:val="clear" w:color="auto" w:fill="auto"/>
            <w:vAlign w:val="center"/>
          </w:tcPr>
          <w:p>
            <w:pPr>
              <w:widowControl/>
              <w:spacing w:line="300" w:lineRule="auto"/>
              <w:jc w:val="center"/>
              <w:rPr>
                <w:color w:val="auto"/>
                <w:kern w:val="0"/>
                <w:szCs w:val="21"/>
              </w:rPr>
            </w:pPr>
            <w:r>
              <w:rPr>
                <w:color w:val="auto"/>
                <w:kern w:val="0"/>
                <w:szCs w:val="21"/>
              </w:rPr>
              <w:t>SO</w:t>
            </w:r>
            <w:r>
              <w:rPr>
                <w:color w:val="auto"/>
                <w:kern w:val="0"/>
                <w:szCs w:val="21"/>
                <w:vertAlign w:val="subscript"/>
              </w:rPr>
              <w:t>2</w:t>
            </w:r>
          </w:p>
        </w:tc>
        <w:tc>
          <w:tcPr>
            <w:tcW w:w="2116" w:type="dxa"/>
            <w:shd w:val="clear" w:color="auto" w:fill="auto"/>
            <w:vAlign w:val="center"/>
          </w:tcPr>
          <w:p>
            <w:pPr>
              <w:widowControl/>
              <w:spacing w:line="300" w:lineRule="auto"/>
              <w:jc w:val="center"/>
              <w:rPr>
                <w:color w:val="auto"/>
                <w:kern w:val="0"/>
                <w:szCs w:val="21"/>
              </w:rPr>
            </w:pPr>
            <w:r>
              <w:rPr>
                <w:color w:val="auto"/>
                <w:kern w:val="0"/>
                <w:szCs w:val="21"/>
              </w:rPr>
              <w:t>NO</w:t>
            </w:r>
            <w:r>
              <w:rPr>
                <w:color w:val="auto"/>
                <w:kern w:val="0"/>
                <w:szCs w:val="21"/>
                <w:vertAlign w:val="subscript"/>
              </w:rPr>
              <w:t>X</w:t>
            </w:r>
          </w:p>
        </w:tc>
        <w:tc>
          <w:tcPr>
            <w:tcW w:w="2116" w:type="dxa"/>
          </w:tcPr>
          <w:p>
            <w:pPr>
              <w:widowControl/>
              <w:spacing w:line="300" w:lineRule="auto"/>
              <w:jc w:val="center"/>
              <w:rPr>
                <w:color w:val="auto"/>
                <w:kern w:val="0"/>
                <w:szCs w:val="21"/>
              </w:rPr>
            </w:pPr>
            <w:r>
              <w:rPr>
                <w:color w:val="auto"/>
                <w:kern w:val="0"/>
                <w:szCs w:val="21"/>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2481" w:type="dxa"/>
            <w:shd w:val="clear" w:color="auto" w:fill="auto"/>
            <w:vAlign w:val="center"/>
          </w:tcPr>
          <w:p>
            <w:pPr>
              <w:widowControl/>
              <w:spacing w:line="300" w:lineRule="auto"/>
              <w:jc w:val="center"/>
              <w:rPr>
                <w:color w:val="auto"/>
                <w:kern w:val="0"/>
                <w:szCs w:val="21"/>
              </w:rPr>
            </w:pPr>
            <w:r>
              <w:rPr>
                <w:color w:val="auto"/>
                <w:kern w:val="0"/>
                <w:szCs w:val="21"/>
              </w:rPr>
              <w:t>建议指标值</w:t>
            </w:r>
          </w:p>
        </w:tc>
        <w:tc>
          <w:tcPr>
            <w:tcW w:w="1809" w:type="dxa"/>
            <w:shd w:val="clear" w:color="auto" w:fill="auto"/>
            <w:vAlign w:val="center"/>
          </w:tcPr>
          <w:p>
            <w:pPr>
              <w:widowControl/>
              <w:spacing w:line="300" w:lineRule="auto"/>
              <w:jc w:val="center"/>
              <w:rPr>
                <w:color w:val="auto"/>
                <w:kern w:val="0"/>
                <w:szCs w:val="21"/>
              </w:rPr>
            </w:pPr>
            <w:r>
              <w:rPr>
                <w:color w:val="auto"/>
                <w:kern w:val="0"/>
                <w:szCs w:val="21"/>
                <w:lang w:bidi="ar"/>
              </w:rPr>
              <w:t>0.</w:t>
            </w:r>
            <w:r>
              <w:rPr>
                <w:rFonts w:hint="eastAsia"/>
                <w:color w:val="auto"/>
                <w:kern w:val="0"/>
                <w:szCs w:val="21"/>
                <w:lang w:val="en-US" w:eastAsia="zh-CN" w:bidi="ar"/>
              </w:rPr>
              <w:t>22</w:t>
            </w:r>
          </w:p>
        </w:tc>
        <w:tc>
          <w:tcPr>
            <w:tcW w:w="2116" w:type="dxa"/>
            <w:shd w:val="clear" w:color="auto" w:fill="auto"/>
            <w:vAlign w:val="center"/>
          </w:tcPr>
          <w:p>
            <w:pPr>
              <w:widowControl/>
              <w:spacing w:line="300" w:lineRule="auto"/>
              <w:jc w:val="center"/>
              <w:rPr>
                <w:rFonts w:hint="eastAsia" w:eastAsia="宋体"/>
                <w:color w:val="auto"/>
                <w:kern w:val="0"/>
                <w:szCs w:val="21"/>
                <w:lang w:eastAsia="zh-CN"/>
              </w:rPr>
            </w:pPr>
            <w:r>
              <w:rPr>
                <w:rFonts w:hint="eastAsia"/>
                <w:color w:val="auto"/>
                <w:kern w:val="0"/>
                <w:szCs w:val="21"/>
                <w:lang w:val="en-US" w:eastAsia="zh-CN"/>
              </w:rPr>
              <w:t>2.3743</w:t>
            </w:r>
          </w:p>
        </w:tc>
        <w:tc>
          <w:tcPr>
            <w:tcW w:w="2116" w:type="dxa"/>
          </w:tcPr>
          <w:p>
            <w:pPr>
              <w:widowControl/>
              <w:spacing w:line="300" w:lineRule="auto"/>
              <w:jc w:val="center"/>
              <w:rPr>
                <w:color w:val="auto"/>
                <w:szCs w:val="21"/>
              </w:rPr>
            </w:pPr>
            <w:r>
              <w:rPr>
                <w:rFonts w:hint="eastAsia"/>
                <w:color w:val="auto"/>
                <w:szCs w:val="21"/>
              </w:rPr>
              <w:t>0.2914</w:t>
            </w:r>
          </w:p>
        </w:tc>
      </w:tr>
    </w:tbl>
    <w:p>
      <w:pPr>
        <w:autoSpaceDE w:val="0"/>
        <w:autoSpaceDN w:val="0"/>
        <w:adjustRightInd w:val="0"/>
        <w:spacing w:line="360" w:lineRule="auto"/>
        <w:ind w:firstLine="480" w:firstLineChars="200"/>
        <w:jc w:val="left"/>
        <w:rPr>
          <w:bCs/>
          <w:color w:val="auto"/>
          <w:kern w:val="0"/>
          <w:sz w:val="24"/>
        </w:rPr>
      </w:pPr>
      <w:r>
        <w:rPr>
          <w:bCs/>
          <w:color w:val="auto"/>
          <w:kern w:val="0"/>
          <w:sz w:val="24"/>
        </w:rPr>
        <w:t>各污染物的排放量指标须向当地环保部门申请</w:t>
      </w:r>
      <w:r>
        <w:rPr>
          <w:rFonts w:hint="eastAsia"/>
          <w:bCs/>
          <w:color w:val="auto"/>
          <w:kern w:val="0"/>
          <w:sz w:val="24"/>
        </w:rPr>
        <w:t>。</w:t>
      </w:r>
    </w:p>
    <w:p>
      <w:pPr>
        <w:pStyle w:val="5"/>
        <w:numPr>
          <w:ilvl w:val="1"/>
          <w:numId w:val="0"/>
        </w:numPr>
        <w:tabs>
          <w:tab w:val="left" w:pos="360"/>
          <w:tab w:val="clear" w:pos="720"/>
        </w:tabs>
        <w:spacing w:before="159" w:after="159"/>
        <w:rPr>
          <w:color w:val="auto"/>
          <w:sz w:val="32"/>
          <w:szCs w:val="21"/>
        </w:rPr>
      </w:pPr>
      <w:bookmarkStart w:id="3358" w:name="_Toc24525"/>
      <w:bookmarkStart w:id="3359" w:name="_Toc692"/>
      <w:r>
        <w:rPr>
          <w:rFonts w:hint="eastAsia"/>
          <w:color w:val="auto"/>
          <w:sz w:val="32"/>
          <w:szCs w:val="21"/>
        </w:rPr>
        <w:t xml:space="preserve">12.5  </w:t>
      </w:r>
      <w:r>
        <w:rPr>
          <w:color w:val="auto"/>
          <w:sz w:val="32"/>
          <w:szCs w:val="21"/>
        </w:rPr>
        <w:t>环境管理与监测计划</w:t>
      </w:r>
      <w:bookmarkEnd w:id="3358"/>
      <w:bookmarkEnd w:id="3359"/>
    </w:p>
    <w:p>
      <w:pPr>
        <w:spacing w:line="360" w:lineRule="auto"/>
        <w:ind w:firstLine="480" w:firstLineChars="200"/>
        <w:rPr>
          <w:color w:val="auto"/>
        </w:rPr>
      </w:pPr>
      <w:r>
        <w:rPr>
          <w:color w:val="auto"/>
          <w:sz w:val="24"/>
        </w:rPr>
        <w:t>建设单位将采用合理有效的措施治理本项目产生的废水、废气和噪声以及固体废物，做到污染物达标排放。在施工阶段设有施工期环境监理和环境监测计划；在营运阶段建立完善的环境管理与自行监测制度，建立环境管理台账制度，加强对污染物排放的监督和管理，对项目设有的所有排污口进行规范化管理；建设单位将制定事故应急监测方案，在事故发生时委托有资质的环境监测部门进行监测。</w:t>
      </w:r>
    </w:p>
    <w:p>
      <w:pPr>
        <w:pStyle w:val="5"/>
        <w:numPr>
          <w:ilvl w:val="1"/>
          <w:numId w:val="0"/>
        </w:numPr>
        <w:tabs>
          <w:tab w:val="left" w:pos="360"/>
          <w:tab w:val="clear" w:pos="720"/>
        </w:tabs>
        <w:spacing w:before="159" w:after="159"/>
        <w:rPr>
          <w:color w:val="auto"/>
          <w:sz w:val="32"/>
          <w:szCs w:val="21"/>
        </w:rPr>
      </w:pPr>
      <w:bookmarkStart w:id="3360" w:name="_Toc2944"/>
      <w:bookmarkStart w:id="3361" w:name="_Toc21799"/>
      <w:r>
        <w:rPr>
          <w:rFonts w:hint="eastAsia"/>
          <w:color w:val="auto"/>
          <w:sz w:val="32"/>
          <w:szCs w:val="21"/>
        </w:rPr>
        <w:t xml:space="preserve">12.6  </w:t>
      </w:r>
      <w:r>
        <w:rPr>
          <w:color w:val="auto"/>
          <w:sz w:val="32"/>
          <w:szCs w:val="21"/>
        </w:rPr>
        <w:t>项目合法合理性分析</w:t>
      </w:r>
      <w:bookmarkEnd w:id="3353"/>
      <w:bookmarkEnd w:id="3354"/>
      <w:bookmarkEnd w:id="3355"/>
      <w:bookmarkEnd w:id="3356"/>
      <w:bookmarkEnd w:id="3357"/>
      <w:bookmarkEnd w:id="3360"/>
      <w:bookmarkEnd w:id="3361"/>
    </w:p>
    <w:p>
      <w:pPr>
        <w:spacing w:line="360" w:lineRule="auto"/>
        <w:ind w:firstLine="480" w:firstLineChars="200"/>
        <w:rPr>
          <w:color w:val="auto"/>
          <w:sz w:val="24"/>
        </w:rPr>
      </w:pPr>
      <w:bookmarkStart w:id="3362" w:name="_Toc514067790"/>
      <w:bookmarkStart w:id="3363" w:name="_Toc1729041"/>
      <w:bookmarkStart w:id="3364" w:name="_Toc527390713"/>
      <w:bookmarkStart w:id="3365" w:name="_Toc12959367"/>
      <w:r>
        <w:rPr>
          <w:color w:val="auto"/>
          <w:sz w:val="24"/>
        </w:rPr>
        <w:t>本项目的建设符合国家、广东省、清远市相关环境保护规划要求，符合国家钢铁工业调整升级规划相关要求，符合广东省、清远市等各级主体功能区划、土地利用规划的相关要求，符合所在区域的环境功能的相关要求。项目厂区布局较合理，分区明确，利于实现规模化生产，且易于污染物的收集和处理。</w:t>
      </w:r>
    </w:p>
    <w:p>
      <w:pPr>
        <w:pStyle w:val="5"/>
        <w:numPr>
          <w:ilvl w:val="1"/>
          <w:numId w:val="0"/>
        </w:numPr>
        <w:tabs>
          <w:tab w:val="left" w:pos="360"/>
          <w:tab w:val="clear" w:pos="720"/>
        </w:tabs>
        <w:spacing w:before="159" w:after="159"/>
        <w:rPr>
          <w:color w:val="auto"/>
          <w:sz w:val="32"/>
        </w:rPr>
      </w:pPr>
      <w:bookmarkStart w:id="3366" w:name="_Toc9047"/>
      <w:bookmarkStart w:id="3367" w:name="_Toc3280"/>
      <w:r>
        <w:rPr>
          <w:rFonts w:hint="eastAsia"/>
          <w:color w:val="auto"/>
          <w:sz w:val="32"/>
        </w:rPr>
        <w:t xml:space="preserve">12.7  </w:t>
      </w:r>
      <w:r>
        <w:rPr>
          <w:color w:val="auto"/>
          <w:sz w:val="32"/>
        </w:rPr>
        <w:t>公众参与</w:t>
      </w:r>
      <w:bookmarkEnd w:id="3362"/>
      <w:bookmarkEnd w:id="3363"/>
      <w:bookmarkEnd w:id="3364"/>
      <w:bookmarkEnd w:id="3365"/>
      <w:bookmarkEnd w:id="3366"/>
      <w:bookmarkEnd w:id="3367"/>
    </w:p>
    <w:p>
      <w:pPr>
        <w:pStyle w:val="6"/>
        <w:snapToGrid w:val="0"/>
        <w:spacing w:line="360" w:lineRule="auto"/>
        <w:ind w:firstLine="480"/>
        <w:rPr>
          <w:color w:val="auto"/>
          <w:sz w:val="24"/>
        </w:rPr>
      </w:pPr>
      <w:r>
        <w:rPr>
          <w:color w:val="auto"/>
          <w:sz w:val="24"/>
        </w:rPr>
        <w:t>项目建设单位分别于20</w:t>
      </w:r>
      <w:r>
        <w:rPr>
          <w:rFonts w:hint="eastAsia"/>
          <w:color w:val="auto"/>
          <w:sz w:val="24"/>
        </w:rPr>
        <w:t>20</w:t>
      </w:r>
      <w:r>
        <w:rPr>
          <w:color w:val="auto"/>
          <w:sz w:val="24"/>
        </w:rPr>
        <w:t>年</w:t>
      </w:r>
      <w:r>
        <w:rPr>
          <w:rFonts w:hint="eastAsia"/>
          <w:color w:val="auto"/>
          <w:sz w:val="24"/>
        </w:rPr>
        <w:t>5</w:t>
      </w:r>
      <w:r>
        <w:rPr>
          <w:color w:val="auto"/>
          <w:sz w:val="24"/>
        </w:rPr>
        <w:t>月</w:t>
      </w:r>
      <w:r>
        <w:rPr>
          <w:rFonts w:hint="eastAsia"/>
          <w:color w:val="auto"/>
          <w:sz w:val="24"/>
        </w:rPr>
        <w:t>6</w:t>
      </w:r>
      <w:r>
        <w:rPr>
          <w:color w:val="auto"/>
          <w:sz w:val="24"/>
        </w:rPr>
        <w:t>日~20</w:t>
      </w:r>
      <w:r>
        <w:rPr>
          <w:rFonts w:hint="eastAsia"/>
          <w:color w:val="auto"/>
          <w:sz w:val="24"/>
        </w:rPr>
        <w:t>20</w:t>
      </w:r>
      <w:r>
        <w:rPr>
          <w:color w:val="auto"/>
          <w:sz w:val="24"/>
        </w:rPr>
        <w:t>年</w:t>
      </w:r>
      <w:r>
        <w:rPr>
          <w:rFonts w:hint="eastAsia"/>
          <w:color w:val="auto"/>
          <w:sz w:val="24"/>
        </w:rPr>
        <w:t>5</w:t>
      </w:r>
      <w:r>
        <w:rPr>
          <w:color w:val="auto"/>
          <w:sz w:val="24"/>
        </w:rPr>
        <w:t>月</w:t>
      </w:r>
      <w:r>
        <w:rPr>
          <w:rFonts w:hint="eastAsia"/>
          <w:color w:val="auto"/>
          <w:sz w:val="24"/>
        </w:rPr>
        <w:t>15</w:t>
      </w:r>
      <w:r>
        <w:rPr>
          <w:color w:val="auto"/>
          <w:sz w:val="24"/>
        </w:rPr>
        <w:t>日在</w:t>
      </w:r>
      <w:r>
        <w:rPr>
          <w:rFonts w:hint="eastAsia"/>
          <w:color w:val="auto"/>
          <w:sz w:val="24"/>
        </w:rPr>
        <w:t>公司</w:t>
      </w:r>
      <w:r>
        <w:rPr>
          <w:color w:val="auto"/>
          <w:sz w:val="24"/>
        </w:rPr>
        <w:t>官网进行了首次信息公示、征求意见稿信息公示。建设单位于</w:t>
      </w:r>
      <w:r>
        <w:rPr>
          <w:rFonts w:hint="eastAsia"/>
          <w:color w:val="auto"/>
          <w:sz w:val="24"/>
        </w:rPr>
        <w:t>2020</w:t>
      </w:r>
      <w:r>
        <w:rPr>
          <w:color w:val="auto"/>
          <w:sz w:val="24"/>
        </w:rPr>
        <w:t>年</w:t>
      </w:r>
      <w:r>
        <w:rPr>
          <w:rFonts w:hint="eastAsia"/>
          <w:color w:val="auto"/>
          <w:sz w:val="24"/>
        </w:rPr>
        <w:t>5</w:t>
      </w:r>
      <w:r>
        <w:rPr>
          <w:color w:val="auto"/>
          <w:sz w:val="24"/>
        </w:rPr>
        <w:t>月</w:t>
      </w:r>
      <w:r>
        <w:rPr>
          <w:rFonts w:hint="eastAsia"/>
          <w:color w:val="auto"/>
          <w:sz w:val="24"/>
        </w:rPr>
        <w:t>15</w:t>
      </w:r>
      <w:r>
        <w:rPr>
          <w:color w:val="auto"/>
          <w:sz w:val="24"/>
        </w:rPr>
        <w:t>日</w:t>
      </w:r>
      <w:r>
        <w:rPr>
          <w:rFonts w:hint="eastAsia"/>
          <w:color w:val="auto"/>
          <w:sz w:val="24"/>
        </w:rPr>
        <w:t>—2020</w:t>
      </w:r>
      <w:r>
        <w:rPr>
          <w:color w:val="auto"/>
          <w:sz w:val="24"/>
        </w:rPr>
        <w:t>年</w:t>
      </w:r>
      <w:r>
        <w:rPr>
          <w:rFonts w:hint="eastAsia"/>
          <w:color w:val="auto"/>
          <w:sz w:val="24"/>
        </w:rPr>
        <w:t>6</w:t>
      </w:r>
      <w:r>
        <w:rPr>
          <w:color w:val="auto"/>
          <w:sz w:val="24"/>
        </w:rPr>
        <w:t>月</w:t>
      </w:r>
      <w:r>
        <w:rPr>
          <w:rFonts w:hint="eastAsia"/>
          <w:color w:val="auto"/>
          <w:sz w:val="24"/>
        </w:rPr>
        <w:t>10</w:t>
      </w:r>
      <w:r>
        <w:rPr>
          <w:color w:val="auto"/>
          <w:sz w:val="24"/>
        </w:rPr>
        <w:t>日在《清远日报》进行了2次刊登征求意见稿公示信息。</w:t>
      </w:r>
    </w:p>
    <w:p>
      <w:pPr>
        <w:pStyle w:val="6"/>
        <w:snapToGrid w:val="0"/>
        <w:spacing w:line="360" w:lineRule="auto"/>
        <w:ind w:firstLine="480"/>
        <w:rPr>
          <w:color w:val="auto"/>
          <w:sz w:val="24"/>
        </w:rPr>
      </w:pPr>
      <w:r>
        <w:rPr>
          <w:color w:val="auto"/>
          <w:sz w:val="24"/>
        </w:rPr>
        <w:t>建设单位在项目所在地</w:t>
      </w:r>
      <w:r>
        <w:rPr>
          <w:rFonts w:hint="eastAsia"/>
          <w:color w:val="auto"/>
          <w:sz w:val="24"/>
          <w:lang w:val="en-US" w:eastAsia="zh-CN"/>
        </w:rPr>
        <w:t>周边的敏感点</w:t>
      </w:r>
      <w:r>
        <w:rPr>
          <w:color w:val="auto"/>
          <w:sz w:val="24"/>
        </w:rPr>
        <w:t>沙步村、界牌村</w:t>
      </w:r>
      <w:r>
        <w:rPr>
          <w:rFonts w:hint="eastAsia"/>
          <w:color w:val="auto"/>
          <w:sz w:val="24"/>
          <w:lang w:val="en-US" w:eastAsia="zh-CN"/>
        </w:rPr>
        <w:t>及本项目工业园门口的公告栏</w:t>
      </w:r>
      <w:r>
        <w:rPr>
          <w:color w:val="auto"/>
          <w:sz w:val="24"/>
        </w:rPr>
        <w:t>对本项目环境影响评价工作进行了张贴公</w:t>
      </w:r>
      <w:r>
        <w:rPr>
          <w:rFonts w:hint="eastAsia"/>
          <w:color w:val="auto"/>
          <w:sz w:val="24"/>
          <w:lang w:val="en-US" w:eastAsia="zh-CN"/>
        </w:rPr>
        <w:t>示</w:t>
      </w:r>
      <w:r>
        <w:rPr>
          <w:color w:val="auto"/>
          <w:sz w:val="24"/>
        </w:rPr>
        <w:t>。</w:t>
      </w:r>
    </w:p>
    <w:p>
      <w:pPr>
        <w:pStyle w:val="6"/>
        <w:snapToGrid w:val="0"/>
        <w:spacing w:line="360" w:lineRule="auto"/>
        <w:ind w:firstLine="480"/>
        <w:rPr>
          <w:color w:val="auto"/>
          <w:sz w:val="24"/>
        </w:rPr>
      </w:pPr>
      <w:r>
        <w:rPr>
          <w:rFonts w:hint="eastAsia"/>
          <w:color w:val="auto"/>
          <w:sz w:val="24"/>
        </w:rPr>
        <w:t>本次环评过程中，各阶段的先后顺序、时间安排、公众参与方式均符合《环境影响评价公众参与办法》（生态环境部令第4号）、《关于进一步加强环境影响评价管理防范环境风险的通知》（环发〔2012〕77号）、《关于切实加强风险防范严格环境影响评价管理的通知》（环发〔2012〕98号）的要求，因此本次环评的公众参与是合法的。</w:t>
      </w:r>
    </w:p>
    <w:p>
      <w:pPr>
        <w:pStyle w:val="6"/>
        <w:snapToGrid w:val="0"/>
        <w:spacing w:line="360" w:lineRule="auto"/>
        <w:ind w:firstLine="480"/>
        <w:rPr>
          <w:color w:val="auto"/>
          <w:sz w:val="24"/>
        </w:rPr>
      </w:pPr>
      <w:r>
        <w:rPr>
          <w:color w:val="auto"/>
          <w:sz w:val="24"/>
        </w:rPr>
        <w:t>在以上公示期间，未收到公众关于本项目的反对意见。</w:t>
      </w:r>
    </w:p>
    <w:bookmarkEnd w:id="3346"/>
    <w:p>
      <w:pPr>
        <w:pStyle w:val="5"/>
        <w:numPr>
          <w:ilvl w:val="1"/>
          <w:numId w:val="0"/>
        </w:numPr>
        <w:tabs>
          <w:tab w:val="clear" w:pos="720"/>
        </w:tabs>
        <w:spacing w:before="159" w:after="159"/>
        <w:rPr>
          <w:color w:val="auto"/>
          <w:sz w:val="32"/>
          <w:szCs w:val="21"/>
        </w:rPr>
      </w:pPr>
      <w:bookmarkStart w:id="3368" w:name="_Toc1729042"/>
      <w:bookmarkStart w:id="3369" w:name="_Toc527390714"/>
      <w:bookmarkStart w:id="3370" w:name="_Toc21118"/>
      <w:bookmarkStart w:id="3371" w:name="_Toc12959368"/>
      <w:bookmarkStart w:id="3372" w:name="_Toc484690125"/>
      <w:bookmarkStart w:id="3373" w:name="_Toc499219486"/>
      <w:bookmarkStart w:id="3374" w:name="_Toc29559"/>
      <w:bookmarkStart w:id="3375" w:name="_Toc514067791"/>
      <w:r>
        <w:rPr>
          <w:rFonts w:hint="eastAsia"/>
          <w:color w:val="auto"/>
          <w:sz w:val="32"/>
          <w:szCs w:val="21"/>
        </w:rPr>
        <w:t xml:space="preserve">12.8  </w:t>
      </w:r>
      <w:r>
        <w:rPr>
          <w:color w:val="auto"/>
          <w:sz w:val="32"/>
          <w:szCs w:val="21"/>
        </w:rPr>
        <w:t>综合结论</w:t>
      </w:r>
      <w:bookmarkEnd w:id="3347"/>
      <w:bookmarkEnd w:id="3348"/>
      <w:bookmarkEnd w:id="3349"/>
      <w:bookmarkEnd w:id="3350"/>
      <w:bookmarkEnd w:id="3351"/>
      <w:bookmarkEnd w:id="3352"/>
      <w:bookmarkEnd w:id="3368"/>
      <w:bookmarkEnd w:id="3369"/>
      <w:bookmarkEnd w:id="3370"/>
      <w:bookmarkEnd w:id="3371"/>
      <w:bookmarkEnd w:id="3372"/>
      <w:bookmarkEnd w:id="3373"/>
      <w:bookmarkEnd w:id="3374"/>
      <w:bookmarkEnd w:id="3375"/>
    </w:p>
    <w:p>
      <w:pPr>
        <w:spacing w:line="360" w:lineRule="auto"/>
        <w:ind w:firstLine="480" w:firstLineChars="200"/>
        <w:rPr>
          <w:color w:val="auto"/>
          <w:sz w:val="24"/>
          <w:szCs w:val="20"/>
        </w:rPr>
      </w:pPr>
      <w:r>
        <w:rPr>
          <w:color w:val="auto"/>
          <w:sz w:val="24"/>
          <w:szCs w:val="20"/>
        </w:rPr>
        <w:t>本评价对建设项目拟建址及其周围地区进行了环境质量现状监测、调查与评价，对项目的排污负荷进行了估算，分析项目外排污染物对周围环境可能产生的影响，提出了相应的污染防治措施及对策。</w:t>
      </w:r>
    </w:p>
    <w:p>
      <w:pPr>
        <w:spacing w:line="360" w:lineRule="auto"/>
        <w:ind w:firstLine="480" w:firstLineChars="200"/>
        <w:rPr>
          <w:color w:val="auto"/>
          <w:sz w:val="24"/>
          <w:szCs w:val="20"/>
        </w:rPr>
      </w:pPr>
      <w:r>
        <w:rPr>
          <w:color w:val="auto"/>
          <w:sz w:val="24"/>
          <w:szCs w:val="20"/>
        </w:rPr>
        <w:t>项目拟采用的生产工艺具有较高的清洁生产水平，拟采取的污染防治措施、风险防范措施从技术、经济角度考察均可行。</w:t>
      </w:r>
    </w:p>
    <w:p>
      <w:pPr>
        <w:spacing w:line="360" w:lineRule="auto"/>
        <w:ind w:firstLine="480" w:firstLineChars="200"/>
        <w:rPr>
          <w:color w:val="auto"/>
          <w:sz w:val="24"/>
          <w:szCs w:val="20"/>
        </w:rPr>
      </w:pPr>
      <w:r>
        <w:rPr>
          <w:color w:val="auto"/>
          <w:sz w:val="24"/>
          <w:szCs w:val="20"/>
        </w:rPr>
        <w:t>在落实各项环境保护措施的前提下，本项目建设和运营对周围环境造成的影响处于可接受范围内；在落实环境风险防范措施、完备风险事故应急预案的前提下，本项目的环境风险处于可接受范围。</w:t>
      </w:r>
    </w:p>
    <w:p>
      <w:pPr>
        <w:spacing w:line="360" w:lineRule="auto"/>
        <w:ind w:firstLine="480" w:firstLineChars="200"/>
        <w:rPr>
          <w:color w:val="auto"/>
          <w:sz w:val="24"/>
          <w:szCs w:val="20"/>
        </w:rPr>
      </w:pPr>
      <w:r>
        <w:rPr>
          <w:color w:val="auto"/>
          <w:sz w:val="24"/>
          <w:szCs w:val="20"/>
        </w:rPr>
        <w:t>本项目的建设具有一定的必要性，可以解决清远市及周边地区企业所产生的工业危险废物的安全处理处置问题，有利于改善和提高区域整体环境质量；采用新技术，有利于提高无害化处理效果；有利于集约化经营，提高效率，促进危险废物资源化；有利于建设可持续发展的生态环境，改善清远市及其周边地区的投资环境。项目建设符合国家及广东省产业政策，选址具有合理合法性。</w:t>
      </w:r>
    </w:p>
    <w:p>
      <w:pPr>
        <w:spacing w:line="360" w:lineRule="auto"/>
        <w:ind w:firstLine="480" w:firstLineChars="200"/>
        <w:rPr>
          <w:color w:val="auto"/>
        </w:rPr>
      </w:pPr>
      <w:r>
        <w:rPr>
          <w:color w:val="auto"/>
          <w:sz w:val="24"/>
          <w:szCs w:val="20"/>
        </w:rPr>
        <w:t>在认真落实本次评价所提出的各项污染防治措施、风险防范措施，严格执行环境监理、跟踪监测计划的前提下，从环境保护角度考察，本项目的建设是可行的。</w:t>
      </w:r>
    </w:p>
    <w:sectPr>
      <w:pgSz w:w="11906" w:h="16838"/>
      <w:pgMar w:top="1417" w:right="1587" w:bottom="1417" w:left="1587" w:header="850" w:footer="992" w:gutter="0"/>
      <w:pgBorders>
        <w:top w:val="none" w:sz="0" w:space="0"/>
        <w:left w:val="none" w:sz="0" w:space="0"/>
        <w:bottom w:val="none" w:sz="0" w:space="0"/>
        <w:right w:val="none" w:sz="0" w:space="0"/>
      </w:pgBorders>
      <w:cols w:space="0" w:num="1"/>
      <w:docGrid w:type="lines" w:linePitch="31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MingLiU">
    <w:panose1 w:val="02020309000000000000"/>
    <w:charset w:val="88"/>
    <w:family w:val="modern"/>
    <w:pitch w:val="default"/>
    <w:sig w:usb0="00000003" w:usb1="082E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MicrosoftYaHei">
    <w:altName w:val="宋体"/>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TimesNewRomanPSMT">
    <w:altName w:val="华文中宋"/>
    <w:panose1 w:val="00000000000000000000"/>
    <w:charset w:val="86"/>
    <w:family w:val="auto"/>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7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XSiG4Q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V0ohuEAIAAAsEAAAOAAAAAAAAAAEAIAAA&#10;AB8BAABkcnMvZTJvRG9jLnhtbFBLBQYAAAAABgAGAFkBAAChBQAAAAA=&#10;">
              <v:fill on="f" focussize="0,0"/>
              <v:stroke on="f" weight="0.5pt"/>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1</w:t>
                    </w:r>
                    <w:r>
                      <w:rPr>
                        <w:rFonts w:hint="eastAsia"/>
                        <w:sz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41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NpDMRAgAACwQAAA4AAABkcnMvZTJvRG9jLnhtbK1TzY7TMBC+I/EO&#10;lu80aRGrUj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e42kMxECAAALBAAADgAAAAAAAAABACAA&#10;AAAfAQAAZHJzL2Uyb0RvYy54bWxQSwUGAAAAAAYABgBZAQAAogUAAAAA&#10;">
              <v:fill on="f" focussize="0,0"/>
              <v:stroke on="f" weight="0.5pt"/>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41</w:t>
                    </w:r>
                    <w:r>
                      <w:rPr>
                        <w:rFonts w:hint="eastAsia"/>
                        <w:sz w:val="1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96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bElq0P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AbElq0PAgAACwQAAA4AAAAAAAAAAQAgAAAA&#10;HwEAAGRycy9lMm9Eb2MueG1sUEsFBgAAAAAGAAYAWQEAAKAFAAAAAA==&#10;">
              <v:fill on="f" focussize="0,0"/>
              <v:stroke on="f" weight="0.5pt"/>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96</w:t>
                    </w:r>
                    <w:r>
                      <w:rPr>
                        <w:rFonts w:hint="eastAsia"/>
                        <w:sz w:val="1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206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ibuvAP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OibuvAPAgAACwQAAA4AAAAAAAAAAQAgAAAA&#10;HwEAAGRycy9lMm9Eb2MueG1sUEsFBgAAAAAGAAYAWQEAAKAFAAAAAA==&#10;">
              <v:fill on="f" focussize="0,0"/>
              <v:stroke on="f" weight="0.5pt"/>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206</w:t>
                    </w:r>
                    <w:r>
                      <w:rPr>
                        <w:rFonts w:hint="eastAsia"/>
                        <w:sz w:val="1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double" w:color="auto" w:sz="8" w:space="1"/>
      </w:pBdr>
      <w:rPr>
        <w:sz w:val="16"/>
      </w:rPr>
    </w:pPr>
    <w:r>
      <w:rPr>
        <w:rFonts w:hint="eastAsia"/>
        <w:sz w:val="16"/>
      </w:rPr>
      <w:t>清远市清城区信兴金属回收加工有限公司工业固体废弃物</w:t>
    </w:r>
    <w:r>
      <w:rPr>
        <w:rFonts w:hint="eastAsia"/>
        <w:sz w:val="16"/>
        <w:lang w:eastAsia="zh-CN"/>
      </w:rPr>
      <w:t>迁改</w:t>
    </w:r>
    <w:r>
      <w:rPr>
        <w:rFonts w:hint="eastAsia"/>
        <w:sz w:val="16"/>
      </w:rPr>
      <w:t>扩建综合利用项目环境影响报告书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65CA91"/>
    <w:multiLevelType w:val="singleLevel"/>
    <w:tmpl w:val="8B65CA91"/>
    <w:lvl w:ilvl="0" w:tentative="0">
      <w:start w:val="3"/>
      <w:numFmt w:val="decimal"/>
      <w:suff w:val="nothing"/>
      <w:lvlText w:val="（%1）"/>
      <w:lvlJc w:val="left"/>
    </w:lvl>
  </w:abstractNum>
  <w:abstractNum w:abstractNumId="1">
    <w:nsid w:val="8D56065F"/>
    <w:multiLevelType w:val="singleLevel"/>
    <w:tmpl w:val="8D56065F"/>
    <w:lvl w:ilvl="0" w:tentative="0">
      <w:start w:val="1"/>
      <w:numFmt w:val="decimal"/>
      <w:suff w:val="nothing"/>
      <w:lvlText w:val="（%1）"/>
      <w:lvlJc w:val="left"/>
    </w:lvl>
  </w:abstractNum>
  <w:abstractNum w:abstractNumId="2">
    <w:nsid w:val="BD57F5B0"/>
    <w:multiLevelType w:val="singleLevel"/>
    <w:tmpl w:val="BD57F5B0"/>
    <w:lvl w:ilvl="0" w:tentative="0">
      <w:start w:val="6"/>
      <w:numFmt w:val="decimal"/>
      <w:suff w:val="nothing"/>
      <w:lvlText w:val="（%1）"/>
      <w:lvlJc w:val="left"/>
    </w:lvl>
  </w:abstractNum>
  <w:abstractNum w:abstractNumId="3">
    <w:nsid w:val="00000015"/>
    <w:multiLevelType w:val="multilevel"/>
    <w:tmpl w:val="00000015"/>
    <w:lvl w:ilvl="0" w:tentative="0">
      <w:start w:val="1"/>
      <w:numFmt w:val="decimal"/>
      <w:lvlText w:val="（%1）"/>
      <w:lvlJc w:val="left"/>
      <w:pPr>
        <w:tabs>
          <w:tab w:val="left" w:pos="1204"/>
        </w:tabs>
        <w:ind w:left="31" w:firstLine="455"/>
      </w:pPr>
      <w:rPr>
        <w:rFonts w:hint="eastAsia"/>
      </w:rPr>
    </w:lvl>
    <w:lvl w:ilvl="1" w:tentative="0">
      <w:start w:val="1"/>
      <w:numFmt w:val="decimal"/>
      <w:lvlText w:val="（%2）"/>
      <w:lvlJc w:val="left"/>
      <w:pPr>
        <w:tabs>
          <w:tab w:val="left" w:pos="1140"/>
        </w:tabs>
        <w:ind w:left="1140" w:hanging="720"/>
      </w:pPr>
      <w:rPr>
        <w:rFonts w:hint="default"/>
      </w:rPr>
    </w:lvl>
    <w:lvl w:ilvl="2" w:tentative="0">
      <w:start w:val="2"/>
      <w:numFmt w:val="bullet"/>
      <w:lvlText w:val="●"/>
      <w:lvlJc w:val="left"/>
      <w:pPr>
        <w:tabs>
          <w:tab w:val="left" w:pos="1200"/>
        </w:tabs>
        <w:ind w:left="1200" w:hanging="360"/>
      </w:pPr>
      <w:rPr>
        <w:rFonts w:hint="eastAsia" w:ascii="宋体" w:hAnsi="宋体" w:eastAsia="宋体" w:cs="宋体"/>
      </w:rPr>
    </w:lvl>
    <w:lvl w:ilvl="3" w:tentative="0">
      <w:start w:val="1"/>
      <w:numFmt w:val="decimalEnclosedCircle"/>
      <w:lvlText w:val="%4"/>
      <w:lvlJc w:val="left"/>
      <w:pPr>
        <w:tabs>
          <w:tab w:val="left" w:pos="786"/>
        </w:tabs>
        <w:ind w:left="786" w:hanging="360"/>
      </w:pPr>
      <w:rPr>
        <w:rFonts w:hint="default" w:hAnsi="宋体"/>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17"/>
    <w:multiLevelType w:val="multilevel"/>
    <w:tmpl w:val="00000017"/>
    <w:lvl w:ilvl="0" w:tentative="0">
      <w:start w:val="1"/>
      <w:numFmt w:val="decimal"/>
      <w:lvlText w:val="（%1）"/>
      <w:lvlJc w:val="left"/>
      <w:pPr>
        <w:tabs>
          <w:tab w:val="left" w:pos="1204"/>
        </w:tabs>
        <w:ind w:left="31" w:firstLine="455"/>
      </w:pPr>
      <w:rPr>
        <w:rFonts w:hint="eastAsia"/>
      </w:rPr>
    </w:lvl>
    <w:lvl w:ilvl="1" w:tentative="0">
      <w:start w:val="1"/>
      <w:numFmt w:val="decimal"/>
      <w:lvlText w:val="（%2）"/>
      <w:lvlJc w:val="left"/>
      <w:pPr>
        <w:tabs>
          <w:tab w:val="left" w:pos="1140"/>
        </w:tabs>
        <w:ind w:left="1140" w:hanging="720"/>
      </w:pPr>
      <w:rPr>
        <w:rFonts w:hint="default"/>
      </w:rPr>
    </w:lvl>
    <w:lvl w:ilvl="2" w:tentative="0">
      <w:start w:val="2"/>
      <w:numFmt w:val="bullet"/>
      <w:lvlText w:val="●"/>
      <w:lvlJc w:val="left"/>
      <w:pPr>
        <w:tabs>
          <w:tab w:val="left" w:pos="1200"/>
        </w:tabs>
        <w:ind w:left="1200" w:hanging="360"/>
      </w:pPr>
      <w:rPr>
        <w:rFonts w:hint="eastAsia" w:ascii="宋体" w:hAnsi="宋体" w:eastAsia="宋体" w:cs="宋体"/>
      </w:rPr>
    </w:lvl>
    <w:lvl w:ilvl="3" w:tentative="0">
      <w:start w:val="1"/>
      <w:numFmt w:val="decimalEnclosedCircle"/>
      <w:lvlText w:val="%4"/>
      <w:lvlJc w:val="left"/>
      <w:pPr>
        <w:tabs>
          <w:tab w:val="left" w:pos="1620"/>
        </w:tabs>
        <w:ind w:left="1620" w:hanging="360"/>
      </w:pPr>
      <w:rPr>
        <w:rFonts w:hint="default" w:hAnsi="宋体"/>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FB68152"/>
    <w:multiLevelType w:val="singleLevel"/>
    <w:tmpl w:val="0FB68152"/>
    <w:lvl w:ilvl="0" w:tentative="0">
      <w:start w:val="1"/>
      <w:numFmt w:val="decimal"/>
      <w:lvlText w:val="%1."/>
      <w:lvlJc w:val="left"/>
      <w:pPr>
        <w:tabs>
          <w:tab w:val="left" w:pos="312"/>
        </w:tabs>
      </w:pPr>
    </w:lvl>
  </w:abstractNum>
  <w:abstractNum w:abstractNumId="6">
    <w:nsid w:val="49E3991B"/>
    <w:multiLevelType w:val="singleLevel"/>
    <w:tmpl w:val="49E3991B"/>
    <w:lvl w:ilvl="0" w:tentative="0">
      <w:start w:val="2"/>
      <w:numFmt w:val="decimal"/>
      <w:suff w:val="nothing"/>
      <w:lvlText w:val="%1、"/>
      <w:lvlJc w:val="left"/>
    </w:lvl>
  </w:abstractNum>
  <w:abstractNum w:abstractNumId="7">
    <w:nsid w:val="5D141AAB"/>
    <w:multiLevelType w:val="multilevel"/>
    <w:tmpl w:val="5D141AAB"/>
    <w:lvl w:ilvl="0" w:tentative="0">
      <w:start w:val="1"/>
      <w:numFmt w:val="decimal"/>
      <w:lvlText w:val="%1"/>
      <w:lvlJc w:val="left"/>
      <w:pPr>
        <w:tabs>
          <w:tab w:val="left" w:pos="3552"/>
        </w:tabs>
        <w:ind w:left="3552" w:hanging="432"/>
      </w:pPr>
      <w:rPr>
        <w:rFonts w:hint="eastAsia"/>
        <w:color w:val="auto"/>
      </w:rPr>
    </w:lvl>
    <w:lvl w:ilvl="1" w:tentative="0">
      <w:start w:val="1"/>
      <w:numFmt w:val="decimal"/>
      <w:isLgl/>
      <w:lvlText w:val="%1.%2."/>
      <w:lvlJc w:val="left"/>
      <w:pPr>
        <w:tabs>
          <w:tab w:val="left" w:pos="576"/>
        </w:tabs>
        <w:ind w:left="576" w:hanging="576"/>
      </w:pPr>
      <w:rPr>
        <w:rFonts w:hint="default" w:ascii="Times New Roman" w:hAnsi="Times New Roman" w:cs="Times New Roman"/>
      </w:rPr>
    </w:lvl>
    <w:lvl w:ilvl="2" w:tentative="0">
      <w:start w:val="1"/>
      <w:numFmt w:val="decimal"/>
      <w:pStyle w:val="45"/>
      <w:isLgl/>
      <w:lvlText w:val="%1.%2.%3."/>
      <w:lvlJc w:val="left"/>
      <w:pPr>
        <w:tabs>
          <w:tab w:val="left" w:pos="720"/>
        </w:tabs>
        <w:ind w:left="720" w:hanging="720"/>
      </w:pPr>
      <w:rPr>
        <w:rFonts w:hint="eastAsia"/>
        <w:sz w:val="24"/>
        <w:szCs w:val="24"/>
      </w:rPr>
    </w:lvl>
    <w:lvl w:ilvl="3" w:tentative="0">
      <w:start w:val="1"/>
      <w:numFmt w:val="decimal"/>
      <w:isLgl/>
      <w:lvlText w:val="%1.%2.%3.%4."/>
      <w:lvlJc w:val="left"/>
      <w:pPr>
        <w:tabs>
          <w:tab w:val="left" w:pos="1290"/>
        </w:tabs>
        <w:ind w:left="1290" w:hanging="864"/>
      </w:pPr>
      <w:rPr>
        <w:rFonts w:hint="eastAsia"/>
        <w:b w:val="0"/>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8">
    <w:nsid w:val="5ED903D5"/>
    <w:multiLevelType w:val="multilevel"/>
    <w:tmpl w:val="5ED903D5"/>
    <w:lvl w:ilvl="0" w:tentative="0">
      <w:start w:val="1"/>
      <w:numFmt w:val="decimal"/>
      <w:pStyle w:val="4"/>
      <w:lvlText w:val="第%1章"/>
      <w:lvlJc w:val="left"/>
      <w:pPr>
        <w:ind w:left="988" w:hanging="420"/>
      </w:pPr>
      <w:rPr>
        <w:rFonts w:hint="default" w:ascii="宋体" w:hAnsi="宋体" w:eastAsia="宋体" w:cs="宋体"/>
      </w:rPr>
    </w:lvl>
    <w:lvl w:ilvl="1" w:tentative="0">
      <w:start w:val="1"/>
      <w:numFmt w:val="decimal"/>
      <w:pStyle w:val="5"/>
      <w:lvlText w:val="%1.%2"/>
      <w:lvlJc w:val="left"/>
      <w:pPr>
        <w:tabs>
          <w:tab w:val="left" w:pos="720"/>
        </w:tabs>
        <w:ind w:left="0" w:firstLine="0"/>
      </w:pPr>
      <w:rPr>
        <w:rFonts w:hint="eastAsia"/>
      </w:rPr>
    </w:lvl>
    <w:lvl w:ilvl="2" w:tentative="0">
      <w:start w:val="1"/>
      <w:numFmt w:val="decimal"/>
      <w:pStyle w:val="7"/>
      <w:lvlText w:val="%1.%2.%3"/>
      <w:lvlJc w:val="left"/>
      <w:pPr>
        <w:tabs>
          <w:tab w:val="left" w:pos="720"/>
        </w:tabs>
        <w:ind w:left="0" w:firstLine="0"/>
      </w:pPr>
      <w:rPr>
        <w:rFonts w:hint="eastAsia"/>
      </w:rPr>
    </w:lvl>
    <w:lvl w:ilvl="3" w:tentative="0">
      <w:start w:val="1"/>
      <w:numFmt w:val="decimal"/>
      <w:pStyle w:val="8"/>
      <w:lvlText w:val="%1.%2.%3.%4"/>
      <w:lvlJc w:val="left"/>
      <w:pPr>
        <w:tabs>
          <w:tab w:val="left" w:pos="720"/>
        </w:tabs>
        <w:ind w:left="0" w:firstLine="0"/>
      </w:pPr>
      <w:rPr>
        <w:rFonts w:hint="eastAsia"/>
      </w:rPr>
    </w:lvl>
    <w:lvl w:ilvl="4" w:tentative="0">
      <w:start w:val="1"/>
      <w:numFmt w:val="decimal"/>
      <w:lvlText w:val="%1.%2.%3.%4.%5"/>
      <w:lvlJc w:val="left"/>
      <w:pPr>
        <w:tabs>
          <w:tab w:val="left" w:pos="3501"/>
        </w:tabs>
        <w:ind w:left="2551" w:hanging="850"/>
      </w:pPr>
      <w:rPr>
        <w:rFonts w:hint="default" w:ascii="宋体" w:hAnsi="宋体" w:eastAsia="宋体" w:cs="宋体"/>
      </w:rPr>
    </w:lvl>
    <w:lvl w:ilvl="5" w:tentative="0">
      <w:start w:val="1"/>
      <w:numFmt w:val="decimal"/>
      <w:lvlText w:val="%1.%2.%3.%4.%5.%6"/>
      <w:lvlJc w:val="left"/>
      <w:pPr>
        <w:tabs>
          <w:tab w:val="left" w:pos="4286"/>
        </w:tabs>
        <w:ind w:left="3260" w:hanging="1134"/>
      </w:pPr>
      <w:rPr>
        <w:rFonts w:hint="eastAsia"/>
      </w:rPr>
    </w:lvl>
    <w:lvl w:ilvl="6" w:tentative="0">
      <w:start w:val="1"/>
      <w:numFmt w:val="decimal"/>
      <w:lvlText w:val="%1.%2.%3.%4.%5.%6.%7"/>
      <w:lvlJc w:val="left"/>
      <w:pPr>
        <w:tabs>
          <w:tab w:val="left" w:pos="5071"/>
        </w:tabs>
        <w:ind w:left="3827" w:hanging="1276"/>
      </w:pPr>
      <w:rPr>
        <w:rFonts w:hint="eastAsia"/>
      </w:rPr>
    </w:lvl>
    <w:lvl w:ilvl="7" w:tentative="0">
      <w:start w:val="1"/>
      <w:numFmt w:val="decimal"/>
      <w:lvlText w:val="%1.%2.%3.%4.%5.%6.%7.%8"/>
      <w:lvlJc w:val="left"/>
      <w:pPr>
        <w:tabs>
          <w:tab w:val="left" w:pos="5496"/>
        </w:tabs>
        <w:ind w:left="4394" w:hanging="1418"/>
      </w:pPr>
      <w:rPr>
        <w:rFonts w:hint="eastAsia"/>
      </w:rPr>
    </w:lvl>
    <w:lvl w:ilvl="8" w:tentative="0">
      <w:start w:val="1"/>
      <w:numFmt w:val="decimal"/>
      <w:lvlText w:val="%1.%2.%3.%4.%5.%6.%7.%8.%9"/>
      <w:lvlJc w:val="left"/>
      <w:pPr>
        <w:tabs>
          <w:tab w:val="left" w:pos="6282"/>
        </w:tabs>
        <w:ind w:left="5102" w:hanging="1700"/>
      </w:pPr>
      <w:rPr>
        <w:rFonts w:hint="eastAsia"/>
      </w:rPr>
    </w:lvl>
  </w:abstractNum>
  <w:abstractNum w:abstractNumId="9">
    <w:nsid w:val="6BA019A3"/>
    <w:multiLevelType w:val="singleLevel"/>
    <w:tmpl w:val="6BA019A3"/>
    <w:lvl w:ilvl="0" w:tentative="0">
      <w:start w:val="1"/>
      <w:numFmt w:val="decimal"/>
      <w:lvlText w:val="(%1)"/>
      <w:lvlJc w:val="left"/>
      <w:pPr>
        <w:tabs>
          <w:tab w:val="left" w:pos="312"/>
        </w:tabs>
      </w:pPr>
    </w:lvl>
  </w:abstractNum>
  <w:abstractNum w:abstractNumId="10">
    <w:nsid w:val="77F365E6"/>
    <w:multiLevelType w:val="multilevel"/>
    <w:tmpl w:val="77F365E6"/>
    <w:lvl w:ilvl="0" w:tentative="0">
      <w:start w:val="1"/>
      <w:numFmt w:val="decimal"/>
      <w:lvlText w:val="（%1）"/>
      <w:lvlJc w:val="left"/>
      <w:pPr>
        <w:tabs>
          <w:tab w:val="left" w:pos="1204"/>
        </w:tabs>
        <w:ind w:left="31" w:firstLine="455"/>
      </w:pPr>
      <w:rPr>
        <w:rFonts w:hint="eastAsia"/>
      </w:rPr>
    </w:lvl>
    <w:lvl w:ilvl="1" w:tentative="0">
      <w:start w:val="1"/>
      <w:numFmt w:val="decimal"/>
      <w:lvlText w:val="（%2）"/>
      <w:lvlJc w:val="left"/>
      <w:pPr>
        <w:tabs>
          <w:tab w:val="left" w:pos="1140"/>
        </w:tabs>
        <w:ind w:left="1140" w:hanging="720"/>
      </w:pPr>
      <w:rPr>
        <w:rFonts w:hint="default"/>
      </w:rPr>
    </w:lvl>
    <w:lvl w:ilvl="2" w:tentative="0">
      <w:start w:val="2"/>
      <w:numFmt w:val="bullet"/>
      <w:lvlText w:val="●"/>
      <w:lvlJc w:val="left"/>
      <w:pPr>
        <w:tabs>
          <w:tab w:val="left" w:pos="1200"/>
        </w:tabs>
        <w:ind w:left="1200" w:hanging="360"/>
      </w:pPr>
      <w:rPr>
        <w:rFonts w:hint="eastAsia" w:ascii="宋体" w:hAnsi="宋体" w:eastAsia="宋体" w:cs="宋体"/>
      </w:rPr>
    </w:lvl>
    <w:lvl w:ilvl="3" w:tentative="0">
      <w:start w:val="1"/>
      <w:numFmt w:val="decimalEnclosedCircle"/>
      <w:lvlText w:val="%4"/>
      <w:lvlJc w:val="left"/>
      <w:pPr>
        <w:tabs>
          <w:tab w:val="left" w:pos="1620"/>
        </w:tabs>
        <w:ind w:left="1620" w:hanging="360"/>
      </w:pPr>
      <w:rPr>
        <w:rFonts w:hint="default" w:hAnsi="宋体"/>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8"/>
  </w:num>
  <w:num w:numId="2">
    <w:abstractNumId w:val="7"/>
  </w:num>
  <w:num w:numId="3">
    <w:abstractNumId w:val="0"/>
  </w:num>
  <w:num w:numId="4">
    <w:abstractNumId w:val="4"/>
  </w:num>
  <w:num w:numId="5">
    <w:abstractNumId w:val="10"/>
  </w:num>
  <w:num w:numId="6">
    <w:abstractNumId w:val="3"/>
  </w:num>
  <w:num w:numId="7">
    <w:abstractNumId w:val="1"/>
  </w:num>
  <w:num w:numId="8">
    <w:abstractNumId w:val="6"/>
  </w:num>
  <w:num w:numId="9">
    <w:abstractNumId w:val="2"/>
  </w:num>
  <w:num w:numId="10">
    <w:abstractNumId w:val="5"/>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0"/>
  <w:bordersDoNotSurroundFooter w:val="0"/>
  <w:documentProtection w:enforcement="0"/>
  <w:defaultTabStop w:val="420"/>
  <w:drawingGridHorizontalSpacing w:val="210"/>
  <w:drawingGridVerticalSpacing w:val="159"/>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172A27"/>
    <w:rsid w:val="00191B37"/>
    <w:rsid w:val="003307DD"/>
    <w:rsid w:val="0049272A"/>
    <w:rsid w:val="006A4189"/>
    <w:rsid w:val="00760F45"/>
    <w:rsid w:val="00765AAC"/>
    <w:rsid w:val="00936EF8"/>
    <w:rsid w:val="00942E9B"/>
    <w:rsid w:val="009C5D0C"/>
    <w:rsid w:val="00AC1C7E"/>
    <w:rsid w:val="00BD54FD"/>
    <w:rsid w:val="00E20259"/>
    <w:rsid w:val="00E24F78"/>
    <w:rsid w:val="0134532F"/>
    <w:rsid w:val="018F3651"/>
    <w:rsid w:val="02296DAC"/>
    <w:rsid w:val="023A20FE"/>
    <w:rsid w:val="029032FF"/>
    <w:rsid w:val="02CB388A"/>
    <w:rsid w:val="02FD6F50"/>
    <w:rsid w:val="02FF4AFE"/>
    <w:rsid w:val="030678DE"/>
    <w:rsid w:val="034E59C7"/>
    <w:rsid w:val="03630BAE"/>
    <w:rsid w:val="038F2DCF"/>
    <w:rsid w:val="047A4A27"/>
    <w:rsid w:val="04A6342A"/>
    <w:rsid w:val="050C634E"/>
    <w:rsid w:val="05751B8A"/>
    <w:rsid w:val="06524FA6"/>
    <w:rsid w:val="06765232"/>
    <w:rsid w:val="092F3D2F"/>
    <w:rsid w:val="09D35C84"/>
    <w:rsid w:val="0A2D35C5"/>
    <w:rsid w:val="0A385053"/>
    <w:rsid w:val="0AEE4DF4"/>
    <w:rsid w:val="0B0C36E6"/>
    <w:rsid w:val="0B253497"/>
    <w:rsid w:val="0B580600"/>
    <w:rsid w:val="0B6F3F25"/>
    <w:rsid w:val="0B737203"/>
    <w:rsid w:val="0BD61937"/>
    <w:rsid w:val="0C114C88"/>
    <w:rsid w:val="0C6F2DCA"/>
    <w:rsid w:val="0CB35453"/>
    <w:rsid w:val="0CBA6CCC"/>
    <w:rsid w:val="0D576678"/>
    <w:rsid w:val="0EA21645"/>
    <w:rsid w:val="0F1C0BAE"/>
    <w:rsid w:val="0F50176F"/>
    <w:rsid w:val="0F6513EA"/>
    <w:rsid w:val="0F9117B9"/>
    <w:rsid w:val="100F7FFF"/>
    <w:rsid w:val="116D2C69"/>
    <w:rsid w:val="11897FB5"/>
    <w:rsid w:val="121E35E9"/>
    <w:rsid w:val="123054EE"/>
    <w:rsid w:val="128A118A"/>
    <w:rsid w:val="13271445"/>
    <w:rsid w:val="14407E74"/>
    <w:rsid w:val="14D6661E"/>
    <w:rsid w:val="14ED2459"/>
    <w:rsid w:val="15626A18"/>
    <w:rsid w:val="16A013C6"/>
    <w:rsid w:val="192052DE"/>
    <w:rsid w:val="19397838"/>
    <w:rsid w:val="1A2734CC"/>
    <w:rsid w:val="1BD00650"/>
    <w:rsid w:val="1D2C4FB4"/>
    <w:rsid w:val="1DD2075D"/>
    <w:rsid w:val="1E1B2F8D"/>
    <w:rsid w:val="1F5B759D"/>
    <w:rsid w:val="1F9C7CE9"/>
    <w:rsid w:val="1FDA038A"/>
    <w:rsid w:val="207D543A"/>
    <w:rsid w:val="20E73D50"/>
    <w:rsid w:val="213765B5"/>
    <w:rsid w:val="21B35A1C"/>
    <w:rsid w:val="24947313"/>
    <w:rsid w:val="24EF542F"/>
    <w:rsid w:val="25AD1B1A"/>
    <w:rsid w:val="26CD3D28"/>
    <w:rsid w:val="27376425"/>
    <w:rsid w:val="27B052B7"/>
    <w:rsid w:val="28761BFC"/>
    <w:rsid w:val="28C93F02"/>
    <w:rsid w:val="28E6570D"/>
    <w:rsid w:val="29483572"/>
    <w:rsid w:val="2BC17FFC"/>
    <w:rsid w:val="2C7B64A6"/>
    <w:rsid w:val="2CB36190"/>
    <w:rsid w:val="2D593D25"/>
    <w:rsid w:val="2DBE20D8"/>
    <w:rsid w:val="2E4717FF"/>
    <w:rsid w:val="2E472703"/>
    <w:rsid w:val="2EAB447E"/>
    <w:rsid w:val="2F293EF7"/>
    <w:rsid w:val="2FBF50A5"/>
    <w:rsid w:val="2FEC639A"/>
    <w:rsid w:val="2FFA47F7"/>
    <w:rsid w:val="301D067F"/>
    <w:rsid w:val="30553BD9"/>
    <w:rsid w:val="30644DBC"/>
    <w:rsid w:val="32672B94"/>
    <w:rsid w:val="335F4D3A"/>
    <w:rsid w:val="34576F85"/>
    <w:rsid w:val="34FC4B3E"/>
    <w:rsid w:val="356F1030"/>
    <w:rsid w:val="35773F15"/>
    <w:rsid w:val="36117A65"/>
    <w:rsid w:val="36991ACE"/>
    <w:rsid w:val="36C04D66"/>
    <w:rsid w:val="37962308"/>
    <w:rsid w:val="387D291F"/>
    <w:rsid w:val="38FC7BE4"/>
    <w:rsid w:val="39315462"/>
    <w:rsid w:val="3BB42D14"/>
    <w:rsid w:val="3C046713"/>
    <w:rsid w:val="3CB53C01"/>
    <w:rsid w:val="3CBC57E2"/>
    <w:rsid w:val="3D3838DA"/>
    <w:rsid w:val="3FEC4F19"/>
    <w:rsid w:val="40080710"/>
    <w:rsid w:val="40CE7754"/>
    <w:rsid w:val="40FB0F7A"/>
    <w:rsid w:val="412E07C0"/>
    <w:rsid w:val="41344C68"/>
    <w:rsid w:val="415F1CEB"/>
    <w:rsid w:val="42035A41"/>
    <w:rsid w:val="42FC5C1B"/>
    <w:rsid w:val="42FD2933"/>
    <w:rsid w:val="43752E97"/>
    <w:rsid w:val="43857D51"/>
    <w:rsid w:val="43975D88"/>
    <w:rsid w:val="45426BE5"/>
    <w:rsid w:val="45D56380"/>
    <w:rsid w:val="469B0570"/>
    <w:rsid w:val="469B5C75"/>
    <w:rsid w:val="46EE004E"/>
    <w:rsid w:val="46F352C2"/>
    <w:rsid w:val="47927C8C"/>
    <w:rsid w:val="47DB2723"/>
    <w:rsid w:val="48A6148F"/>
    <w:rsid w:val="492F2969"/>
    <w:rsid w:val="496610A3"/>
    <w:rsid w:val="498A4801"/>
    <w:rsid w:val="49916070"/>
    <w:rsid w:val="49DB008C"/>
    <w:rsid w:val="4AA76DB7"/>
    <w:rsid w:val="4AB96734"/>
    <w:rsid w:val="4ABA35C6"/>
    <w:rsid w:val="4B392CE8"/>
    <w:rsid w:val="4CDE177E"/>
    <w:rsid w:val="4E59757D"/>
    <w:rsid w:val="4E6B16AC"/>
    <w:rsid w:val="4EC97674"/>
    <w:rsid w:val="4F2311BC"/>
    <w:rsid w:val="5073752C"/>
    <w:rsid w:val="51112CEF"/>
    <w:rsid w:val="5138661D"/>
    <w:rsid w:val="51642C42"/>
    <w:rsid w:val="51EB24CC"/>
    <w:rsid w:val="521315F1"/>
    <w:rsid w:val="537B1492"/>
    <w:rsid w:val="54522E75"/>
    <w:rsid w:val="5474676E"/>
    <w:rsid w:val="56507C41"/>
    <w:rsid w:val="56A72531"/>
    <w:rsid w:val="56E4302D"/>
    <w:rsid w:val="570A60B6"/>
    <w:rsid w:val="579C5D98"/>
    <w:rsid w:val="57F95034"/>
    <w:rsid w:val="59142109"/>
    <w:rsid w:val="59930196"/>
    <w:rsid w:val="59B66DFD"/>
    <w:rsid w:val="59D14385"/>
    <w:rsid w:val="5A505BB4"/>
    <w:rsid w:val="5B416075"/>
    <w:rsid w:val="5C4E2554"/>
    <w:rsid w:val="5C6F6D93"/>
    <w:rsid w:val="5D643677"/>
    <w:rsid w:val="5E407F17"/>
    <w:rsid w:val="5F2F420F"/>
    <w:rsid w:val="60122B3C"/>
    <w:rsid w:val="605A406C"/>
    <w:rsid w:val="611C7EF4"/>
    <w:rsid w:val="611D269E"/>
    <w:rsid w:val="61937BBA"/>
    <w:rsid w:val="61A36751"/>
    <w:rsid w:val="622C0E4D"/>
    <w:rsid w:val="63436E1C"/>
    <w:rsid w:val="640171C9"/>
    <w:rsid w:val="644846DB"/>
    <w:rsid w:val="64C72AC2"/>
    <w:rsid w:val="6577677A"/>
    <w:rsid w:val="664C4671"/>
    <w:rsid w:val="66D13A69"/>
    <w:rsid w:val="66E31ABA"/>
    <w:rsid w:val="66EC47FB"/>
    <w:rsid w:val="670D24F9"/>
    <w:rsid w:val="672F4424"/>
    <w:rsid w:val="689C2592"/>
    <w:rsid w:val="69A46548"/>
    <w:rsid w:val="6A1F5FA6"/>
    <w:rsid w:val="6A5B2BB5"/>
    <w:rsid w:val="6BA4009B"/>
    <w:rsid w:val="6BFF725E"/>
    <w:rsid w:val="6C1D3EAA"/>
    <w:rsid w:val="6DB17940"/>
    <w:rsid w:val="6DF417A6"/>
    <w:rsid w:val="6E261245"/>
    <w:rsid w:val="6F892628"/>
    <w:rsid w:val="700D58F3"/>
    <w:rsid w:val="70604434"/>
    <w:rsid w:val="706922F4"/>
    <w:rsid w:val="71C50FF1"/>
    <w:rsid w:val="72E428BF"/>
    <w:rsid w:val="73E55380"/>
    <w:rsid w:val="73EF4511"/>
    <w:rsid w:val="73FA3CEB"/>
    <w:rsid w:val="74B33BE8"/>
    <w:rsid w:val="751C30C5"/>
    <w:rsid w:val="75882C88"/>
    <w:rsid w:val="7A062BBE"/>
    <w:rsid w:val="7B72381F"/>
    <w:rsid w:val="7B7E4073"/>
    <w:rsid w:val="7C8165B6"/>
    <w:rsid w:val="7C843A02"/>
    <w:rsid w:val="7C9A78AC"/>
    <w:rsid w:val="7CC24190"/>
    <w:rsid w:val="7D427818"/>
    <w:rsid w:val="7D6228DA"/>
    <w:rsid w:val="7EC53F5C"/>
    <w:rsid w:val="7EC66FD9"/>
    <w:rsid w:val="7ED54D07"/>
    <w:rsid w:val="7EF35DBE"/>
    <w:rsid w:val="7F752573"/>
    <w:rsid w:val="7F893DD0"/>
    <w:rsid w:val="7FAF5ED0"/>
    <w:rsid w:val="7FDA05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numPr>
        <w:ilvl w:val="0"/>
        <w:numId w:val="1"/>
      </w:numPr>
      <w:adjustRightInd w:val="0"/>
      <w:spacing w:before="120" w:beforeLines="50" w:after="120" w:afterLines="50" w:line="360" w:lineRule="auto"/>
      <w:jc w:val="center"/>
      <w:textAlignment w:val="baseline"/>
      <w:outlineLvl w:val="0"/>
    </w:pPr>
    <w:rPr>
      <w:b/>
      <w:color w:val="FF0000"/>
      <w:kern w:val="44"/>
      <w:sz w:val="36"/>
      <w:szCs w:val="20"/>
    </w:rPr>
  </w:style>
  <w:style w:type="paragraph" w:styleId="5">
    <w:name w:val="heading 2"/>
    <w:basedOn w:val="1"/>
    <w:next w:val="6"/>
    <w:qFormat/>
    <w:uiPriority w:val="0"/>
    <w:pPr>
      <w:keepNext/>
      <w:keepLines/>
      <w:numPr>
        <w:ilvl w:val="1"/>
        <w:numId w:val="1"/>
      </w:numPr>
      <w:adjustRightInd w:val="0"/>
      <w:spacing w:before="120" w:beforeLines="50" w:after="120" w:afterLines="50" w:line="360" w:lineRule="auto"/>
      <w:jc w:val="left"/>
      <w:textAlignment w:val="baseline"/>
      <w:outlineLvl w:val="1"/>
    </w:pPr>
    <w:rPr>
      <w:b/>
      <w:color w:val="FF0000"/>
      <w:kern w:val="0"/>
      <w:sz w:val="30"/>
      <w:szCs w:val="20"/>
    </w:rPr>
  </w:style>
  <w:style w:type="paragraph" w:styleId="7">
    <w:name w:val="heading 3"/>
    <w:basedOn w:val="1"/>
    <w:next w:val="6"/>
    <w:qFormat/>
    <w:uiPriority w:val="0"/>
    <w:pPr>
      <w:keepNext/>
      <w:keepLines/>
      <w:numPr>
        <w:ilvl w:val="2"/>
        <w:numId w:val="1"/>
      </w:numPr>
      <w:adjustRightInd w:val="0"/>
      <w:spacing w:before="120" w:beforeLines="50" w:after="120" w:afterLines="50" w:line="360" w:lineRule="auto"/>
      <w:jc w:val="left"/>
      <w:textAlignment w:val="baseline"/>
      <w:outlineLvl w:val="2"/>
    </w:pPr>
    <w:rPr>
      <w:b/>
      <w:color w:val="000000"/>
      <w:kern w:val="0"/>
      <w:sz w:val="28"/>
    </w:rPr>
  </w:style>
  <w:style w:type="paragraph" w:styleId="8">
    <w:name w:val="heading 4"/>
    <w:basedOn w:val="1"/>
    <w:next w:val="1"/>
    <w:qFormat/>
    <w:uiPriority w:val="0"/>
    <w:pPr>
      <w:keepNext/>
      <w:keepLines/>
      <w:numPr>
        <w:ilvl w:val="3"/>
        <w:numId w:val="1"/>
      </w:numPr>
      <w:adjustRightInd w:val="0"/>
      <w:spacing w:line="360" w:lineRule="auto"/>
      <w:jc w:val="left"/>
      <w:textAlignment w:val="baseline"/>
      <w:outlineLvl w:val="3"/>
    </w:pPr>
    <w:rPr>
      <w:b/>
      <w:kern w:val="0"/>
      <w:sz w:val="24"/>
      <w:szCs w:val="20"/>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adjustRightInd/>
      <w:spacing w:after="120" w:line="240" w:lineRule="auto"/>
      <w:ind w:left="420" w:leftChars="200" w:firstLine="420" w:firstLineChars="200"/>
      <w:textAlignment w:val="auto"/>
    </w:pPr>
    <w:rPr>
      <w:sz w:val="20"/>
      <w:szCs w:val="24"/>
    </w:rPr>
  </w:style>
  <w:style w:type="paragraph" w:styleId="3">
    <w:name w:val="Body Text Indent"/>
    <w:basedOn w:val="1"/>
    <w:qFormat/>
    <w:uiPriority w:val="0"/>
    <w:pPr>
      <w:adjustRightInd w:val="0"/>
      <w:spacing w:line="360" w:lineRule="atLeast"/>
      <w:ind w:firstLine="480"/>
      <w:textAlignment w:val="baseline"/>
    </w:pPr>
    <w:rPr>
      <w:rFonts w:ascii="宋体"/>
      <w:kern w:val="0"/>
      <w:sz w:val="24"/>
      <w:szCs w:val="20"/>
    </w:rPr>
  </w:style>
  <w:style w:type="paragraph" w:styleId="6">
    <w:name w:val="Normal Indent"/>
    <w:basedOn w:val="1"/>
    <w:next w:val="1"/>
    <w:qFormat/>
    <w:uiPriority w:val="0"/>
    <w:rPr>
      <w:kern w:val="0"/>
      <w:sz w:val="28"/>
      <w:szCs w:val="20"/>
    </w:rPr>
  </w:style>
  <w:style w:type="paragraph" w:styleId="9">
    <w:name w:val="caption"/>
    <w:basedOn w:val="1"/>
    <w:next w:val="1"/>
    <w:qFormat/>
    <w:uiPriority w:val="0"/>
    <w:pPr>
      <w:keepNext/>
      <w:spacing w:before="152" w:after="160"/>
      <w:jc w:val="center"/>
    </w:pPr>
    <w:rPr>
      <w:rFonts w:ascii="仿宋_GB2312" w:hAnsi="宋体" w:eastAsia="仿宋_GB2312"/>
      <w:b/>
      <w:bCs/>
      <w:kern w:val="0"/>
      <w:sz w:val="20"/>
      <w:szCs w:val="21"/>
    </w:rPr>
  </w:style>
  <w:style w:type="paragraph" w:styleId="10">
    <w:name w:val="annotation text"/>
    <w:basedOn w:val="1"/>
    <w:link w:val="75"/>
    <w:qFormat/>
    <w:uiPriority w:val="0"/>
    <w:pPr>
      <w:jc w:val="left"/>
    </w:pPr>
  </w:style>
  <w:style w:type="paragraph" w:styleId="11">
    <w:name w:val="Body Text"/>
    <w:basedOn w:val="1"/>
    <w:qFormat/>
    <w:uiPriority w:val="0"/>
    <w:rPr>
      <w:rFonts w:ascii="宋体" w:hAnsi="宋体" w:cs="宋体"/>
      <w:szCs w:val="21"/>
      <w:lang w:val="zh-CN" w:bidi="zh-CN"/>
    </w:rPr>
  </w:style>
  <w:style w:type="paragraph" w:styleId="12">
    <w:name w:val="toc 3"/>
    <w:basedOn w:val="1"/>
    <w:next w:val="1"/>
    <w:qFormat/>
    <w:uiPriority w:val="0"/>
    <w:pPr>
      <w:ind w:left="840" w:leftChars="400"/>
    </w:pPr>
  </w:style>
  <w:style w:type="paragraph" w:styleId="13">
    <w:name w:val="Plain Text"/>
    <w:basedOn w:val="1"/>
    <w:qFormat/>
    <w:uiPriority w:val="0"/>
    <w:rPr>
      <w:rFonts w:ascii="宋体" w:hAnsi="Courier New"/>
      <w:kern w:val="0"/>
      <w:sz w:val="20"/>
      <w:szCs w:val="20"/>
    </w:rPr>
  </w:style>
  <w:style w:type="paragraph" w:styleId="14">
    <w:name w:val="Body Text Indent 2"/>
    <w:basedOn w:val="1"/>
    <w:qFormat/>
    <w:uiPriority w:val="0"/>
    <w:pPr>
      <w:snapToGrid w:val="0"/>
      <w:spacing w:line="420" w:lineRule="exact"/>
      <w:ind w:firstLine="480"/>
    </w:pPr>
    <w:rPr>
      <w:kern w:val="0"/>
      <w:sz w:val="24"/>
    </w:rPr>
  </w:style>
  <w:style w:type="paragraph" w:styleId="15">
    <w:name w:val="Balloon Text"/>
    <w:basedOn w:val="1"/>
    <w:link w:val="77"/>
    <w:qFormat/>
    <w:uiPriority w:val="0"/>
    <w:rPr>
      <w:sz w:val="18"/>
      <w:szCs w:val="18"/>
    </w:rPr>
  </w:style>
  <w:style w:type="paragraph" w:styleId="16">
    <w:name w:val="footer"/>
    <w:basedOn w:val="1"/>
    <w:qFormat/>
    <w:uiPriority w:val="99"/>
    <w:pPr>
      <w:tabs>
        <w:tab w:val="center" w:pos="4153"/>
        <w:tab w:val="right" w:pos="8306"/>
      </w:tabs>
      <w:snapToGrid w:val="0"/>
      <w:jc w:val="left"/>
    </w:pPr>
    <w:rPr>
      <w:sz w:val="18"/>
      <w:szCs w:val="20"/>
    </w:rPr>
  </w:style>
  <w:style w:type="paragraph" w:styleId="17">
    <w:name w:val="header"/>
    <w:basedOn w:val="1"/>
    <w:qFormat/>
    <w:uiPriority w:val="0"/>
    <w:pPr>
      <w:pBdr>
        <w:bottom w:val="single" w:color="auto" w:sz="6" w:space="1"/>
      </w:pBdr>
      <w:tabs>
        <w:tab w:val="center" w:pos="4153"/>
        <w:tab w:val="right" w:pos="8306"/>
      </w:tabs>
      <w:snapToGrid w:val="0"/>
      <w:jc w:val="center"/>
    </w:pPr>
    <w:rPr>
      <w:kern w:val="0"/>
      <w:sz w:val="18"/>
      <w:szCs w:val="18"/>
    </w:rPr>
  </w:style>
  <w:style w:type="paragraph" w:styleId="18">
    <w:name w:val="toc 1"/>
    <w:basedOn w:val="1"/>
    <w:next w:val="1"/>
    <w:qFormat/>
    <w:uiPriority w:val="0"/>
  </w:style>
  <w:style w:type="paragraph" w:styleId="19">
    <w:name w:val="toc 2"/>
    <w:basedOn w:val="1"/>
    <w:next w:val="1"/>
    <w:qFormat/>
    <w:uiPriority w:val="0"/>
    <w:pPr>
      <w:ind w:left="420" w:leftChars="200"/>
    </w:pPr>
  </w:style>
  <w:style w:type="paragraph" w:styleId="20">
    <w:name w:val="Normal (Web)"/>
    <w:basedOn w:val="1"/>
    <w:unhideWhenUsed/>
    <w:qFormat/>
    <w:uiPriority w:val="99"/>
    <w:pPr>
      <w:widowControl/>
      <w:spacing w:before="100" w:beforeAutospacing="1" w:after="100" w:afterAutospacing="1"/>
      <w:jc w:val="left"/>
    </w:pPr>
    <w:rPr>
      <w:rFonts w:ascii="宋体" w:hAnsi="宋体"/>
      <w:kern w:val="0"/>
      <w:sz w:val="24"/>
    </w:rPr>
  </w:style>
  <w:style w:type="paragraph" w:styleId="21">
    <w:name w:val="Title"/>
    <w:basedOn w:val="1"/>
    <w:next w:val="1"/>
    <w:qFormat/>
    <w:uiPriority w:val="0"/>
    <w:pPr>
      <w:spacing w:before="240" w:after="60"/>
      <w:jc w:val="center"/>
      <w:outlineLvl w:val="0"/>
    </w:pPr>
    <w:rPr>
      <w:rFonts w:ascii="Cambria" w:hAnsi="Cambria"/>
      <w:b/>
      <w:bCs/>
      <w:sz w:val="32"/>
      <w:szCs w:val="32"/>
    </w:rPr>
  </w:style>
  <w:style w:type="paragraph" w:styleId="22">
    <w:name w:val="annotation subject"/>
    <w:basedOn w:val="10"/>
    <w:next w:val="10"/>
    <w:link w:val="76"/>
    <w:qFormat/>
    <w:uiPriority w:val="0"/>
    <w:rPr>
      <w:b/>
      <w:bCs/>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qFormat/>
    <w:uiPriority w:val="0"/>
    <w:rPr>
      <w:rFonts w:ascii="Times New Roman" w:hAnsi="Times New Roman" w:eastAsia="宋体" w:cs="Times New Roman"/>
    </w:rPr>
  </w:style>
  <w:style w:type="character" w:styleId="27">
    <w:name w:val="Hyperlink"/>
    <w:basedOn w:val="25"/>
    <w:qFormat/>
    <w:uiPriority w:val="0"/>
    <w:rPr>
      <w:color w:val="0000FF"/>
      <w:u w:val="single"/>
    </w:rPr>
  </w:style>
  <w:style w:type="character" w:styleId="28">
    <w:name w:val="annotation reference"/>
    <w:qFormat/>
    <w:uiPriority w:val="0"/>
    <w:rPr>
      <w:sz w:val="21"/>
      <w:szCs w:val="21"/>
    </w:rPr>
  </w:style>
  <w:style w:type="paragraph" w:customStyle="1" w:styleId="29">
    <w:name w:val="_Style 2"/>
    <w:basedOn w:val="1"/>
    <w:qFormat/>
    <w:uiPriority w:val="34"/>
    <w:pPr>
      <w:ind w:firstLine="420" w:firstLineChars="200"/>
    </w:pPr>
    <w:rPr>
      <w:rFonts w:ascii="Calibri" w:hAnsi="Calibri"/>
      <w:szCs w:val="22"/>
    </w:rPr>
  </w:style>
  <w:style w:type="paragraph" w:customStyle="1" w:styleId="30">
    <w:name w:val="列表段落1"/>
    <w:basedOn w:val="1"/>
    <w:qFormat/>
    <w:uiPriority w:val="34"/>
    <w:pPr>
      <w:spacing w:line="360" w:lineRule="auto"/>
      <w:ind w:firstLine="420" w:firstLineChars="200"/>
    </w:pPr>
  </w:style>
  <w:style w:type="paragraph" w:customStyle="1" w:styleId="31">
    <w:name w:val="表格 32"/>
    <w:basedOn w:val="1"/>
    <w:qFormat/>
    <w:uiPriority w:val="0"/>
    <w:pPr>
      <w:autoSpaceDE w:val="0"/>
      <w:autoSpaceDN w:val="0"/>
      <w:adjustRightInd w:val="0"/>
      <w:spacing w:line="0" w:lineRule="atLeast"/>
      <w:ind w:firstLine="200" w:firstLineChars="200"/>
      <w:jc w:val="center"/>
      <w:textAlignment w:val="baseline"/>
    </w:pPr>
    <w:rPr>
      <w:kern w:val="0"/>
      <w:sz w:val="24"/>
      <w:szCs w:val="20"/>
    </w:rPr>
  </w:style>
  <w:style w:type="paragraph" w:customStyle="1" w:styleId="3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3">
    <w:name w:val="表格内容"/>
    <w:qFormat/>
    <w:uiPriority w:val="0"/>
    <w:pPr>
      <w:spacing w:line="360" w:lineRule="auto"/>
      <w:jc w:val="center"/>
    </w:pPr>
    <w:rPr>
      <w:rFonts w:ascii="宋体" w:hAnsi="Times New Roman" w:eastAsia="宋体" w:cs="Times New Roman"/>
      <w:sz w:val="21"/>
      <w:lang w:val="en-US" w:eastAsia="zh-CN" w:bidi="ar-SA"/>
    </w:rPr>
  </w:style>
  <w:style w:type="paragraph" w:customStyle="1" w:styleId="34">
    <w:name w:val="表格标题"/>
    <w:basedOn w:val="1"/>
    <w:qFormat/>
    <w:uiPriority w:val="0"/>
    <w:pPr>
      <w:spacing w:before="60" w:line="460" w:lineRule="exact"/>
      <w:jc w:val="center"/>
    </w:pPr>
    <w:rPr>
      <w:rFonts w:ascii="Arial" w:hAnsi="Arial"/>
      <w:kern w:val="0"/>
      <w:sz w:val="24"/>
      <w:szCs w:val="20"/>
    </w:rPr>
  </w:style>
  <w:style w:type="paragraph" w:customStyle="1" w:styleId="35">
    <w:name w:val="表头"/>
    <w:next w:val="1"/>
    <w:qFormat/>
    <w:uiPriority w:val="0"/>
    <w:pPr>
      <w:spacing w:before="120" w:after="120"/>
      <w:jc w:val="center"/>
    </w:pPr>
    <w:rPr>
      <w:rFonts w:ascii="Times New Roman" w:hAnsi="Times New Roman" w:eastAsia="仿宋_GB2312" w:cs="Times New Roman"/>
      <w:b/>
      <w:sz w:val="24"/>
      <w:lang w:val="en-US" w:eastAsia="zh-CN" w:bidi="ar-SA"/>
    </w:rPr>
  </w:style>
  <w:style w:type="paragraph" w:customStyle="1" w:styleId="36">
    <w:name w:val="文本正式"/>
    <w:basedOn w:val="1"/>
    <w:qFormat/>
    <w:uiPriority w:val="0"/>
    <w:pPr>
      <w:spacing w:line="360" w:lineRule="auto"/>
      <w:ind w:firstLine="480" w:firstLineChars="200"/>
    </w:pPr>
    <w:rPr>
      <w:sz w:val="24"/>
      <w:szCs w:val="20"/>
    </w:rPr>
  </w:style>
  <w:style w:type="paragraph" w:customStyle="1" w:styleId="37">
    <w:name w:val="报告正文"/>
    <w:next w:val="1"/>
    <w:qFormat/>
    <w:uiPriority w:val="0"/>
    <w:pPr>
      <w:snapToGrid w:val="0"/>
      <w:spacing w:line="360" w:lineRule="auto"/>
      <w:ind w:firstLine="200" w:firstLineChars="200"/>
    </w:pPr>
    <w:rPr>
      <w:rFonts w:ascii="Times New Roman" w:hAnsi="Times New Roman" w:eastAsia="宋体" w:cs="Times New Roman"/>
      <w:kern w:val="2"/>
      <w:sz w:val="24"/>
      <w:szCs w:val="22"/>
      <w:lang w:val="en-US" w:eastAsia="zh-CN" w:bidi="ar-SA"/>
    </w:rPr>
  </w:style>
  <w:style w:type="character" w:customStyle="1" w:styleId="38">
    <w:name w:val="font01"/>
    <w:basedOn w:val="25"/>
    <w:qFormat/>
    <w:uiPriority w:val="0"/>
    <w:rPr>
      <w:rFonts w:hint="eastAsia" w:ascii="宋体" w:hAnsi="宋体" w:eastAsia="宋体" w:cs="宋体"/>
      <w:color w:val="000000"/>
      <w:sz w:val="22"/>
      <w:szCs w:val="22"/>
      <w:u w:val="none"/>
    </w:rPr>
  </w:style>
  <w:style w:type="character" w:customStyle="1" w:styleId="39">
    <w:name w:val="font41"/>
    <w:basedOn w:val="25"/>
    <w:qFormat/>
    <w:uiPriority w:val="0"/>
    <w:rPr>
      <w:rFonts w:hint="eastAsia" w:ascii="宋体" w:hAnsi="宋体" w:eastAsia="宋体" w:cs="宋体"/>
      <w:color w:val="000000"/>
      <w:sz w:val="21"/>
      <w:szCs w:val="21"/>
      <w:u w:val="none"/>
    </w:rPr>
  </w:style>
  <w:style w:type="paragraph" w:customStyle="1" w:styleId="40">
    <w:name w:val="图表名称"/>
    <w:next w:val="1"/>
    <w:qFormat/>
    <w:uiPriority w:val="0"/>
    <w:pPr>
      <w:spacing w:line="360" w:lineRule="auto"/>
      <w:jc w:val="center"/>
    </w:pPr>
    <w:rPr>
      <w:rFonts w:ascii="Times New Roman" w:hAnsi="Times New Roman" w:eastAsia="宋体" w:cs="Times New Roman"/>
      <w:b/>
      <w:bCs/>
      <w:kern w:val="2"/>
      <w:sz w:val="21"/>
      <w:szCs w:val="28"/>
      <w:lang w:val="en-US" w:eastAsia="zh-CN" w:bidi="ar-SA"/>
    </w:rPr>
  </w:style>
  <w:style w:type="character" w:customStyle="1" w:styleId="41">
    <w:name w:val="articlebody3"/>
    <w:qFormat/>
    <w:uiPriority w:val="0"/>
    <w:rPr>
      <w:rFonts w:ascii="Times New Roman" w:hAnsi="Times New Roman" w:eastAsia="宋体" w:cs="Times New Roman"/>
      <w:sz w:val="21"/>
      <w:szCs w:val="21"/>
    </w:rPr>
  </w:style>
  <w:style w:type="paragraph" w:customStyle="1" w:styleId="42">
    <w:name w:val="样式 表格 32 + 首行缩进:  2 字符"/>
    <w:basedOn w:val="31"/>
    <w:qFormat/>
    <w:uiPriority w:val="0"/>
    <w:rPr>
      <w:sz w:val="21"/>
      <w:szCs w:val="21"/>
    </w:rPr>
  </w:style>
  <w:style w:type="paragraph" w:customStyle="1" w:styleId="43">
    <w:name w:val="纯文本1"/>
    <w:basedOn w:val="1"/>
    <w:qFormat/>
    <w:uiPriority w:val="0"/>
    <w:rPr>
      <w:rFonts w:ascii="宋体" w:hAnsi="Courier New" w:cs="Courier New"/>
      <w:szCs w:val="21"/>
    </w:rPr>
  </w:style>
  <w:style w:type="paragraph" w:customStyle="1" w:styleId="44">
    <w:name w:val="样式 第3级标题 + (中文) 宋体"/>
    <w:basedOn w:val="45"/>
    <w:qFormat/>
    <w:uiPriority w:val="0"/>
    <w:pPr>
      <w:tabs>
        <w:tab w:val="left" w:pos="420"/>
        <w:tab w:val="left" w:pos="720"/>
        <w:tab w:val="left" w:pos="3552"/>
      </w:tabs>
      <w:spacing w:beforeAutospacing="0" w:afterAutospacing="0"/>
    </w:pPr>
    <w:rPr>
      <w:rFonts w:eastAsia="宋体"/>
    </w:rPr>
  </w:style>
  <w:style w:type="paragraph" w:customStyle="1" w:styleId="45">
    <w:name w:val="第3级标题"/>
    <w:basedOn w:val="7"/>
    <w:next w:val="46"/>
    <w:qFormat/>
    <w:uiPriority w:val="0"/>
    <w:pPr>
      <w:numPr>
        <w:numId w:val="2"/>
      </w:numPr>
      <w:tabs>
        <w:tab w:val="left" w:pos="3552"/>
      </w:tabs>
      <w:spacing w:before="100" w:beforeAutospacing="1" w:after="100" w:afterAutospacing="1" w:line="440" w:lineRule="exact"/>
    </w:pPr>
    <w:rPr>
      <w:rFonts w:eastAsia="华文中宋"/>
      <w:sz w:val="30"/>
      <w:szCs w:val="30"/>
    </w:rPr>
  </w:style>
  <w:style w:type="paragraph" w:customStyle="1" w:styleId="46">
    <w:name w:val="[正文格式]"/>
    <w:basedOn w:val="1"/>
    <w:qFormat/>
    <w:uiPriority w:val="0"/>
    <w:pPr>
      <w:spacing w:line="440" w:lineRule="exact"/>
      <w:ind w:firstLine="500" w:firstLineChars="200"/>
    </w:pPr>
    <w:rPr>
      <w:rFonts w:cs="宋体"/>
      <w:sz w:val="24"/>
      <w:szCs w:val="20"/>
    </w:rPr>
  </w:style>
  <w:style w:type="paragraph" w:customStyle="1" w:styleId="47">
    <w:name w:val="表格、图表名称"/>
    <w:basedOn w:val="1"/>
    <w:qFormat/>
    <w:uiPriority w:val="0"/>
    <w:pPr>
      <w:spacing w:line="360" w:lineRule="auto"/>
      <w:jc w:val="center"/>
    </w:pPr>
    <w:rPr>
      <w:b/>
      <w:kern w:val="0"/>
      <w:szCs w:val="22"/>
    </w:rPr>
  </w:style>
  <w:style w:type="paragraph" w:customStyle="1" w:styleId="48">
    <w:name w:val="文本框样式"/>
    <w:basedOn w:val="1"/>
    <w:qFormat/>
    <w:uiPriority w:val="0"/>
    <w:pPr>
      <w:jc w:val="center"/>
    </w:pPr>
  </w:style>
  <w:style w:type="character" w:customStyle="1" w:styleId="49">
    <w:name w:val="font11"/>
    <w:basedOn w:val="25"/>
    <w:qFormat/>
    <w:uiPriority w:val="0"/>
    <w:rPr>
      <w:rFonts w:hint="eastAsia" w:ascii="宋体" w:hAnsi="宋体" w:eastAsia="宋体" w:cs="宋体"/>
      <w:color w:val="000000"/>
      <w:sz w:val="21"/>
      <w:szCs w:val="21"/>
      <w:u w:val="none"/>
    </w:rPr>
  </w:style>
  <w:style w:type="paragraph" w:customStyle="1" w:styleId="50">
    <w:name w:val="p0"/>
    <w:basedOn w:val="1"/>
    <w:qFormat/>
    <w:uiPriority w:val="0"/>
    <w:pPr>
      <w:widowControl/>
    </w:pPr>
    <w:rPr>
      <w:rFonts w:ascii="Calibri" w:hAnsi="Calibri" w:cs="宋体"/>
      <w:kern w:val="0"/>
      <w:szCs w:val="21"/>
    </w:rPr>
  </w:style>
  <w:style w:type="paragraph" w:customStyle="1" w:styleId="51">
    <w:name w:val="三级标题"/>
    <w:basedOn w:val="7"/>
    <w:next w:val="1"/>
    <w:qFormat/>
    <w:uiPriority w:val="0"/>
    <w:pPr>
      <w:spacing w:before="50" w:after="50"/>
    </w:pPr>
    <w:rPr>
      <w:sz w:val="24"/>
      <w:szCs w:val="20"/>
    </w:rPr>
  </w:style>
  <w:style w:type="paragraph" w:customStyle="1" w:styleId="52">
    <w:name w:val="缩进"/>
    <w:basedOn w:val="1"/>
    <w:qFormat/>
    <w:uiPriority w:val="0"/>
    <w:pPr>
      <w:autoSpaceDE w:val="0"/>
      <w:autoSpaceDN w:val="0"/>
      <w:adjustRightInd w:val="0"/>
      <w:spacing w:line="400" w:lineRule="atLeast"/>
      <w:ind w:firstLine="425"/>
      <w:textAlignment w:val="baseline"/>
    </w:pPr>
    <w:rPr>
      <w:kern w:val="0"/>
      <w:sz w:val="24"/>
      <w:szCs w:val="20"/>
    </w:rPr>
  </w:style>
  <w:style w:type="paragraph" w:customStyle="1" w:styleId="53">
    <w:name w:val="_Style 8"/>
    <w:basedOn w:val="1"/>
    <w:qFormat/>
    <w:uiPriority w:val="34"/>
    <w:pPr>
      <w:spacing w:line="360" w:lineRule="auto"/>
      <w:ind w:firstLine="420" w:firstLineChars="200"/>
    </w:pPr>
  </w:style>
  <w:style w:type="paragraph" w:customStyle="1" w:styleId="54">
    <w:name w:val="表格"/>
    <w:basedOn w:val="6"/>
    <w:next w:val="1"/>
    <w:qFormat/>
    <w:uiPriority w:val="0"/>
    <w:pPr>
      <w:widowControl/>
      <w:suppressAutoHyphens/>
      <w:spacing w:line="300" w:lineRule="atLeast"/>
      <w:jc w:val="center"/>
    </w:pPr>
  </w:style>
  <w:style w:type="paragraph" w:customStyle="1" w:styleId="55">
    <w:name w:val="Huo 小四缩进2"/>
    <w:basedOn w:val="1"/>
    <w:qFormat/>
    <w:uiPriority w:val="0"/>
    <w:pPr>
      <w:adjustRightInd w:val="0"/>
      <w:snapToGrid w:val="0"/>
      <w:spacing w:line="360" w:lineRule="auto"/>
      <w:ind w:firstLine="480" w:firstLineChars="200"/>
    </w:pPr>
    <w:rPr>
      <w:sz w:val="24"/>
    </w:rPr>
  </w:style>
  <w:style w:type="paragraph" w:customStyle="1" w:styleId="56">
    <w:name w:val="Lux 正文"/>
    <w:basedOn w:val="1"/>
    <w:qFormat/>
    <w:uiPriority w:val="0"/>
    <w:pPr>
      <w:spacing w:before="80" w:after="80" w:line="500" w:lineRule="exact"/>
      <w:ind w:firstLine="200"/>
    </w:pPr>
    <w:rPr>
      <w:rFonts w:ascii="Calibri" w:hAnsi="Calibri"/>
      <w:kern w:val="0"/>
      <w:szCs w:val="20"/>
    </w:rPr>
  </w:style>
  <w:style w:type="paragraph" w:customStyle="1" w:styleId="57">
    <w:name w:val="Lux 表格标题"/>
    <w:basedOn w:val="56"/>
    <w:qFormat/>
    <w:uiPriority w:val="0"/>
    <w:pPr>
      <w:spacing w:line="300" w:lineRule="auto"/>
      <w:ind w:firstLine="0"/>
      <w:jc w:val="center"/>
    </w:pPr>
    <w:rPr>
      <w:b/>
      <w:bCs/>
      <w:kern w:val="2"/>
      <w:szCs w:val="21"/>
    </w:rPr>
  </w:style>
  <w:style w:type="character" w:customStyle="1" w:styleId="58">
    <w:name w:val="font31"/>
    <w:basedOn w:val="25"/>
    <w:qFormat/>
    <w:uiPriority w:val="0"/>
    <w:rPr>
      <w:rFonts w:hint="default" w:ascii="Times New Roman" w:hAnsi="Times New Roman" w:cs="Times New Roman"/>
      <w:color w:val="000000"/>
      <w:sz w:val="21"/>
      <w:szCs w:val="21"/>
      <w:u w:val="none"/>
    </w:rPr>
  </w:style>
  <w:style w:type="character" w:customStyle="1" w:styleId="59">
    <w:name w:val="font21"/>
    <w:basedOn w:val="25"/>
    <w:qFormat/>
    <w:uiPriority w:val="0"/>
    <w:rPr>
      <w:rFonts w:hint="default" w:ascii="Times New Roman" w:hAnsi="Times New Roman" w:cs="Times New Roman"/>
      <w:color w:val="FF0000"/>
      <w:sz w:val="21"/>
      <w:szCs w:val="21"/>
      <w:u w:val="none"/>
    </w:rPr>
  </w:style>
  <w:style w:type="paragraph" w:customStyle="1" w:styleId="60">
    <w:name w:val="正文文本5"/>
    <w:basedOn w:val="1"/>
    <w:qFormat/>
    <w:uiPriority w:val="0"/>
    <w:pPr>
      <w:shd w:val="clear" w:color="auto" w:fill="FFFFFF"/>
      <w:spacing w:after="960" w:line="0" w:lineRule="atLeast"/>
      <w:jc w:val="center"/>
    </w:pPr>
    <w:rPr>
      <w:rFonts w:ascii="MingLiU" w:hAnsi="MingLiU" w:eastAsia="MingLiU" w:cs="MingLiU"/>
      <w:sz w:val="19"/>
      <w:szCs w:val="19"/>
    </w:rPr>
  </w:style>
  <w:style w:type="character" w:customStyle="1" w:styleId="61">
    <w:name w:val="正文文本2"/>
    <w:qFormat/>
    <w:uiPriority w:val="0"/>
    <w:rPr>
      <w:rFonts w:ascii="MingLiU" w:hAnsi="MingLiU" w:eastAsia="MingLiU" w:cs="MingLiU"/>
      <w:color w:val="000000"/>
      <w:spacing w:val="0"/>
      <w:w w:val="100"/>
      <w:position w:val="0"/>
      <w:sz w:val="19"/>
      <w:szCs w:val="19"/>
      <w:u w:val="none"/>
      <w:shd w:val="clear" w:color="auto" w:fill="FFFFFF"/>
      <w:lang w:val="zh-TW"/>
    </w:rPr>
  </w:style>
  <w:style w:type="paragraph" w:customStyle="1" w:styleId="62">
    <w:name w:val="中大正文"/>
    <w:basedOn w:val="1"/>
    <w:qFormat/>
    <w:uiPriority w:val="0"/>
    <w:pPr>
      <w:autoSpaceDE w:val="0"/>
      <w:autoSpaceDN w:val="0"/>
      <w:adjustRightInd w:val="0"/>
      <w:spacing w:line="360" w:lineRule="auto"/>
      <w:ind w:firstLine="480" w:firstLineChars="200"/>
    </w:pPr>
    <w:rPr>
      <w:rFonts w:ascii="宋体" w:hAnsi="宋体"/>
      <w:kern w:val="0"/>
      <w:sz w:val="24"/>
      <w:lang w:val="zh-CN"/>
    </w:rPr>
  </w:style>
  <w:style w:type="paragraph" w:customStyle="1" w:styleId="63">
    <w:name w:val="正文 小四 宋体"/>
    <w:basedOn w:val="1"/>
    <w:qFormat/>
    <w:uiPriority w:val="0"/>
    <w:pPr>
      <w:spacing w:line="360" w:lineRule="auto"/>
    </w:pPr>
    <w:rPr>
      <w:sz w:val="24"/>
    </w:rPr>
  </w:style>
  <w:style w:type="paragraph" w:customStyle="1" w:styleId="64">
    <w:name w:val="_Style 65"/>
    <w:basedOn w:val="1"/>
    <w:qFormat/>
    <w:uiPriority w:val="34"/>
    <w:pPr>
      <w:ind w:firstLine="420" w:firstLineChars="200"/>
    </w:pPr>
    <w:rPr>
      <w:rFonts w:ascii="Calibri" w:hAnsi="Calibri"/>
      <w:szCs w:val="22"/>
    </w:rPr>
  </w:style>
  <w:style w:type="paragraph" w:customStyle="1" w:styleId="65">
    <w:name w:val="报告表  段"/>
    <w:basedOn w:val="1"/>
    <w:qFormat/>
    <w:uiPriority w:val="0"/>
    <w:pPr>
      <w:adjustRightInd w:val="0"/>
      <w:spacing w:line="360" w:lineRule="auto"/>
      <w:ind w:firstLine="505"/>
      <w:textAlignment w:val="baseline"/>
    </w:pPr>
    <w:rPr>
      <w:rFonts w:ascii="宋体"/>
      <w:kern w:val="0"/>
      <w:sz w:val="24"/>
      <w:szCs w:val="20"/>
    </w:rPr>
  </w:style>
  <w:style w:type="paragraph" w:customStyle="1" w:styleId="66">
    <w:name w:val="正 文"/>
    <w:qFormat/>
    <w:uiPriority w:val="0"/>
    <w:pPr>
      <w:widowControl w:val="0"/>
      <w:spacing w:line="480" w:lineRule="exact"/>
      <w:ind w:firstLine="471"/>
      <w:jc w:val="both"/>
    </w:pPr>
    <w:rPr>
      <w:rFonts w:ascii="Arial" w:hAnsi="Arial" w:eastAsia="Times New Roman" w:cs="Times New Roman"/>
      <w:kern w:val="2"/>
      <w:sz w:val="24"/>
      <w:szCs w:val="22"/>
      <w:lang w:val="en-US" w:eastAsia="zh-CN" w:bidi="ar-SA"/>
    </w:rPr>
  </w:style>
  <w:style w:type="paragraph" w:customStyle="1" w:styleId="67">
    <w:name w:val="p18"/>
    <w:basedOn w:val="1"/>
    <w:qFormat/>
    <w:uiPriority w:val="0"/>
    <w:pPr>
      <w:widowControl/>
      <w:spacing w:line="360" w:lineRule="auto"/>
      <w:ind w:firstLine="412"/>
    </w:pPr>
    <w:rPr>
      <w:rFonts w:ascii="宋体" w:hAnsi="宋体" w:cs="宋体"/>
      <w:kern w:val="0"/>
      <w:sz w:val="24"/>
    </w:rPr>
  </w:style>
  <w:style w:type="paragraph" w:customStyle="1" w:styleId="68">
    <w:name w:val="表格字体"/>
    <w:basedOn w:val="1"/>
    <w:qFormat/>
    <w:uiPriority w:val="0"/>
    <w:pPr>
      <w:jc w:val="center"/>
    </w:pPr>
    <w:rPr>
      <w:rFonts w:cs="宋体"/>
      <w:szCs w:val="20"/>
    </w:rPr>
  </w:style>
  <w:style w:type="paragraph" w:customStyle="1" w:styleId="69">
    <w:name w:val="TT表格文字01"/>
    <w:basedOn w:val="1"/>
    <w:qFormat/>
    <w:uiPriority w:val="0"/>
    <w:pPr>
      <w:widowControl/>
      <w:wordWrap w:val="0"/>
      <w:overflowPunct w:val="0"/>
      <w:topLinePunct/>
      <w:jc w:val="center"/>
    </w:pPr>
    <w:rPr>
      <w:snapToGrid w:val="0"/>
      <w:color w:val="000000"/>
    </w:rPr>
  </w:style>
  <w:style w:type="character" w:customStyle="1" w:styleId="70">
    <w:name w:val="font51"/>
    <w:basedOn w:val="25"/>
    <w:qFormat/>
    <w:uiPriority w:val="0"/>
    <w:rPr>
      <w:rFonts w:hint="eastAsia" w:ascii="宋体" w:hAnsi="宋体" w:eastAsia="宋体" w:cs="宋体"/>
      <w:color w:val="FF0000"/>
      <w:sz w:val="24"/>
      <w:szCs w:val="24"/>
      <w:u w:val="none"/>
    </w:rPr>
  </w:style>
  <w:style w:type="paragraph" w:customStyle="1" w:styleId="71">
    <w:name w:val="正文 New New New New New New New New New New New New New New New New New New New New New New New New New New New"/>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72">
    <w:name w:val="Body Text 22"/>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 w:val="24"/>
      <w:lang w:val="en-US" w:eastAsia="zh-CN" w:bidi="ar-SA"/>
    </w:rPr>
  </w:style>
  <w:style w:type="paragraph" w:customStyle="1" w:styleId="73">
    <w:name w:val="Table caption"/>
    <w:basedOn w:val="1"/>
    <w:unhideWhenUsed/>
    <w:qFormat/>
    <w:uiPriority w:val="99"/>
    <w:pPr>
      <w:shd w:val="clear" w:color="auto" w:fill="FFFFFF"/>
      <w:spacing w:line="240" w:lineRule="atLeast"/>
    </w:pPr>
    <w:rPr>
      <w:rFonts w:hint="eastAsia" w:ascii="MingLiU" w:hAnsi="MingLiU" w:eastAsia="MingLiU"/>
      <w:sz w:val="22"/>
    </w:rPr>
  </w:style>
  <w:style w:type="character" w:customStyle="1" w:styleId="74">
    <w:name w:val="Body text + Arial Unicode MS"/>
    <w:qFormat/>
    <w:uiPriority w:val="0"/>
    <w:rPr>
      <w:rFonts w:ascii="Arial Unicode MS" w:hAnsi="Arial Unicode MS" w:eastAsia="Arial Unicode MS" w:cs="Arial Unicode MS"/>
      <w:color w:val="000000"/>
      <w:spacing w:val="10"/>
      <w:w w:val="100"/>
      <w:position w:val="0"/>
      <w:sz w:val="19"/>
      <w:szCs w:val="19"/>
      <w:shd w:val="clear" w:color="auto" w:fill="FFFFFF"/>
      <w:lang w:val="en-US"/>
    </w:rPr>
  </w:style>
  <w:style w:type="character" w:customStyle="1" w:styleId="75">
    <w:name w:val="批注文字 字符"/>
    <w:basedOn w:val="25"/>
    <w:link w:val="10"/>
    <w:qFormat/>
    <w:uiPriority w:val="0"/>
    <w:rPr>
      <w:kern w:val="2"/>
      <w:sz w:val="21"/>
      <w:szCs w:val="24"/>
    </w:rPr>
  </w:style>
  <w:style w:type="character" w:customStyle="1" w:styleId="76">
    <w:name w:val="批注主题 字符"/>
    <w:basedOn w:val="75"/>
    <w:link w:val="22"/>
    <w:qFormat/>
    <w:uiPriority w:val="0"/>
    <w:rPr>
      <w:b/>
      <w:bCs/>
      <w:kern w:val="2"/>
      <w:sz w:val="21"/>
      <w:szCs w:val="24"/>
    </w:rPr>
  </w:style>
  <w:style w:type="character" w:customStyle="1" w:styleId="77">
    <w:name w:val="批注框文本 字符"/>
    <w:basedOn w:val="25"/>
    <w:link w:val="15"/>
    <w:qFormat/>
    <w:uiPriority w:val="0"/>
    <w:rPr>
      <w:kern w:val="2"/>
      <w:sz w:val="18"/>
      <w:szCs w:val="18"/>
    </w:rPr>
  </w:style>
  <w:style w:type="paragraph" w:customStyle="1" w:styleId="78">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wmf"/><Relationship Id="rId97" Type="http://schemas.openxmlformats.org/officeDocument/2006/relationships/oleObject" Target="embeddings/oleObject8.bin"/><Relationship Id="rId96" Type="http://schemas.openxmlformats.org/officeDocument/2006/relationships/image" Target="media/image73.wmf"/><Relationship Id="rId95" Type="http://schemas.openxmlformats.org/officeDocument/2006/relationships/oleObject" Target="embeddings/oleObject7.bin"/><Relationship Id="rId94" Type="http://schemas.openxmlformats.org/officeDocument/2006/relationships/image" Target="media/image72.wmf"/><Relationship Id="rId93" Type="http://schemas.openxmlformats.org/officeDocument/2006/relationships/image" Target="media/image71.wmf"/><Relationship Id="rId92" Type="http://schemas.openxmlformats.org/officeDocument/2006/relationships/image" Target="media/image70.wmf"/><Relationship Id="rId91" Type="http://schemas.openxmlformats.org/officeDocument/2006/relationships/image" Target="media/image69.wmf"/><Relationship Id="rId90" Type="http://schemas.openxmlformats.org/officeDocument/2006/relationships/image" Target="media/image68.png"/><Relationship Id="rId9" Type="http://schemas.openxmlformats.org/officeDocument/2006/relationships/header" Target="header3.xml"/><Relationship Id="rId89" Type="http://schemas.openxmlformats.org/officeDocument/2006/relationships/image" Target="media/image67.png"/><Relationship Id="rId88" Type="http://schemas.openxmlformats.org/officeDocument/2006/relationships/image" Target="media/image66.wmf"/><Relationship Id="rId87" Type="http://schemas.openxmlformats.org/officeDocument/2006/relationships/image" Target="media/image65.wmf"/><Relationship Id="rId86" Type="http://schemas.openxmlformats.org/officeDocument/2006/relationships/image" Target="media/image64.wmf"/><Relationship Id="rId85" Type="http://schemas.openxmlformats.org/officeDocument/2006/relationships/image" Target="media/image63.wmf"/><Relationship Id="rId84" Type="http://schemas.openxmlformats.org/officeDocument/2006/relationships/image" Target="media/image62.jpeg"/><Relationship Id="rId83" Type="http://schemas.openxmlformats.org/officeDocument/2006/relationships/image" Target="media/image61.jpeg"/><Relationship Id="rId82" Type="http://schemas.openxmlformats.org/officeDocument/2006/relationships/image" Target="media/image60.wmf"/><Relationship Id="rId81" Type="http://schemas.openxmlformats.org/officeDocument/2006/relationships/image" Target="media/image59.wmf"/><Relationship Id="rId80" Type="http://schemas.openxmlformats.org/officeDocument/2006/relationships/image" Target="media/image58.wmf"/><Relationship Id="rId8" Type="http://schemas.openxmlformats.org/officeDocument/2006/relationships/header" Target="header2.xml"/><Relationship Id="rId79" Type="http://schemas.openxmlformats.org/officeDocument/2006/relationships/image" Target="media/image57.wmf"/><Relationship Id="rId78" Type="http://schemas.openxmlformats.org/officeDocument/2006/relationships/image" Target="media/image56.wmf"/><Relationship Id="rId77" Type="http://schemas.openxmlformats.org/officeDocument/2006/relationships/image" Target="media/image55.wmf"/><Relationship Id="rId76" Type="http://schemas.openxmlformats.org/officeDocument/2006/relationships/image" Target="media/image54.wmf"/><Relationship Id="rId75" Type="http://schemas.openxmlformats.org/officeDocument/2006/relationships/image" Target="media/image53.wmf"/><Relationship Id="rId74" Type="http://schemas.openxmlformats.org/officeDocument/2006/relationships/image" Target="media/image52.png"/><Relationship Id="rId73" Type="http://schemas.openxmlformats.org/officeDocument/2006/relationships/image" Target="media/image51.jpeg"/><Relationship Id="rId72" Type="http://schemas.openxmlformats.org/officeDocument/2006/relationships/image" Target="media/image50.jpeg"/><Relationship Id="rId71" Type="http://schemas.openxmlformats.org/officeDocument/2006/relationships/image" Target="media/image49.jpeg"/><Relationship Id="rId70" Type="http://schemas.openxmlformats.org/officeDocument/2006/relationships/image" Target="media/image48.jpeg"/><Relationship Id="rId7" Type="http://schemas.openxmlformats.org/officeDocument/2006/relationships/footer" Target="footer4.xml"/><Relationship Id="rId69" Type="http://schemas.openxmlformats.org/officeDocument/2006/relationships/image" Target="media/image47.wmf"/><Relationship Id="rId68" Type="http://schemas.openxmlformats.org/officeDocument/2006/relationships/image" Target="media/image46.emf"/><Relationship Id="rId67" Type="http://schemas.openxmlformats.org/officeDocument/2006/relationships/oleObject" Target="embeddings/oleObject6.bin"/><Relationship Id="rId66" Type="http://schemas.openxmlformats.org/officeDocument/2006/relationships/image" Target="media/image45.emf"/><Relationship Id="rId65" Type="http://schemas.openxmlformats.org/officeDocument/2006/relationships/oleObject" Target="embeddings/oleObject5.bin"/><Relationship Id="rId64" Type="http://schemas.openxmlformats.org/officeDocument/2006/relationships/image" Target="media/image44.wmf"/><Relationship Id="rId63" Type="http://schemas.openxmlformats.org/officeDocument/2006/relationships/oleObject" Target="embeddings/oleObject4.bin"/><Relationship Id="rId62" Type="http://schemas.openxmlformats.org/officeDocument/2006/relationships/image" Target="media/image43.jpeg"/><Relationship Id="rId61" Type="http://schemas.openxmlformats.org/officeDocument/2006/relationships/image" Target="media/image42.emf"/><Relationship Id="rId60" Type="http://schemas.openxmlformats.org/officeDocument/2006/relationships/oleObject" Target="embeddings/oleObject3.bin"/><Relationship Id="rId6" Type="http://schemas.openxmlformats.org/officeDocument/2006/relationships/footer" Target="footer3.xml"/><Relationship Id="rId59" Type="http://schemas.openxmlformats.org/officeDocument/2006/relationships/image" Target="media/image41.emf"/><Relationship Id="rId58" Type="http://schemas.openxmlformats.org/officeDocument/2006/relationships/oleObject" Target="embeddings/oleObject2.bin"/><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2.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pn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1.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wmf"/><Relationship Id="rId33" Type="http://schemas.openxmlformats.org/officeDocument/2006/relationships/oleObject" Target="embeddings/oleObject1.bin"/><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wmf"/><Relationship Id="rId24" Type="http://schemas.openxmlformats.org/officeDocument/2006/relationships/image" Target="media/image8.pn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header" Target="header4.xml"/><Relationship Id="rId115" Type="http://schemas.openxmlformats.org/officeDocument/2006/relationships/fontTable" Target="fontTable.xml"/><Relationship Id="rId114" Type="http://schemas.openxmlformats.org/officeDocument/2006/relationships/numbering" Target="numbering.xml"/><Relationship Id="rId113" Type="http://schemas.openxmlformats.org/officeDocument/2006/relationships/customXml" Target="../customXml/item1.xml"/><Relationship Id="rId112" Type="http://schemas.openxmlformats.org/officeDocument/2006/relationships/image" Target="media/image84.png"/><Relationship Id="rId111" Type="http://schemas.openxmlformats.org/officeDocument/2006/relationships/image" Target="media/image83.jpeg"/><Relationship Id="rId110" Type="http://schemas.openxmlformats.org/officeDocument/2006/relationships/image" Target="media/image82.jpeg"/><Relationship Id="rId11" Type="http://schemas.openxmlformats.org/officeDocument/2006/relationships/footer" Target="footer6.xml"/><Relationship Id="rId109" Type="http://schemas.openxmlformats.org/officeDocument/2006/relationships/image" Target="media/image81.jpeg"/><Relationship Id="rId108" Type="http://schemas.openxmlformats.org/officeDocument/2006/relationships/image" Target="media/image80.jpeg"/><Relationship Id="rId107" Type="http://schemas.openxmlformats.org/officeDocument/2006/relationships/image" Target="media/image79.jpeg"/><Relationship Id="rId106" Type="http://schemas.openxmlformats.org/officeDocument/2006/relationships/image" Target="media/image78.wmf"/><Relationship Id="rId105" Type="http://schemas.openxmlformats.org/officeDocument/2006/relationships/oleObject" Target="embeddings/oleObject12.bin"/><Relationship Id="rId104" Type="http://schemas.openxmlformats.org/officeDocument/2006/relationships/image" Target="media/image77.emf"/><Relationship Id="rId103" Type="http://schemas.openxmlformats.org/officeDocument/2006/relationships/oleObject" Target="embeddings/oleObject11.bin"/><Relationship Id="rId102" Type="http://schemas.openxmlformats.org/officeDocument/2006/relationships/image" Target="media/image76.wmf"/><Relationship Id="rId101" Type="http://schemas.openxmlformats.org/officeDocument/2006/relationships/oleObject" Target="embeddings/oleObject10.bin"/><Relationship Id="rId100" Type="http://schemas.openxmlformats.org/officeDocument/2006/relationships/oleObject" Target="embeddings/oleObject9.bin"/><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292</Pages>
  <Words>150360</Words>
  <Characters>182534</Characters>
  <Lines>1471</Lines>
  <Paragraphs>414</Paragraphs>
  <TotalTime>0</TotalTime>
  <ScaleCrop>false</ScaleCrop>
  <LinksUpToDate>false</LinksUpToDate>
  <CharactersWithSpaces>186841</CharactersWithSpaces>
  <Application>WPS Office_11.3.0.9228_F1E327BC-269C-435d-A152-05C5408002CA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2020-06-16T07:53:00Z</dcterms:created>
  <dc:creator>lingssg</dc:creator>
  <cp:lastModifiedBy>lingssg</cp:lastModifiedBy>
  <dcterms:modified xsi:type="dcterms:W3CDTF">2020-06-22T09:18:15Z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ies>
</file>